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E2D3" w14:textId="77777777" w:rsidR="00344D3D" w:rsidRPr="007C1B84" w:rsidRDefault="007C1B84" w:rsidP="007C1B84">
      <w:pPr>
        <w:jc w:val="center"/>
        <w:rPr>
          <w:b/>
          <w:sz w:val="28"/>
          <w:szCs w:val="28"/>
        </w:rPr>
      </w:pPr>
      <w:r w:rsidRPr="007C1B84">
        <w:rPr>
          <w:b/>
          <w:sz w:val="28"/>
          <w:szCs w:val="28"/>
        </w:rPr>
        <w:t>ELŐTERJESZTÉS</w:t>
      </w:r>
    </w:p>
    <w:p w14:paraId="6BDE9842" w14:textId="77777777" w:rsidR="007C1B84" w:rsidRPr="007C1B84" w:rsidRDefault="007C1B84" w:rsidP="007C1B84">
      <w:pPr>
        <w:jc w:val="center"/>
        <w:rPr>
          <w:b/>
          <w:sz w:val="28"/>
          <w:szCs w:val="28"/>
        </w:rPr>
      </w:pPr>
      <w:r w:rsidRPr="007C1B84">
        <w:rPr>
          <w:b/>
          <w:sz w:val="28"/>
          <w:szCs w:val="28"/>
        </w:rPr>
        <w:t>Körmend Város Önkormányzata Képviselő-testülete 2023. december 14-i ülésére</w:t>
      </w:r>
    </w:p>
    <w:p w14:paraId="55841EF3" w14:textId="77777777" w:rsidR="007C1B84" w:rsidRPr="007C1B84" w:rsidRDefault="007C1B84">
      <w:pPr>
        <w:rPr>
          <w:sz w:val="28"/>
          <w:szCs w:val="28"/>
        </w:rPr>
      </w:pPr>
    </w:p>
    <w:p w14:paraId="48A43D99" w14:textId="77777777" w:rsidR="007C1B84" w:rsidRPr="007C1B84" w:rsidRDefault="007C1B84">
      <w:pPr>
        <w:rPr>
          <w:sz w:val="28"/>
          <w:szCs w:val="28"/>
        </w:rPr>
      </w:pPr>
      <w:r w:rsidRPr="007C1B84">
        <w:rPr>
          <w:b/>
          <w:sz w:val="28"/>
          <w:szCs w:val="28"/>
        </w:rPr>
        <w:t>Tárgy:</w:t>
      </w:r>
      <w:r w:rsidRPr="007C1B84">
        <w:rPr>
          <w:sz w:val="28"/>
          <w:szCs w:val="28"/>
        </w:rPr>
        <w:t xml:space="preserve"> Beszámoló a Pénzügyi és Közbeszerzési Bizottság éves közbeszerzési tevékenységéről</w:t>
      </w:r>
    </w:p>
    <w:p w14:paraId="5FDBF0F2" w14:textId="77777777" w:rsidR="007C1B84" w:rsidRPr="007C1B84" w:rsidRDefault="007C1B84">
      <w:pPr>
        <w:rPr>
          <w:sz w:val="28"/>
          <w:szCs w:val="28"/>
        </w:rPr>
      </w:pPr>
    </w:p>
    <w:p w14:paraId="13B75001" w14:textId="77777777" w:rsidR="007C1B84" w:rsidRDefault="007C1B84"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14:paraId="7A84F2E7" w14:textId="77777777" w:rsidR="007C1B84" w:rsidRDefault="007C1B84" w:rsidP="00DD3C1C">
      <w:pPr>
        <w:jc w:val="both"/>
        <w:rPr>
          <w:sz w:val="28"/>
          <w:szCs w:val="28"/>
        </w:rPr>
      </w:pPr>
    </w:p>
    <w:p w14:paraId="59677F21" w14:textId="77777777" w:rsidR="007C1B84" w:rsidRDefault="007C1B84" w:rsidP="00DD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Pénzügyi és Közbeszerzési Bizottságnak idén kevesebb munkája volt a közbeszerzések terén, szemben a tavalyi évvel, amikor rengeteg eljárás indult. Ennek oka az, hogy idén év végéig be kell fejezni az előző uniós ciklusban indult fejlesztéseket, </w:t>
      </w:r>
      <w:r w:rsidR="00DD3C1C">
        <w:rPr>
          <w:sz w:val="28"/>
          <w:szCs w:val="28"/>
        </w:rPr>
        <w:t xml:space="preserve">így az eljárásokat már le kellett futtatni tavaly év végéig. </w:t>
      </w:r>
    </w:p>
    <w:p w14:paraId="7284EE86" w14:textId="77777777" w:rsidR="00DD3C1C" w:rsidRDefault="00DD3C1C" w:rsidP="00DD3C1C">
      <w:pPr>
        <w:jc w:val="both"/>
        <w:rPr>
          <w:sz w:val="28"/>
          <w:szCs w:val="28"/>
        </w:rPr>
      </w:pPr>
    </w:p>
    <w:p w14:paraId="70BF8D34" w14:textId="77777777" w:rsidR="00DD3C1C" w:rsidRDefault="00DD3C1C" w:rsidP="00DD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idei évben azok az eljárások, amik az előterjesztés készítéséig megindultak, az alábbiak: </w:t>
      </w:r>
    </w:p>
    <w:p w14:paraId="7F98EDE9" w14:textId="77777777" w:rsidR="00DD3C1C" w:rsidRDefault="00DD3C1C" w:rsidP="00DD3C1C">
      <w:pPr>
        <w:jc w:val="both"/>
        <w:rPr>
          <w:sz w:val="28"/>
          <w:szCs w:val="28"/>
        </w:rPr>
      </w:pPr>
    </w:p>
    <w:p w14:paraId="28EC04BF" w14:textId="77777777" w:rsidR="00DD3C1C" w:rsidRPr="00DD3C1C" w:rsidRDefault="00DD3C1C" w:rsidP="00DD3C1C">
      <w:pPr>
        <w:jc w:val="both"/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1. </w:t>
      </w:r>
      <w:r w:rsidRPr="00267EF1">
        <w:rPr>
          <w:rFonts w:ascii="Times New Roman" w:hAnsi="Times New Roman" w:cs="Times New Roman"/>
          <w:b/>
          <w:bCs/>
        </w:rPr>
        <w:t xml:space="preserve">Önkormányzati utak felújítása (Akác és Béke </w:t>
      </w:r>
      <w:proofErr w:type="gramStart"/>
      <w:r w:rsidRPr="00267EF1">
        <w:rPr>
          <w:rFonts w:ascii="Times New Roman" w:hAnsi="Times New Roman" w:cs="Times New Roman"/>
          <w:b/>
          <w:bCs/>
        </w:rPr>
        <w:t>utca)  felújítása</w:t>
      </w:r>
      <w:proofErr w:type="gramEnd"/>
    </w:p>
    <w:p w14:paraId="017EEC08" w14:textId="77777777" w:rsidR="00DD3C1C" w:rsidRDefault="00DD3C1C" w:rsidP="00DD3C1C">
      <w:pPr>
        <w:pStyle w:val="Listaszerbekezds"/>
        <w:numPr>
          <w:ilvl w:val="0"/>
          <w:numId w:val="1"/>
        </w:numPr>
        <w:jc w:val="both"/>
        <w:rPr>
          <w:rFonts w:ascii="Barlow Condensed" w:hAnsi="Barlow Condensed"/>
        </w:rPr>
      </w:pPr>
      <w:r>
        <w:rPr>
          <w:rFonts w:ascii="Barlow Condensed" w:hAnsi="Barlow Condensed" w:cs="Arial"/>
          <w:u w:val="single"/>
        </w:rPr>
        <w:t xml:space="preserve">közbeszerzési </w:t>
      </w:r>
      <w:proofErr w:type="gramStart"/>
      <w:r>
        <w:rPr>
          <w:rFonts w:ascii="Barlow Condensed" w:hAnsi="Barlow Condensed" w:cs="Arial"/>
          <w:u w:val="single"/>
        </w:rPr>
        <w:t>rész:</w:t>
      </w:r>
      <w:r>
        <w:rPr>
          <w:rFonts w:ascii="Barlow Condensed" w:hAnsi="Barlow Condensed" w:cs="Arial"/>
        </w:rPr>
        <w:t xml:space="preserve">  Béke</w:t>
      </w:r>
      <w:proofErr w:type="gramEnd"/>
      <w:r>
        <w:rPr>
          <w:rFonts w:ascii="Barlow Condensed" w:hAnsi="Barlow Condensed" w:cs="Arial"/>
        </w:rPr>
        <w:t xml:space="preserve"> u. burkolat felújítása (1697 hrsz.)</w:t>
      </w:r>
    </w:p>
    <w:p w14:paraId="7D319DCF" w14:textId="77777777" w:rsidR="00DD3C1C" w:rsidRDefault="00DD3C1C" w:rsidP="00DD3C1C">
      <w:pPr>
        <w:pStyle w:val="Listaszerbekezds"/>
        <w:jc w:val="both"/>
        <w:rPr>
          <w:rFonts w:ascii="Barlow Condensed" w:hAnsi="Barlow Condensed"/>
        </w:rPr>
      </w:pPr>
    </w:p>
    <w:tbl>
      <w:tblPr>
        <w:tblStyle w:val="Rcsostblzat"/>
        <w:tblW w:w="4550" w:type="pct"/>
        <w:jc w:val="center"/>
        <w:tblLook w:val="04A0" w:firstRow="1" w:lastRow="0" w:firstColumn="1" w:lastColumn="0" w:noHBand="0" w:noVBand="1"/>
      </w:tblPr>
      <w:tblGrid>
        <w:gridCol w:w="2587"/>
        <w:gridCol w:w="2013"/>
        <w:gridCol w:w="1293"/>
        <w:gridCol w:w="2559"/>
      </w:tblGrid>
      <w:tr w:rsidR="00DD3C1C" w14:paraId="5D2A6D3C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  <w:hideMark/>
          </w:tcPr>
          <w:p w14:paraId="73800329" w14:textId="77777777" w:rsidR="00DD3C1C" w:rsidRDefault="00DD3C1C" w:rsidP="0081747A">
            <w:pPr>
              <w:jc w:val="center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Ajánlattevő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neve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</w:tcPr>
          <w:p w14:paraId="1106361B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Egyösszegű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ajánlati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ár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nettó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Ft)</w:t>
            </w:r>
          </w:p>
          <w:p w14:paraId="3656672D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</w:tcPr>
          <w:p w14:paraId="2BC0FA1F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36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hónapot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meghaladó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többlet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jótállás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mértéke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(minimum 0, maximum 24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hónap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>)</w:t>
            </w:r>
          </w:p>
          <w:p w14:paraId="254849C2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  <w:hideMark/>
          </w:tcPr>
          <w:p w14:paraId="614270CA" w14:textId="77777777" w:rsidR="00DD3C1C" w:rsidRDefault="00DD3C1C" w:rsidP="0081747A">
            <w:pPr>
              <w:autoSpaceDE w:val="0"/>
              <w:autoSpaceDN w:val="0"/>
              <w:adjustRightInd w:val="0"/>
              <w:rPr>
                <w:rFonts w:ascii="Barlow Condensed" w:hAnsi="Barlow Condensed" w:cs="Arial"/>
                <w:b/>
                <w:color w:val="FFFFFF" w:themeColor="background1"/>
              </w:rPr>
            </w:pPr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A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szerződés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teljesítésében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személyesen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közreműködő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építésvezető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szakember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út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építése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>/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vagy</w:t>
            </w:r>
            <w:proofErr w:type="spellEnd"/>
          </w:p>
          <w:p w14:paraId="4CEDE301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felújítása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kivitelezésében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szerzett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szakmai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tapasztalata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hónap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) (minimum 0, maximum 24) </w:t>
            </w:r>
          </w:p>
        </w:tc>
      </w:tr>
      <w:tr w:rsidR="00DD3C1C" w14:paraId="69709D75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88C3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Németh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Térburkoló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,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Útépítő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Építőipari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53D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23 673 </w:t>
            </w:r>
            <w:proofErr w:type="gramStart"/>
            <w:r>
              <w:rPr>
                <w:rFonts w:ascii="Barlow Condensed" w:eastAsia="PF DinDisplay Pro" w:hAnsi="Barlow Condensed" w:cs="Arial"/>
              </w:rPr>
              <w:t>826,-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84A6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A827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1C249756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1AC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MM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Betonbau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A1B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25 354 </w:t>
            </w:r>
            <w:proofErr w:type="gramStart"/>
            <w:r>
              <w:rPr>
                <w:rFonts w:ascii="Barlow Condensed" w:eastAsia="PF DinDisplay Pro" w:hAnsi="Barlow Condensed" w:cs="Arial"/>
              </w:rPr>
              <w:t>210,-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  <w:p w14:paraId="75C51062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70BF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DA6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7E01A4CE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85CD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proofErr w:type="spellStart"/>
            <w:r>
              <w:rPr>
                <w:rFonts w:ascii="Barlow Condensed" w:hAnsi="Barlow Condensed"/>
                <w:b/>
                <w:bCs/>
              </w:rPr>
              <w:lastRenderedPageBreak/>
              <w:t>Municípium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Kereskedelmi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Szolgáltató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CEDC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 xml:space="preserve">24 919 </w:t>
            </w:r>
            <w:proofErr w:type="gramStart"/>
            <w:r>
              <w:rPr>
                <w:rFonts w:ascii="Barlow Condensed" w:eastAsia="PF DinDisplay Pro" w:hAnsi="Barlow Condensed" w:cs="Arial"/>
              </w:rPr>
              <w:t>500,-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890B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A89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16118B27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6747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Inter-Alp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Építőipari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Szolgáltató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CC1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24 957 </w:t>
            </w:r>
            <w:proofErr w:type="gramStart"/>
            <w:r>
              <w:rPr>
                <w:rFonts w:ascii="Barlow Condensed" w:eastAsia="PF DinDisplay Pro" w:hAnsi="Barlow Condensed" w:cs="Arial"/>
              </w:rPr>
              <w:t>000,-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10A1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EEE4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3</w:t>
            </w:r>
          </w:p>
        </w:tc>
      </w:tr>
    </w:tbl>
    <w:p w14:paraId="3A142758" w14:textId="77777777" w:rsidR="00DD3C1C" w:rsidRDefault="00DD3C1C" w:rsidP="00DD3C1C">
      <w:pPr>
        <w:rPr>
          <w:rFonts w:ascii="Barlow Condensed" w:hAnsi="Barlow Condensed"/>
        </w:rPr>
      </w:pPr>
    </w:p>
    <w:p w14:paraId="32361C15" w14:textId="77777777" w:rsidR="00DD3C1C" w:rsidRDefault="00DD3C1C" w:rsidP="00DD3C1C">
      <w:pPr>
        <w:jc w:val="both"/>
        <w:rPr>
          <w:rFonts w:ascii="Barlow Condensed" w:hAnsi="Barlow Condensed" w:cs="Arial"/>
        </w:rPr>
      </w:pPr>
    </w:p>
    <w:p w14:paraId="60E0258C" w14:textId="77777777" w:rsidR="00DD3C1C" w:rsidRDefault="00DD3C1C" w:rsidP="00DD3C1C">
      <w:pPr>
        <w:pStyle w:val="Listaszerbekezds"/>
        <w:numPr>
          <w:ilvl w:val="0"/>
          <w:numId w:val="1"/>
        </w:numPr>
        <w:jc w:val="both"/>
        <w:rPr>
          <w:rFonts w:ascii="DejaVuSerif" w:eastAsia="DejaVuSerif" w:cs="DejaVuSerif"/>
          <w:sz w:val="18"/>
          <w:szCs w:val="18"/>
        </w:rPr>
      </w:pPr>
      <w:r>
        <w:rPr>
          <w:rFonts w:ascii="Barlow Condensed" w:hAnsi="Barlow Condensed" w:cs="Arial"/>
          <w:u w:val="single"/>
        </w:rPr>
        <w:t>közbeszerzési rész:</w:t>
      </w:r>
      <w:r>
        <w:rPr>
          <w:rFonts w:ascii="Barlow Condensed" w:hAnsi="Barlow Condensed" w:cs="Arial"/>
        </w:rPr>
        <w:t xml:space="preserve"> Akác utca útburkolat felújítása (3045 hrsz.)</w:t>
      </w:r>
    </w:p>
    <w:p w14:paraId="120D567C" w14:textId="77777777" w:rsidR="00DD3C1C" w:rsidRDefault="00DD3C1C" w:rsidP="00DD3C1C">
      <w:pPr>
        <w:pStyle w:val="Listaszerbekezds"/>
        <w:jc w:val="both"/>
        <w:rPr>
          <w:rFonts w:ascii="Barlow Condensed" w:hAnsi="Barlow Condensed"/>
          <w:sz w:val="24"/>
          <w:szCs w:val="24"/>
        </w:rPr>
      </w:pPr>
    </w:p>
    <w:tbl>
      <w:tblPr>
        <w:tblStyle w:val="Rcsostblzat"/>
        <w:tblW w:w="4550" w:type="pct"/>
        <w:jc w:val="center"/>
        <w:tblLook w:val="04A0" w:firstRow="1" w:lastRow="0" w:firstColumn="1" w:lastColumn="0" w:noHBand="0" w:noVBand="1"/>
      </w:tblPr>
      <w:tblGrid>
        <w:gridCol w:w="2587"/>
        <w:gridCol w:w="2013"/>
        <w:gridCol w:w="1293"/>
        <w:gridCol w:w="2559"/>
      </w:tblGrid>
      <w:tr w:rsidR="00DD3C1C" w14:paraId="34B99495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  <w:hideMark/>
          </w:tcPr>
          <w:p w14:paraId="24BB98BB" w14:textId="77777777" w:rsidR="00DD3C1C" w:rsidRDefault="00DD3C1C" w:rsidP="0081747A">
            <w:pPr>
              <w:jc w:val="center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Ajánlattevő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neve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</w:tcPr>
          <w:p w14:paraId="4BDF14ED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Egyösszegű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ajánlati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ár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nettó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Ft)</w:t>
            </w:r>
          </w:p>
          <w:p w14:paraId="48329D84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</w:tcPr>
          <w:p w14:paraId="58D1AD7D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36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hónapot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meghaladó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többlet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jótállás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mértéke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(minimum 0, maximum 24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hónap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>)</w:t>
            </w:r>
          </w:p>
          <w:p w14:paraId="7EF97AC2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503F"/>
            <w:hideMark/>
          </w:tcPr>
          <w:p w14:paraId="43E76953" w14:textId="77777777" w:rsidR="00DD3C1C" w:rsidRDefault="00DD3C1C" w:rsidP="0081747A">
            <w:pPr>
              <w:autoSpaceDE w:val="0"/>
              <w:autoSpaceDN w:val="0"/>
              <w:adjustRightInd w:val="0"/>
              <w:rPr>
                <w:rFonts w:ascii="Barlow Condensed" w:hAnsi="Barlow Condensed" w:cs="Arial"/>
                <w:b/>
                <w:color w:val="FFFFFF" w:themeColor="background1"/>
              </w:rPr>
            </w:pPr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A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szerződés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teljesítésében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személyesen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közreműködő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építésvezető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szakember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út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építése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és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>/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vagy</w:t>
            </w:r>
            <w:proofErr w:type="spellEnd"/>
          </w:p>
          <w:p w14:paraId="1FC070F1" w14:textId="77777777" w:rsidR="00DD3C1C" w:rsidRDefault="00DD3C1C" w:rsidP="0081747A">
            <w:pPr>
              <w:jc w:val="both"/>
              <w:rPr>
                <w:rFonts w:ascii="Barlow Condensed" w:hAnsi="Barlow Condensed" w:cs="Arial"/>
                <w:b/>
                <w:color w:val="FFFFFF" w:themeColor="background1"/>
              </w:rPr>
            </w:pP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felújítása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kivitelezésében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szerzett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szakmai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tapasztalata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Barlow Condensed" w:hAnsi="Barlow Condensed" w:cs="Arial"/>
                <w:b/>
                <w:color w:val="FFFFFF" w:themeColor="background1"/>
              </w:rPr>
              <w:t>hónap</w:t>
            </w:r>
            <w:proofErr w:type="spellEnd"/>
            <w:r>
              <w:rPr>
                <w:rFonts w:ascii="Barlow Condensed" w:hAnsi="Barlow Condensed" w:cs="Arial"/>
                <w:b/>
                <w:color w:val="FFFFFF" w:themeColor="background1"/>
              </w:rPr>
              <w:t xml:space="preserve">) (minimum 0, maximum 24) </w:t>
            </w:r>
          </w:p>
        </w:tc>
      </w:tr>
      <w:tr w:rsidR="00DD3C1C" w14:paraId="31DDC311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F976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Németh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Térburkoló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,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Útépítő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Építőipari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BD6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 xml:space="preserve">46 370 </w:t>
            </w:r>
            <w:proofErr w:type="gramStart"/>
            <w:r>
              <w:rPr>
                <w:rFonts w:ascii="Barlow Condensed" w:eastAsia="PF DinDisplay Pro" w:hAnsi="Barlow Condensed" w:cs="Arial"/>
              </w:rPr>
              <w:t>442,-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FDA8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09B8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7990B651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A3F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MM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Betonbau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38EA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 xml:space="preserve">49 663 </w:t>
            </w:r>
            <w:proofErr w:type="gramStart"/>
            <w:r>
              <w:rPr>
                <w:rFonts w:ascii="Barlow Condensed" w:eastAsia="PF DinDisplay Pro" w:hAnsi="Barlow Condensed" w:cs="Arial"/>
              </w:rPr>
              <w:t>485,-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  <w:p w14:paraId="26B81B10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F52C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9A50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53796678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37AA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proofErr w:type="spellStart"/>
            <w:r>
              <w:rPr>
                <w:rFonts w:ascii="Barlow Condensed" w:hAnsi="Barlow Condensed"/>
                <w:b/>
                <w:bCs/>
              </w:rPr>
              <w:t>Municípium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Kereskedelmi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Szolgáltató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083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 xml:space="preserve">49 133 </w:t>
            </w:r>
            <w:proofErr w:type="gramStart"/>
            <w:r>
              <w:rPr>
                <w:rFonts w:ascii="Barlow Condensed" w:eastAsia="PF DinDisplay Pro" w:hAnsi="Barlow Condensed" w:cs="Arial"/>
              </w:rPr>
              <w:t>250,-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AD92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748F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24</w:t>
            </w:r>
          </w:p>
        </w:tc>
      </w:tr>
      <w:tr w:rsidR="00DD3C1C" w14:paraId="25695C70" w14:textId="77777777" w:rsidTr="0081747A">
        <w:trPr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DF3C" w14:textId="77777777" w:rsidR="00DD3C1C" w:rsidRDefault="00DD3C1C" w:rsidP="0081747A">
            <w:pPr>
              <w:jc w:val="center"/>
              <w:rPr>
                <w:rFonts w:ascii="Barlow Condensed" w:hAnsi="Barlow Condensed"/>
                <w:b/>
                <w:bCs/>
              </w:rPr>
            </w:pPr>
            <w:r>
              <w:rPr>
                <w:rFonts w:ascii="Barlow Condensed" w:hAnsi="Barlow Condensed"/>
                <w:b/>
                <w:bCs/>
              </w:rPr>
              <w:t xml:space="preserve">Inter-Alp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Építőipari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és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Szolgáltató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 xml:space="preserve"> </w:t>
            </w:r>
            <w:proofErr w:type="spellStart"/>
            <w:r>
              <w:rPr>
                <w:rFonts w:ascii="Barlow Condensed" w:hAnsi="Barlow Condensed"/>
                <w:b/>
                <w:bCs/>
              </w:rPr>
              <w:t>Kft</w:t>
            </w:r>
            <w:proofErr w:type="spellEnd"/>
            <w:r>
              <w:rPr>
                <w:rFonts w:ascii="Barlow Condensed" w:hAnsi="Barlow Condensed"/>
                <w:b/>
                <w:bCs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23D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 xml:space="preserve">48 773 </w:t>
            </w:r>
            <w:proofErr w:type="gramStart"/>
            <w:r>
              <w:rPr>
                <w:rFonts w:ascii="Barlow Condensed" w:eastAsia="PF DinDisplay Pro" w:hAnsi="Barlow Condensed" w:cs="Arial"/>
              </w:rPr>
              <w:t>100,-</w:t>
            </w:r>
            <w:proofErr w:type="gramEnd"/>
            <w:r>
              <w:rPr>
                <w:rFonts w:ascii="Barlow Condensed" w:eastAsia="PF DinDisplay Pro" w:hAnsi="Barlow Condensed" w:cs="Arial"/>
              </w:rPr>
              <w:t xml:space="preserve"> Ft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84D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9928" w14:textId="77777777" w:rsidR="00DD3C1C" w:rsidRDefault="00DD3C1C" w:rsidP="0081747A">
            <w:pPr>
              <w:jc w:val="center"/>
              <w:rPr>
                <w:rFonts w:ascii="Barlow Condensed" w:eastAsia="PF DinDisplay Pro" w:hAnsi="Barlow Condensed" w:cs="Arial"/>
              </w:rPr>
            </w:pPr>
            <w:r>
              <w:rPr>
                <w:rFonts w:ascii="Barlow Condensed" w:eastAsia="PF DinDisplay Pro" w:hAnsi="Barlow Condensed" w:cs="Arial"/>
              </w:rPr>
              <w:t>3</w:t>
            </w:r>
          </w:p>
        </w:tc>
      </w:tr>
    </w:tbl>
    <w:p w14:paraId="560C0469" w14:textId="77777777" w:rsidR="00DD3C1C" w:rsidRDefault="00DD3C1C" w:rsidP="00DD3C1C">
      <w:pPr>
        <w:pStyle w:val="Listaszerbekezds"/>
        <w:rPr>
          <w:rFonts w:ascii="Barlow Condensed" w:hAnsi="Barlow Condensed"/>
        </w:rPr>
      </w:pPr>
    </w:p>
    <w:p w14:paraId="2612142D" w14:textId="77777777" w:rsidR="00DD3C1C" w:rsidRDefault="00DD3C1C" w:rsidP="00DD3C1C">
      <w:pPr>
        <w:pStyle w:val="Listaszerbekezds"/>
        <w:rPr>
          <w:rFonts w:ascii="Barlow Condensed" w:hAnsi="Barlow Condensed"/>
        </w:rPr>
      </w:pPr>
    </w:p>
    <w:p w14:paraId="1E9CC8A2" w14:textId="77777777" w:rsidR="00DD3C1C" w:rsidRDefault="00DD3C1C" w:rsidP="00DD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Mindkét eljárás tekintetében a nyertes ajánlattevő a Németh Térburkoló, Útépítő és Építőipari Kft. lett, a felújítások pedig befejeződtek. </w:t>
      </w:r>
    </w:p>
    <w:p w14:paraId="7FC9B0DC" w14:textId="77777777" w:rsidR="00DD3C1C" w:rsidRDefault="00DD3C1C" w:rsidP="00DD3C1C">
      <w:pPr>
        <w:jc w:val="both"/>
        <w:rPr>
          <w:sz w:val="28"/>
          <w:szCs w:val="28"/>
        </w:rPr>
      </w:pPr>
    </w:p>
    <w:p w14:paraId="7792E918" w14:textId="77777777" w:rsidR="00DD3C1C" w:rsidRDefault="00DD3C1C" w:rsidP="00DD3C1C">
      <w:pPr>
        <w:jc w:val="both"/>
        <w:rPr>
          <w:sz w:val="28"/>
          <w:szCs w:val="28"/>
        </w:rPr>
      </w:pPr>
    </w:p>
    <w:p w14:paraId="5A05439D" w14:textId="77777777" w:rsidR="00DD3C1C" w:rsidRDefault="00DD3C1C" w:rsidP="00DD3C1C">
      <w:pPr>
        <w:jc w:val="both"/>
        <w:rPr>
          <w:sz w:val="28"/>
          <w:szCs w:val="28"/>
        </w:rPr>
      </w:pPr>
    </w:p>
    <w:p w14:paraId="16FFCEA8" w14:textId="77777777" w:rsidR="00DD3C1C" w:rsidRDefault="00DD3C1C" w:rsidP="00DD3C1C">
      <w:pPr>
        <w:jc w:val="both"/>
        <w:rPr>
          <w:szCs w:val="24"/>
        </w:rPr>
      </w:pPr>
      <w:r>
        <w:rPr>
          <w:sz w:val="28"/>
          <w:szCs w:val="28"/>
        </w:rPr>
        <w:t xml:space="preserve">2. </w:t>
      </w:r>
      <w:bookmarkStart w:id="0" w:name="_Hlk150190654"/>
      <w:r w:rsidR="00054CFD">
        <w:rPr>
          <w:szCs w:val="24"/>
        </w:rPr>
        <w:t>Körmend, Hunyadi utcai lakópark szennyvíz kiépítése és Körmend, Thököly utca 54. hsz., 352/1 hrsz csatornabekötés</w:t>
      </w:r>
      <w:bookmarkEnd w:id="0"/>
    </w:p>
    <w:p w14:paraId="6EA7B6BB" w14:textId="77777777" w:rsidR="00054CFD" w:rsidRDefault="00054CFD" w:rsidP="00DD3C1C">
      <w:pPr>
        <w:jc w:val="both"/>
        <w:rPr>
          <w:szCs w:val="24"/>
        </w:rPr>
      </w:pPr>
    </w:p>
    <w:p w14:paraId="331A0A83" w14:textId="77777777" w:rsidR="00054CFD" w:rsidRDefault="00054CFD" w:rsidP="00054CFD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i/>
          <w:szCs w:val="24"/>
        </w:rPr>
      </w:pPr>
      <w:r>
        <w:rPr>
          <w:rFonts w:eastAsia="Calibri"/>
          <w:b/>
          <w:bCs/>
          <w:szCs w:val="24"/>
        </w:rPr>
        <w:t>rész</w:t>
      </w:r>
    </w:p>
    <w:p w14:paraId="091210B2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5"/>
        <w:gridCol w:w="1277"/>
        <w:gridCol w:w="1277"/>
        <w:gridCol w:w="1135"/>
        <w:gridCol w:w="1135"/>
      </w:tblGrid>
      <w:tr w:rsidR="00054CFD" w14:paraId="4FFD8454" w14:textId="77777777" w:rsidTr="0081747A">
        <w:trPr>
          <w:trHeight w:val="8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9F" w14:textId="77777777" w:rsidR="00054CFD" w:rsidRDefault="00054CFD" w:rsidP="0081747A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CD4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7C47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TIA 2002 Kft.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2C7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8DBE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Bit-Ép Kft.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DBA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B494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SZKENDÓ Kft.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CEB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54CFD" w14:paraId="5738E27B" w14:textId="77777777" w:rsidTr="0081747A">
        <w:trPr>
          <w:trHeight w:val="1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60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2EB805E3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Az értékelés részszempontjai (adott esetben alszempontjai 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A0EA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 részszempontok súlyszámai (adott esetben alszempontok súlyszámai 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2DD7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41A35C1C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132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888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3A5B5A2E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6935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EF9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7B4D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</w:tr>
      <w:tr w:rsidR="00054CFD" w14:paraId="0A50B579" w14:textId="77777777" w:rsidTr="0081747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7AA6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Ajánlati 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16B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06E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98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8CE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AEE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911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1DB6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669,9</w:t>
            </w:r>
          </w:p>
        </w:tc>
      </w:tr>
      <w:tr w:rsidR="00054CFD" w14:paraId="714A3237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B14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Jótállás mértéke (Kötelező 36 hónapon felüli hónapok)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29F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423F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505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F158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B1B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4698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6E4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76E0CF51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5C92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bookmarkStart w:id="1" w:name="_Hlk145055423"/>
            <w:r>
              <w:rPr>
                <w:b/>
                <w:bCs/>
                <w:sz w:val="18"/>
                <w:szCs w:val="18"/>
              </w:rPr>
              <w:t>Szerződés teljesítésébe bevonni kívánt szakember szennyvízelvezetés építésében/felújításában szerzett szakmai tapasztalata (minimum 0 hónap, maximum 36 hónap)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8CB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FB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D18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FDF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A0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0CE6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872F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0F8FCA4C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5971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 garanciális és jótállási időszak tartamán belül bármely a Megrendelő által felismert hiba Vállalkozó általi orvoslásának megkezdési időpontja, a bejelentést követően (minimum 1, maximum 5 munkanap)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FB6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0FE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135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38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47E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7887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9B33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329E8BF4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8620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A súlyszámmal szorzott értékelési pontszámok összegei ajánlattevőnként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C2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620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C50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5DD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017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645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6EE7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969,9</w:t>
            </w:r>
          </w:p>
        </w:tc>
      </w:tr>
    </w:tbl>
    <w:p w14:paraId="076BE92F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p w14:paraId="51DD65DF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p w14:paraId="359A05E3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06"/>
        <w:gridCol w:w="1520"/>
        <w:gridCol w:w="936"/>
        <w:gridCol w:w="1301"/>
        <w:gridCol w:w="936"/>
        <w:gridCol w:w="1281"/>
        <w:gridCol w:w="936"/>
      </w:tblGrid>
      <w:tr w:rsidR="00054CFD" w14:paraId="7439CB37" w14:textId="77777777" w:rsidTr="0081747A">
        <w:trPr>
          <w:trHeight w:val="81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230" w14:textId="77777777" w:rsidR="00054CFD" w:rsidRDefault="00054CFD" w:rsidP="0081747A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BA3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6453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GEOMÉ Kft.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495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DF90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5D5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338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930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54CFD" w14:paraId="01C5791E" w14:textId="77777777" w:rsidTr="0081747A">
        <w:trPr>
          <w:trHeight w:val="160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2A8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76453399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Az értékelés részszempontjai (adott esetben alszempontjai is)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7C5A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 részszempontok súlyszámai (adott esetben alszempontok súlyszámai is)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67A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6B886AA5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300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E24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5D69F495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93C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BC38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9FFD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</w:tr>
      <w:tr w:rsidR="00054CFD" w14:paraId="51D8743A" w14:textId="77777777" w:rsidTr="0081747A">
        <w:trPr>
          <w:trHeight w:val="29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CF6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Ajánlati ár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D18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EF73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9,74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ECA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01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2D0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1A3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79D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522727D0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A803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Jótállás mértéke (Kötelező 36 hónapon felüli hónapok)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E3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D90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9B3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7C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3B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D86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E7C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5C5740F2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3C51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Szerződés teljesítésébe bevont, alkalmasságot igazoló szakember MSZ az alkalmassági minimumkövetelményt meghaladó szakmai többlettapasztalata (minimum 0 hónap, maximum 36 hónap)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C88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5D5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75D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774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7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AF0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3580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6F1C56E8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EC4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 garanciális és jótállási időszak tartamán belül bármely a Megrendelő által felismert hiba Vállalkozó általi orvoslásának megkezdési időpontja, a bejelentést követően (minimum 1, maximum 5 munkanap)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096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8B96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F66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90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D07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328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2C9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76106A18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03D5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A súlyszámmal szorzott értékelési pontszámok összegei ajánlattevőnként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E7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E2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58F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934,6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EC8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DA3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BC8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221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</w:tbl>
    <w:p w14:paraId="6EC32050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p w14:paraId="4EBB982B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p w14:paraId="0DC9943F" w14:textId="77777777" w:rsidR="00054CFD" w:rsidRDefault="00054CFD" w:rsidP="00054CFD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/>
          <w:b/>
          <w:bCs/>
          <w:i/>
          <w:szCs w:val="24"/>
        </w:rPr>
      </w:pPr>
      <w:r>
        <w:rPr>
          <w:rFonts w:eastAsia="Calibri"/>
          <w:b/>
          <w:bCs/>
          <w:szCs w:val="24"/>
        </w:rPr>
        <w:t>rész</w:t>
      </w:r>
    </w:p>
    <w:p w14:paraId="0948FA93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5"/>
        <w:gridCol w:w="1277"/>
        <w:gridCol w:w="1277"/>
        <w:gridCol w:w="1135"/>
        <w:gridCol w:w="1135"/>
      </w:tblGrid>
      <w:tr w:rsidR="00054CFD" w14:paraId="0E55A839" w14:textId="77777777" w:rsidTr="0081747A">
        <w:trPr>
          <w:trHeight w:val="8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A08" w14:textId="77777777" w:rsidR="00054CFD" w:rsidRDefault="00054CFD" w:rsidP="0081747A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A53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EAF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TIA 2002 Kft.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DC4A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E184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Bit-Ép Kft.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E99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E821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SZKENDÓ Kft.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043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54CFD" w14:paraId="52F421AD" w14:textId="77777777" w:rsidTr="0081747A">
        <w:trPr>
          <w:trHeight w:val="1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4C2E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702E4066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Az értékelés részszempontjai (adott esetben alszempontjai 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208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 részszempontok súlyszámai (adott esetben alszempontok súlyszámai 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2D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7D03B175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C4ED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F78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6C873159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CC2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37D4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B98C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</w:tr>
      <w:tr w:rsidR="00054CFD" w14:paraId="02405752" w14:textId="77777777" w:rsidTr="0081747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C063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Ajánlati 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E4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EF0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4D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B0EE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F7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C60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580A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656,6</w:t>
            </w:r>
          </w:p>
        </w:tc>
      </w:tr>
      <w:tr w:rsidR="00054CFD" w14:paraId="0AB3B143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68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Jótállás mértéke (Kötelező 36 hónapon felüli hónapok)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1D5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E1C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9890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D2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075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299D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5A07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367F36A6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0E57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Szerződés teljesítésébe bevonni kívánt szakember szennyvízelvezetés építésében/felújításában szerzett szakmai tapasztalata (minimum 0 hónap, maximum 36 hónap)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F84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C8D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337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4A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D1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2DEA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65EF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406473D5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A51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 garanciális és jótállási időszak tartamán belül bármely a Megrendelő által felismert hiba Vállalkozó általi orvoslásának megkezdési időpontja, a bejelentést követően (minimum 1, maximum 5 munkanap)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15E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11C2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234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8D9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4F8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856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A37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100</w:t>
            </w:r>
          </w:p>
        </w:tc>
      </w:tr>
      <w:tr w:rsidR="00054CFD" w14:paraId="11CA2B2F" w14:textId="77777777" w:rsidTr="0081747A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8087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A súlyszámmal szorzott értékelési pontszámok összegei ajánlattevőnként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631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5E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D910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2DA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F72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219F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95FE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956,6</w:t>
            </w:r>
          </w:p>
        </w:tc>
      </w:tr>
    </w:tbl>
    <w:p w14:paraId="13E771EF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06"/>
        <w:gridCol w:w="1520"/>
        <w:gridCol w:w="936"/>
        <w:gridCol w:w="1301"/>
        <w:gridCol w:w="936"/>
        <w:gridCol w:w="1281"/>
        <w:gridCol w:w="936"/>
      </w:tblGrid>
      <w:tr w:rsidR="00054CFD" w14:paraId="766D7447" w14:textId="77777777" w:rsidTr="0081747A">
        <w:trPr>
          <w:trHeight w:val="81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8B8" w14:textId="77777777" w:rsidR="00054CFD" w:rsidRDefault="00054CFD" w:rsidP="0081747A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BD6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E82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GEOMÉ Kft.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E2E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3319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507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80E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21D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54CFD" w14:paraId="2ECF5B6E" w14:textId="77777777" w:rsidTr="0081747A">
        <w:trPr>
          <w:trHeight w:val="160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E83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4C896835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Az értékelés részszempontjai (adott esetben alszempontjai is)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935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 részszempontok súlyszámai (adott esetben alszempontok súlyszámai is)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101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4CC30064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CBAD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9366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562F8B17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E5CA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80ED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Értékelési pontszám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D864" w14:textId="77777777" w:rsidR="00054CFD" w:rsidRDefault="00054CFD" w:rsidP="0081747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Értékelési pontszám és súlyszám szorzata</w:t>
            </w:r>
          </w:p>
        </w:tc>
      </w:tr>
      <w:tr w:rsidR="00054CFD" w14:paraId="79D267D1" w14:textId="77777777" w:rsidTr="0081747A">
        <w:trPr>
          <w:trHeight w:val="29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6266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Ajánlati ár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24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CE54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51E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2942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5C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B54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7B0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4569C848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591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Jótállás mértéke (Kötelező 36 hónapon felüli hónapok)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30CC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9FE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7718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3E6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088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69F2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6A9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5B64DDD7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66A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Szerződés teljesítésébe bevont, alkalmasságot igazoló szakember MSZ az alkalmassági minimumkövetelményt meghaladó szakmai többlettapasztalata (minimum 0 hónap, maximum 36 hónap)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D55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F9E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7BC3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32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83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95D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291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466F2ADA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60CA" w14:textId="77777777" w:rsidR="00054CFD" w:rsidRDefault="00054CFD" w:rsidP="0081747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 garanciális és jótállási időszak tartamán belül bármely a Megrendelő által felismert hiba Vállalkozó általi orvoslásának megkezdési időpontja, a bejelentést követően (minimum 1, maximum 5 munkanap)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FD80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25A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8225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B0D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1C0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5ED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143" w14:textId="77777777" w:rsidR="00054CFD" w:rsidRDefault="00054CFD" w:rsidP="0081747A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054CFD" w14:paraId="63CD787F" w14:textId="77777777" w:rsidTr="0081747A">
        <w:trPr>
          <w:trHeight w:val="2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B9ED" w14:textId="77777777" w:rsidR="00054CFD" w:rsidRDefault="00054CFD" w:rsidP="0081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A súlyszámmal szorzott értékelési pontszámok összegei ajánlattevőnként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7809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14A" w14:textId="77777777" w:rsidR="00054CFD" w:rsidRDefault="00054CFD" w:rsidP="008174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9CA4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924,1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15D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390F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A0F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17A" w14:textId="77777777" w:rsidR="00054CFD" w:rsidRDefault="00054CFD" w:rsidP="0081747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</w:tbl>
    <w:p w14:paraId="5C947C4C" w14:textId="77777777" w:rsidR="00054CFD" w:rsidRDefault="00054CFD" w:rsidP="00054CFD">
      <w:pPr>
        <w:jc w:val="both"/>
        <w:rPr>
          <w:rFonts w:ascii="KH Sans" w:eastAsia="Calibri" w:hAnsi="KH Sans"/>
          <w:i/>
          <w:szCs w:val="24"/>
        </w:rPr>
      </w:pPr>
    </w:p>
    <w:p w14:paraId="4771597C" w14:textId="77777777" w:rsidR="00054CFD" w:rsidRDefault="00054CFD" w:rsidP="00DD3C1C">
      <w:pPr>
        <w:jc w:val="both"/>
        <w:rPr>
          <w:sz w:val="28"/>
          <w:szCs w:val="28"/>
        </w:rPr>
      </w:pPr>
    </w:p>
    <w:p w14:paraId="6282B6C6" w14:textId="13045FD7" w:rsidR="00054CFD" w:rsidRDefault="00054CFD" w:rsidP="00DD3C1C">
      <w:pPr>
        <w:jc w:val="both"/>
        <w:rPr>
          <w:sz w:val="28"/>
          <w:szCs w:val="28"/>
        </w:rPr>
      </w:pPr>
      <w:r>
        <w:rPr>
          <w:sz w:val="28"/>
          <w:szCs w:val="28"/>
        </w:rPr>
        <w:t>Itt mindkét rész tek</w:t>
      </w:r>
      <w:r w:rsidR="009306A7">
        <w:rPr>
          <w:sz w:val="28"/>
          <w:szCs w:val="28"/>
        </w:rPr>
        <w:t>i</w:t>
      </w:r>
      <w:r>
        <w:rPr>
          <w:sz w:val="28"/>
          <w:szCs w:val="28"/>
        </w:rPr>
        <w:t xml:space="preserve">ntetében a nyertes ajánlattevő a BIT-ÉP Kft. lett, jelenleg a szerződéskötésen van sor, és áthúzódik így a megvalósítás 2024. évre, a </w:t>
      </w:r>
      <w:proofErr w:type="spellStart"/>
      <w:r>
        <w:rPr>
          <w:sz w:val="28"/>
          <w:szCs w:val="28"/>
        </w:rPr>
        <w:t>gft</w:t>
      </w:r>
      <w:proofErr w:type="spellEnd"/>
      <w:r>
        <w:rPr>
          <w:sz w:val="28"/>
          <w:szCs w:val="28"/>
        </w:rPr>
        <w:t xml:space="preserve"> terhére. </w:t>
      </w:r>
    </w:p>
    <w:p w14:paraId="4BAAA3C5" w14:textId="77777777" w:rsidR="00054CFD" w:rsidRDefault="00054CFD" w:rsidP="00DD3C1C">
      <w:pPr>
        <w:jc w:val="both"/>
        <w:rPr>
          <w:sz w:val="28"/>
          <w:szCs w:val="28"/>
        </w:rPr>
      </w:pPr>
    </w:p>
    <w:p w14:paraId="6C598E3C" w14:textId="77777777" w:rsidR="00054CFD" w:rsidRDefault="00054CFD" w:rsidP="00DD3C1C">
      <w:pPr>
        <w:jc w:val="both"/>
        <w:rPr>
          <w:sz w:val="28"/>
          <w:szCs w:val="28"/>
        </w:rPr>
      </w:pPr>
    </w:p>
    <w:p w14:paraId="42B2938D" w14:textId="77777777" w:rsidR="00054CFD" w:rsidRDefault="00054CFD" w:rsidP="00DD3C1C">
      <w:pPr>
        <w:jc w:val="both"/>
        <w:rPr>
          <w:sz w:val="28"/>
          <w:szCs w:val="28"/>
        </w:rPr>
      </w:pPr>
    </w:p>
    <w:p w14:paraId="57D35686" w14:textId="77777777" w:rsidR="00054CFD" w:rsidRPr="00054CFD" w:rsidRDefault="00054CFD" w:rsidP="00054CFD">
      <w:pPr>
        <w:jc w:val="center"/>
        <w:rPr>
          <w:b/>
          <w:sz w:val="28"/>
          <w:szCs w:val="28"/>
        </w:rPr>
      </w:pPr>
      <w:r w:rsidRPr="00054CFD">
        <w:rPr>
          <w:b/>
          <w:sz w:val="28"/>
          <w:szCs w:val="28"/>
        </w:rPr>
        <w:lastRenderedPageBreak/>
        <w:t>HATÁROZATI JAVASLAT</w:t>
      </w:r>
    </w:p>
    <w:p w14:paraId="61AB2566" w14:textId="77777777" w:rsidR="00054CFD" w:rsidRDefault="00054CFD" w:rsidP="00DD3C1C">
      <w:pPr>
        <w:jc w:val="both"/>
        <w:rPr>
          <w:sz w:val="28"/>
          <w:szCs w:val="28"/>
        </w:rPr>
      </w:pPr>
    </w:p>
    <w:p w14:paraId="7DC6A845" w14:textId="77777777" w:rsidR="00054CFD" w:rsidRDefault="00054CFD" w:rsidP="00DD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a Pénzügyi és Közbeszerzési Bizottság közbeszerzési tevékenységéről szóló éves beszámolót jóváhagyja. </w:t>
      </w:r>
    </w:p>
    <w:p w14:paraId="493266B0" w14:textId="77777777" w:rsidR="00054CFD" w:rsidRDefault="00054CFD" w:rsidP="00DD3C1C">
      <w:pPr>
        <w:jc w:val="both"/>
        <w:rPr>
          <w:sz w:val="28"/>
          <w:szCs w:val="28"/>
        </w:rPr>
      </w:pPr>
    </w:p>
    <w:p w14:paraId="2D9A3F16" w14:textId="09AABA40" w:rsidR="00054CFD" w:rsidRPr="009306A7" w:rsidRDefault="00054CFD" w:rsidP="00DD3C1C">
      <w:pPr>
        <w:jc w:val="both"/>
        <w:rPr>
          <w:b/>
          <w:bCs/>
          <w:sz w:val="28"/>
          <w:szCs w:val="28"/>
        </w:rPr>
      </w:pPr>
      <w:r w:rsidRPr="009306A7">
        <w:rPr>
          <w:b/>
          <w:bCs/>
          <w:sz w:val="28"/>
          <w:szCs w:val="28"/>
        </w:rPr>
        <w:t xml:space="preserve">Dr. Szabó Barna </w:t>
      </w:r>
      <w:proofErr w:type="spellStart"/>
      <w:r w:rsidRPr="009306A7">
        <w:rPr>
          <w:b/>
          <w:bCs/>
          <w:sz w:val="28"/>
          <w:szCs w:val="28"/>
        </w:rPr>
        <w:t>sk</w:t>
      </w:r>
      <w:proofErr w:type="spellEnd"/>
      <w:r w:rsidRPr="009306A7">
        <w:rPr>
          <w:b/>
          <w:bCs/>
          <w:sz w:val="28"/>
          <w:szCs w:val="28"/>
        </w:rPr>
        <w:t xml:space="preserve">.                                                     </w:t>
      </w:r>
      <w:r w:rsidR="009306A7">
        <w:rPr>
          <w:b/>
          <w:bCs/>
          <w:sz w:val="28"/>
          <w:szCs w:val="28"/>
        </w:rPr>
        <w:t xml:space="preserve">         </w:t>
      </w:r>
      <w:r w:rsidRPr="009306A7">
        <w:rPr>
          <w:b/>
          <w:bCs/>
          <w:sz w:val="28"/>
          <w:szCs w:val="28"/>
        </w:rPr>
        <w:t xml:space="preserve"> </w:t>
      </w:r>
      <w:proofErr w:type="spellStart"/>
      <w:r w:rsidRPr="009306A7">
        <w:rPr>
          <w:b/>
          <w:bCs/>
          <w:sz w:val="28"/>
          <w:szCs w:val="28"/>
        </w:rPr>
        <w:t>Bebes</w:t>
      </w:r>
      <w:proofErr w:type="spellEnd"/>
      <w:r w:rsidRPr="009306A7">
        <w:rPr>
          <w:b/>
          <w:bCs/>
          <w:sz w:val="28"/>
          <w:szCs w:val="28"/>
        </w:rPr>
        <w:t xml:space="preserve"> István</w:t>
      </w:r>
    </w:p>
    <w:p w14:paraId="1172FDF8" w14:textId="77777777" w:rsidR="00054CFD" w:rsidRPr="009306A7" w:rsidRDefault="00054CFD" w:rsidP="00DD3C1C">
      <w:pPr>
        <w:jc w:val="both"/>
        <w:rPr>
          <w:b/>
          <w:bCs/>
          <w:sz w:val="28"/>
          <w:szCs w:val="28"/>
        </w:rPr>
      </w:pPr>
      <w:r w:rsidRPr="009306A7">
        <w:rPr>
          <w:b/>
          <w:bCs/>
          <w:sz w:val="28"/>
          <w:szCs w:val="28"/>
        </w:rPr>
        <w:t xml:space="preserve">elnök </w:t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</w:r>
      <w:r w:rsidRPr="009306A7">
        <w:rPr>
          <w:b/>
          <w:bCs/>
          <w:sz w:val="28"/>
          <w:szCs w:val="28"/>
        </w:rPr>
        <w:tab/>
        <w:t xml:space="preserve">polgármester </w:t>
      </w:r>
    </w:p>
    <w:sectPr w:rsidR="00054CFD" w:rsidRPr="009306A7" w:rsidSect="0034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 DinDisplay Pro">
    <w:altName w:val="Calibri"/>
    <w:charset w:val="00"/>
    <w:family w:val="auto"/>
    <w:pitch w:val="variable"/>
    <w:sig w:usb0="A00002BF" w:usb1="5000E0FB" w:usb2="00000000" w:usb3="00000000" w:csb0="0000019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KH Sans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7A1A"/>
    <w:multiLevelType w:val="hybridMultilevel"/>
    <w:tmpl w:val="53C8938A"/>
    <w:lvl w:ilvl="0" w:tplc="CFBE26F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27BC7"/>
    <w:multiLevelType w:val="hybridMultilevel"/>
    <w:tmpl w:val="EF0884B6"/>
    <w:lvl w:ilvl="0" w:tplc="9496B4F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451E"/>
    <w:multiLevelType w:val="hybridMultilevel"/>
    <w:tmpl w:val="38DA51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57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437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2509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B84"/>
    <w:rsid w:val="00054CFD"/>
    <w:rsid w:val="00344D3D"/>
    <w:rsid w:val="007C1B84"/>
    <w:rsid w:val="009306A7"/>
    <w:rsid w:val="00D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625B"/>
  <w15:docId w15:val="{2FFFFD71-55C8-4A86-815B-FBDDEEC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D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Színes lista – 1. jelölőszín1 Char,lista_2 Char,Bullet_1 Char,bekezdés1 Char,List Paragraph à moi Char,Dot pt Char,No Spacing1 Char,List Paragraph Char Char Char Char,Indicator Text Char,Numbered Para 1 Char"/>
    <w:link w:val="Listaszerbekezds"/>
    <w:uiPriority w:val="99"/>
    <w:qFormat/>
    <w:locked/>
    <w:rsid w:val="00DD3C1C"/>
    <w:rPr>
      <w:kern w:val="2"/>
    </w:rPr>
  </w:style>
  <w:style w:type="paragraph" w:styleId="Listaszerbekezds">
    <w:name w:val="List Paragraph"/>
    <w:aliases w:val="Welt L,Színes lista – 1. jelölőszín1,lista_2,Bullet_1,bekezdés1,List Paragraph à moi,Dot pt,No Spacing1,List Paragraph Char Char Char,Indicator Text,Numbered Para 1,Bullet List,FooterText,numbered,Paragraphe de liste1,List Paragraph"/>
    <w:basedOn w:val="Norml"/>
    <w:link w:val="ListaszerbekezdsChar"/>
    <w:uiPriority w:val="99"/>
    <w:qFormat/>
    <w:rsid w:val="00DD3C1C"/>
    <w:pPr>
      <w:spacing w:after="0" w:line="240" w:lineRule="auto"/>
      <w:ind w:left="720"/>
      <w:contextualSpacing/>
    </w:pPr>
    <w:rPr>
      <w:kern w:val="2"/>
    </w:rPr>
  </w:style>
  <w:style w:type="table" w:styleId="Rcsostblzat">
    <w:name w:val="Table Grid"/>
    <w:basedOn w:val="Normltblzat"/>
    <w:uiPriority w:val="39"/>
    <w:rsid w:val="00DD3C1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827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2023-12-07T06:44:00Z</cp:lastPrinted>
  <dcterms:created xsi:type="dcterms:W3CDTF">2023-12-06T05:13:00Z</dcterms:created>
  <dcterms:modified xsi:type="dcterms:W3CDTF">2023-12-07T06:44:00Z</dcterms:modified>
</cp:coreProperties>
</file>