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56E3" w14:textId="77777777" w:rsidR="009414D1" w:rsidRDefault="009414D1" w:rsidP="009414D1">
      <w:pPr>
        <w:pStyle w:val="Nincstrkz"/>
        <w:jc w:val="both"/>
        <w:rPr>
          <w:rFonts w:ascii="Times New Roman" w:hAnsi="Times New Roman"/>
          <w:b/>
          <w:sz w:val="24"/>
          <w:szCs w:val="24"/>
        </w:rPr>
      </w:pPr>
    </w:p>
    <w:p w14:paraId="6FAC4AAF" w14:textId="77777777" w:rsidR="009414D1" w:rsidRDefault="009414D1" w:rsidP="009414D1">
      <w:pPr>
        <w:jc w:val="center"/>
        <w:rPr>
          <w:rFonts w:ascii="Times New Roman" w:hAnsi="Times New Roman"/>
          <w:b/>
          <w:sz w:val="24"/>
          <w:szCs w:val="24"/>
        </w:rPr>
      </w:pPr>
      <w:r>
        <w:rPr>
          <w:rFonts w:ascii="Times New Roman" w:hAnsi="Times New Roman"/>
          <w:b/>
          <w:sz w:val="24"/>
          <w:szCs w:val="24"/>
        </w:rPr>
        <w:t>Előterjesztés</w:t>
      </w:r>
    </w:p>
    <w:p w14:paraId="3FB9FE1B" w14:textId="2985F852" w:rsidR="009414D1" w:rsidRDefault="009414D1" w:rsidP="009414D1">
      <w:pPr>
        <w:jc w:val="center"/>
        <w:rPr>
          <w:rFonts w:ascii="Times New Roman" w:hAnsi="Times New Roman"/>
          <w:b/>
          <w:sz w:val="24"/>
          <w:szCs w:val="24"/>
        </w:rPr>
      </w:pPr>
      <w:r>
        <w:rPr>
          <w:rFonts w:ascii="Times New Roman" w:hAnsi="Times New Roman"/>
          <w:b/>
          <w:sz w:val="24"/>
          <w:szCs w:val="24"/>
        </w:rPr>
        <w:t>Körmend Város Önkormányzata Képviselő-testülete 2023. szeptember 06</w:t>
      </w:r>
      <w:r>
        <w:rPr>
          <w:rFonts w:ascii="Times New Roman" w:hAnsi="Times New Roman"/>
          <w:b/>
          <w:sz w:val="24"/>
          <w:szCs w:val="24"/>
        </w:rPr>
        <w:t xml:space="preserve">- </w:t>
      </w:r>
      <w:r>
        <w:rPr>
          <w:rFonts w:ascii="Times New Roman" w:hAnsi="Times New Roman"/>
          <w:b/>
          <w:sz w:val="24"/>
          <w:szCs w:val="24"/>
        </w:rPr>
        <w:t>i ülésére</w:t>
      </w:r>
    </w:p>
    <w:p w14:paraId="5D562640" w14:textId="77777777" w:rsidR="009414D1" w:rsidRDefault="009414D1" w:rsidP="009414D1">
      <w:pPr>
        <w:jc w:val="both"/>
        <w:rPr>
          <w:rFonts w:ascii="Times New Roman" w:hAnsi="Times New Roman"/>
          <w:sz w:val="24"/>
          <w:szCs w:val="24"/>
        </w:rPr>
      </w:pPr>
    </w:p>
    <w:p w14:paraId="4D065A4A" w14:textId="77777777" w:rsidR="009414D1" w:rsidRDefault="009414D1" w:rsidP="009414D1">
      <w:pPr>
        <w:jc w:val="both"/>
        <w:rPr>
          <w:rFonts w:ascii="Times New Roman" w:hAnsi="Times New Roman"/>
          <w:i/>
          <w:sz w:val="24"/>
          <w:szCs w:val="24"/>
        </w:rPr>
      </w:pPr>
      <w:r>
        <w:rPr>
          <w:rFonts w:ascii="Times New Roman" w:hAnsi="Times New Roman"/>
          <w:b/>
          <w:sz w:val="24"/>
          <w:szCs w:val="24"/>
        </w:rPr>
        <w:t>Tárgy:</w:t>
      </w:r>
      <w:r>
        <w:rPr>
          <w:rFonts w:ascii="Times New Roman" w:hAnsi="Times New Roman"/>
          <w:sz w:val="24"/>
          <w:szCs w:val="24"/>
        </w:rPr>
        <w:t xml:space="preserve"> Pályázat támogatás igénylésére</w:t>
      </w:r>
    </w:p>
    <w:p w14:paraId="07C29816" w14:textId="77777777" w:rsidR="009414D1" w:rsidRDefault="009414D1" w:rsidP="009414D1">
      <w:pPr>
        <w:jc w:val="both"/>
        <w:rPr>
          <w:rFonts w:ascii="Times New Roman" w:hAnsi="Times New Roman"/>
          <w:i/>
          <w:sz w:val="24"/>
          <w:szCs w:val="24"/>
        </w:rPr>
      </w:pPr>
    </w:p>
    <w:p w14:paraId="4F51373E" w14:textId="77777777" w:rsidR="009414D1" w:rsidRDefault="009414D1" w:rsidP="009414D1">
      <w:pPr>
        <w:jc w:val="both"/>
        <w:rPr>
          <w:rFonts w:ascii="Times New Roman" w:hAnsi="Times New Roman"/>
          <w:i/>
          <w:sz w:val="24"/>
          <w:szCs w:val="24"/>
        </w:rPr>
      </w:pPr>
    </w:p>
    <w:p w14:paraId="79C128A6" w14:textId="77777777" w:rsidR="009414D1" w:rsidRDefault="009414D1" w:rsidP="009414D1">
      <w:pPr>
        <w:jc w:val="both"/>
        <w:rPr>
          <w:rFonts w:ascii="Times New Roman" w:hAnsi="Times New Roman"/>
          <w:i/>
          <w:sz w:val="24"/>
          <w:szCs w:val="24"/>
        </w:rPr>
      </w:pPr>
      <w:r>
        <w:rPr>
          <w:rFonts w:ascii="Times New Roman" w:hAnsi="Times New Roman"/>
          <w:i/>
          <w:sz w:val="24"/>
          <w:szCs w:val="24"/>
        </w:rPr>
        <w:t>Tisztelt Képviselő-testület!</w:t>
      </w:r>
    </w:p>
    <w:p w14:paraId="0241746D" w14:textId="77777777" w:rsidR="009414D1" w:rsidRDefault="009414D1" w:rsidP="009414D1">
      <w:pPr>
        <w:jc w:val="both"/>
        <w:rPr>
          <w:rFonts w:ascii="Times New Roman" w:hAnsi="Times New Roman"/>
          <w:i/>
          <w:sz w:val="24"/>
          <w:szCs w:val="24"/>
        </w:rPr>
      </w:pPr>
    </w:p>
    <w:p w14:paraId="241C207D" w14:textId="77777777" w:rsidR="009414D1" w:rsidRDefault="009414D1" w:rsidP="009414D1">
      <w:pPr>
        <w:jc w:val="both"/>
        <w:rPr>
          <w:rFonts w:ascii="Times New Roman" w:hAnsi="Times New Roman"/>
          <w:sz w:val="24"/>
          <w:szCs w:val="24"/>
        </w:rPr>
      </w:pPr>
      <w:r>
        <w:rPr>
          <w:rFonts w:ascii="Times New Roman" w:hAnsi="Times New Roman"/>
          <w:sz w:val="24"/>
          <w:szCs w:val="24"/>
        </w:rPr>
        <w:t xml:space="preserve">A 2023. évi központi költségvetésről szóló 2022. évi XXV. törvény 3. melléklet „A helyi önkormányzatok kiegészítő támogatásai” I. Előirányzatok és támogatások 2.1.5. szerinti önkormányzatok rendkívüli támogatása jogcím fedezetéül 5 500,0 millió forint előirányzat </w:t>
      </w:r>
      <w:proofErr w:type="gramStart"/>
      <w:r>
        <w:rPr>
          <w:rFonts w:ascii="Times New Roman" w:hAnsi="Times New Roman"/>
          <w:sz w:val="24"/>
          <w:szCs w:val="24"/>
        </w:rPr>
        <w:t>szolgál,  figyelemmel</w:t>
      </w:r>
      <w:proofErr w:type="gramEnd"/>
      <w:r>
        <w:rPr>
          <w:rFonts w:ascii="Times New Roman" w:hAnsi="Times New Roman"/>
          <w:sz w:val="24"/>
          <w:szCs w:val="24"/>
        </w:rPr>
        <w:t xml:space="preserve"> az 5.1. a) alpont szerinti az önkormányzatok működőképességének megőrzése vagy egyéb, a feladataik ellátását veszélyeztető helyzet elhárítása érdekében nyújtott pályázati úton történő támogatására. </w:t>
      </w:r>
    </w:p>
    <w:p w14:paraId="6617194D" w14:textId="77777777" w:rsidR="009414D1" w:rsidRDefault="009414D1" w:rsidP="009414D1">
      <w:pPr>
        <w:jc w:val="both"/>
        <w:rPr>
          <w:rFonts w:ascii="Times New Roman" w:hAnsi="Times New Roman"/>
          <w:sz w:val="24"/>
          <w:szCs w:val="24"/>
        </w:rPr>
      </w:pPr>
    </w:p>
    <w:p w14:paraId="1F32912A" w14:textId="77777777" w:rsidR="009414D1" w:rsidRDefault="009414D1" w:rsidP="009414D1">
      <w:pPr>
        <w:jc w:val="both"/>
        <w:rPr>
          <w:rFonts w:ascii="Times New Roman" w:hAnsi="Times New Roman"/>
          <w:sz w:val="24"/>
          <w:szCs w:val="24"/>
        </w:rPr>
      </w:pPr>
      <w:r>
        <w:rPr>
          <w:rFonts w:ascii="Times New Roman" w:hAnsi="Times New Roman"/>
          <w:sz w:val="24"/>
          <w:szCs w:val="24"/>
        </w:rPr>
        <w:t xml:space="preserve">A pályázatot a belügyminiszter és a pénzügyminiszter Pályázati Kiírása alapján 2023. évben négy alakalommal lehet benyújtani folyamatosan, de alapesetben </w:t>
      </w:r>
      <w:r>
        <w:rPr>
          <w:rFonts w:ascii="Times New Roman" w:hAnsi="Times New Roman"/>
          <w:i/>
          <w:sz w:val="24"/>
          <w:szCs w:val="24"/>
        </w:rPr>
        <w:t>legkésőbb 2023.szeptember 30-áig</w:t>
      </w:r>
      <w:r>
        <w:rPr>
          <w:rFonts w:ascii="Times New Roman" w:hAnsi="Times New Roman"/>
          <w:sz w:val="24"/>
          <w:szCs w:val="24"/>
        </w:rPr>
        <w:t>. A döntéshozatal legkésőbbi határideje 2023. december 11-e. Az előző évekhez képest a legfontosabb eltérés, hogy már négy alkalommal lehet pályázatot benyújtani.</w:t>
      </w:r>
    </w:p>
    <w:p w14:paraId="71F7CB33" w14:textId="77777777" w:rsidR="009414D1" w:rsidRDefault="009414D1" w:rsidP="009414D1">
      <w:pPr>
        <w:numPr>
          <w:ilvl w:val="0"/>
          <w:numId w:val="1"/>
        </w:numPr>
        <w:jc w:val="both"/>
        <w:rPr>
          <w:rFonts w:ascii="Times New Roman" w:hAnsi="Times New Roman"/>
          <w:sz w:val="24"/>
          <w:szCs w:val="24"/>
        </w:rPr>
      </w:pPr>
      <w:r>
        <w:rPr>
          <w:rFonts w:ascii="Times New Roman" w:hAnsi="Times New Roman"/>
          <w:sz w:val="24"/>
          <w:szCs w:val="24"/>
          <w:u w:val="single"/>
        </w:rPr>
        <w:t>Pályázók köre:</w:t>
      </w:r>
      <w:r>
        <w:rPr>
          <w:rFonts w:ascii="Times New Roman" w:hAnsi="Times New Roman"/>
          <w:sz w:val="24"/>
          <w:szCs w:val="24"/>
        </w:rPr>
        <w:t xml:space="preserve"> a támogatásra a települési önkormányzatok pályázhatnak.</w:t>
      </w:r>
    </w:p>
    <w:p w14:paraId="4A3B66A7" w14:textId="77777777" w:rsidR="009414D1" w:rsidRDefault="009414D1" w:rsidP="009414D1">
      <w:pPr>
        <w:numPr>
          <w:ilvl w:val="0"/>
          <w:numId w:val="1"/>
        </w:numPr>
        <w:jc w:val="both"/>
        <w:rPr>
          <w:rFonts w:ascii="Times New Roman" w:hAnsi="Times New Roman"/>
          <w:sz w:val="24"/>
          <w:szCs w:val="24"/>
        </w:rPr>
      </w:pPr>
      <w:r>
        <w:rPr>
          <w:rFonts w:ascii="Times New Roman" w:hAnsi="Times New Roman"/>
          <w:sz w:val="24"/>
          <w:szCs w:val="24"/>
          <w:u w:val="single"/>
        </w:rPr>
        <w:t>A támogatás formája:</w:t>
      </w:r>
      <w:r>
        <w:rPr>
          <w:rFonts w:ascii="Times New Roman" w:hAnsi="Times New Roman"/>
          <w:sz w:val="24"/>
          <w:szCs w:val="24"/>
        </w:rPr>
        <w:t xml:space="preserve"> a támogatás vissza nem térítendő és visszatérítendő költségvetési támogatás formájában pályázható, illetve nyújtható és felhasználása meghatározott célhoz vagy feladathoz köthető.</w:t>
      </w:r>
    </w:p>
    <w:p w14:paraId="63DDE9B6" w14:textId="77777777" w:rsidR="009414D1" w:rsidRDefault="009414D1" w:rsidP="009414D1">
      <w:pPr>
        <w:numPr>
          <w:ilvl w:val="0"/>
          <w:numId w:val="1"/>
        </w:numPr>
        <w:jc w:val="both"/>
        <w:rPr>
          <w:rFonts w:ascii="Times New Roman" w:hAnsi="Times New Roman"/>
          <w:sz w:val="24"/>
          <w:szCs w:val="24"/>
        </w:rPr>
      </w:pPr>
      <w:r>
        <w:rPr>
          <w:rFonts w:ascii="Times New Roman" w:hAnsi="Times New Roman"/>
          <w:sz w:val="24"/>
          <w:szCs w:val="24"/>
          <w:u w:val="single"/>
        </w:rPr>
        <w:t>A támogatás mértéke:</w:t>
      </w:r>
      <w:r>
        <w:rPr>
          <w:rFonts w:ascii="Times New Roman" w:hAnsi="Times New Roman"/>
          <w:sz w:val="24"/>
          <w:szCs w:val="24"/>
        </w:rPr>
        <w:t xml:space="preserve"> egyedi felülvizsgálat alapján a támogatás mértékét a megpályázott összeg keretein belül a helyi önkormányzatokért felelős miniszter és az államháztartásért felelős miniszter állapítják meg.</w:t>
      </w:r>
    </w:p>
    <w:p w14:paraId="535BCB2D" w14:textId="77777777" w:rsidR="009414D1" w:rsidRDefault="009414D1" w:rsidP="009414D1">
      <w:pPr>
        <w:numPr>
          <w:ilvl w:val="0"/>
          <w:numId w:val="1"/>
        </w:numPr>
        <w:jc w:val="both"/>
        <w:rPr>
          <w:rFonts w:ascii="Times New Roman" w:hAnsi="Times New Roman"/>
          <w:sz w:val="24"/>
          <w:szCs w:val="24"/>
        </w:rPr>
      </w:pPr>
      <w:r>
        <w:rPr>
          <w:rFonts w:ascii="Times New Roman" w:hAnsi="Times New Roman"/>
          <w:sz w:val="24"/>
          <w:szCs w:val="24"/>
          <w:u w:val="single"/>
        </w:rPr>
        <w:t>A pályázat benyújtása:</w:t>
      </w:r>
      <w:r>
        <w:rPr>
          <w:rFonts w:ascii="Times New Roman" w:hAnsi="Times New Roman"/>
          <w:sz w:val="24"/>
          <w:szCs w:val="24"/>
        </w:rPr>
        <w:t xml:space="preserve"> elektronikusan történik, az ebr42 önkormányzati információs rendszerben.</w:t>
      </w:r>
    </w:p>
    <w:p w14:paraId="038E51F2" w14:textId="77777777" w:rsidR="009414D1" w:rsidRDefault="009414D1" w:rsidP="009414D1">
      <w:pPr>
        <w:jc w:val="both"/>
        <w:rPr>
          <w:rFonts w:ascii="Times New Roman" w:hAnsi="Times New Roman"/>
          <w:sz w:val="24"/>
          <w:szCs w:val="24"/>
        </w:rPr>
      </w:pPr>
    </w:p>
    <w:p w14:paraId="05EA672B" w14:textId="77777777" w:rsidR="009414D1" w:rsidRDefault="009414D1" w:rsidP="009414D1">
      <w:pPr>
        <w:jc w:val="both"/>
        <w:rPr>
          <w:rFonts w:ascii="Times New Roman" w:hAnsi="Times New Roman"/>
          <w:sz w:val="24"/>
          <w:szCs w:val="24"/>
        </w:rPr>
      </w:pPr>
      <w:r>
        <w:rPr>
          <w:rFonts w:ascii="Times New Roman" w:hAnsi="Times New Roman"/>
          <w:sz w:val="24"/>
          <w:szCs w:val="24"/>
        </w:rPr>
        <w:t>A pályázat beadásának célja az önkormányzatok esetében a működőképesség megőrzése, a feladatok folyamatos ellátásának a biztosítása. Az önkormányzat a pályázati kiírás alapján nyújtja be pályázatát 2023-ben, vissza nem térítendő támogatásra. (Az Önkormányzatok, köztük Körmend is, minden évben benyújtják e pályázati forrásra a pályázatukat. Az elmúlt öt évben Körmend Város Önkormányzata támogatásban részesült az alábbiak szerint. A támogatás összege nem azonos a pályázati igénnyel.)</w:t>
      </w:r>
    </w:p>
    <w:p w14:paraId="0C847D38" w14:textId="77777777" w:rsidR="009414D1" w:rsidRDefault="009414D1" w:rsidP="009414D1">
      <w:pPr>
        <w:jc w:val="both"/>
        <w:rPr>
          <w:rFonts w:ascii="Times New Roman" w:hAnsi="Times New Roman"/>
          <w:sz w:val="24"/>
          <w:szCs w:val="24"/>
        </w:rPr>
      </w:pPr>
    </w:p>
    <w:tbl>
      <w:tblPr>
        <w:tblW w:w="2850" w:type="dxa"/>
        <w:jc w:val="center"/>
        <w:tblCellMar>
          <w:left w:w="70" w:type="dxa"/>
          <w:right w:w="70" w:type="dxa"/>
        </w:tblCellMar>
        <w:tblLook w:val="04A0" w:firstRow="1" w:lastRow="0" w:firstColumn="1" w:lastColumn="0" w:noHBand="0" w:noVBand="1"/>
      </w:tblPr>
      <w:tblGrid>
        <w:gridCol w:w="960"/>
        <w:gridCol w:w="1890"/>
      </w:tblGrid>
      <w:tr w:rsidR="009414D1" w14:paraId="56D3A0FD" w14:textId="77777777" w:rsidTr="009414D1">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1C48158" w14:textId="77777777" w:rsidR="009414D1" w:rsidRDefault="009414D1">
            <w:pPr>
              <w:overflowPunct/>
              <w:autoSpaceDE/>
              <w:adjustRightInd/>
              <w:jc w:val="center"/>
              <w:rPr>
                <w:rFonts w:ascii="Times New Roman" w:hAnsi="Times New Roman"/>
                <w:bCs/>
                <w:color w:val="000000"/>
                <w:sz w:val="24"/>
                <w:szCs w:val="24"/>
              </w:rPr>
            </w:pPr>
            <w:r>
              <w:rPr>
                <w:rFonts w:ascii="Times New Roman" w:hAnsi="Times New Roman"/>
                <w:bCs/>
                <w:color w:val="000000"/>
                <w:sz w:val="24"/>
                <w:szCs w:val="24"/>
              </w:rPr>
              <w:t>év</w:t>
            </w:r>
          </w:p>
        </w:tc>
        <w:tc>
          <w:tcPr>
            <w:tcW w:w="1890" w:type="dxa"/>
            <w:tcBorders>
              <w:top w:val="single" w:sz="4" w:space="0" w:color="auto"/>
              <w:left w:val="nil"/>
              <w:bottom w:val="single" w:sz="4" w:space="0" w:color="auto"/>
              <w:right w:val="single" w:sz="4" w:space="0" w:color="auto"/>
            </w:tcBorders>
            <w:noWrap/>
            <w:vAlign w:val="bottom"/>
            <w:hideMark/>
          </w:tcPr>
          <w:p w14:paraId="7AA2E90D" w14:textId="77777777" w:rsidR="009414D1" w:rsidRDefault="009414D1">
            <w:pPr>
              <w:overflowPunct/>
              <w:autoSpaceDE/>
              <w:adjustRightInd/>
              <w:jc w:val="right"/>
              <w:rPr>
                <w:rFonts w:ascii="Times New Roman" w:hAnsi="Times New Roman"/>
                <w:bCs/>
                <w:color w:val="000000"/>
                <w:sz w:val="24"/>
                <w:szCs w:val="24"/>
              </w:rPr>
            </w:pPr>
            <w:r>
              <w:rPr>
                <w:rFonts w:ascii="Times New Roman" w:hAnsi="Times New Roman"/>
                <w:bCs/>
                <w:color w:val="000000"/>
                <w:sz w:val="24"/>
                <w:szCs w:val="24"/>
              </w:rPr>
              <w:t>adatok Ft-ban</w:t>
            </w:r>
          </w:p>
        </w:tc>
      </w:tr>
      <w:tr w:rsidR="009414D1" w14:paraId="3A6943C4" w14:textId="77777777" w:rsidTr="009414D1">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14:paraId="0FD40120" w14:textId="77777777" w:rsidR="009414D1" w:rsidRDefault="009414D1">
            <w:pPr>
              <w:overflowPunct/>
              <w:autoSpaceDE/>
              <w:adjustRightInd/>
              <w:jc w:val="center"/>
              <w:rPr>
                <w:rFonts w:ascii="Times New Roman" w:hAnsi="Times New Roman"/>
                <w:bCs/>
                <w:color w:val="000000"/>
                <w:sz w:val="24"/>
                <w:szCs w:val="24"/>
              </w:rPr>
            </w:pPr>
            <w:r>
              <w:rPr>
                <w:rFonts w:ascii="Times New Roman" w:hAnsi="Times New Roman"/>
                <w:bCs/>
                <w:color w:val="000000"/>
                <w:sz w:val="24"/>
                <w:szCs w:val="24"/>
              </w:rPr>
              <w:t>2018</w:t>
            </w:r>
          </w:p>
        </w:tc>
        <w:tc>
          <w:tcPr>
            <w:tcW w:w="1890" w:type="dxa"/>
            <w:tcBorders>
              <w:top w:val="nil"/>
              <w:left w:val="nil"/>
              <w:bottom w:val="single" w:sz="4" w:space="0" w:color="auto"/>
              <w:right w:val="single" w:sz="4" w:space="0" w:color="auto"/>
            </w:tcBorders>
            <w:noWrap/>
            <w:vAlign w:val="bottom"/>
            <w:hideMark/>
          </w:tcPr>
          <w:p w14:paraId="533BDBBA" w14:textId="77777777" w:rsidR="009414D1" w:rsidRDefault="009414D1">
            <w:pPr>
              <w:overflowPunct/>
              <w:autoSpaceDE/>
              <w:adjustRightInd/>
              <w:jc w:val="right"/>
              <w:rPr>
                <w:rFonts w:ascii="Times New Roman" w:hAnsi="Times New Roman"/>
                <w:color w:val="000000"/>
                <w:sz w:val="24"/>
                <w:szCs w:val="24"/>
              </w:rPr>
            </w:pPr>
            <w:r>
              <w:rPr>
                <w:rFonts w:ascii="Times New Roman" w:hAnsi="Times New Roman"/>
                <w:color w:val="000000"/>
                <w:sz w:val="24"/>
                <w:szCs w:val="24"/>
              </w:rPr>
              <w:t>30 000 000</w:t>
            </w:r>
          </w:p>
        </w:tc>
      </w:tr>
      <w:tr w:rsidR="009414D1" w14:paraId="08DD4128" w14:textId="77777777" w:rsidTr="009414D1">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14:paraId="73597DD5" w14:textId="77777777" w:rsidR="009414D1" w:rsidRDefault="009414D1">
            <w:pPr>
              <w:overflowPunct/>
              <w:autoSpaceDE/>
              <w:adjustRightInd/>
              <w:jc w:val="center"/>
              <w:rPr>
                <w:rFonts w:ascii="Times New Roman" w:hAnsi="Times New Roman"/>
                <w:bCs/>
                <w:color w:val="000000"/>
                <w:sz w:val="24"/>
                <w:szCs w:val="24"/>
              </w:rPr>
            </w:pPr>
            <w:r>
              <w:rPr>
                <w:rFonts w:ascii="Times New Roman" w:hAnsi="Times New Roman"/>
                <w:bCs/>
                <w:color w:val="000000"/>
                <w:sz w:val="24"/>
                <w:szCs w:val="24"/>
              </w:rPr>
              <w:t>2019</w:t>
            </w:r>
          </w:p>
        </w:tc>
        <w:tc>
          <w:tcPr>
            <w:tcW w:w="1890" w:type="dxa"/>
            <w:tcBorders>
              <w:top w:val="nil"/>
              <w:left w:val="nil"/>
              <w:bottom w:val="single" w:sz="4" w:space="0" w:color="auto"/>
              <w:right w:val="single" w:sz="4" w:space="0" w:color="auto"/>
            </w:tcBorders>
            <w:noWrap/>
            <w:vAlign w:val="bottom"/>
            <w:hideMark/>
          </w:tcPr>
          <w:p w14:paraId="4B3D4718" w14:textId="77777777" w:rsidR="009414D1" w:rsidRDefault="009414D1">
            <w:pPr>
              <w:overflowPunct/>
              <w:autoSpaceDE/>
              <w:adjustRightInd/>
              <w:jc w:val="right"/>
              <w:rPr>
                <w:rFonts w:ascii="Times New Roman" w:hAnsi="Times New Roman"/>
                <w:color w:val="000000"/>
                <w:sz w:val="24"/>
                <w:szCs w:val="24"/>
              </w:rPr>
            </w:pPr>
            <w:r>
              <w:rPr>
                <w:rFonts w:ascii="Times New Roman" w:hAnsi="Times New Roman"/>
                <w:color w:val="000000"/>
                <w:sz w:val="24"/>
                <w:szCs w:val="24"/>
              </w:rPr>
              <w:t>12 257 618</w:t>
            </w:r>
          </w:p>
        </w:tc>
      </w:tr>
      <w:tr w:rsidR="009414D1" w14:paraId="69C33120" w14:textId="77777777" w:rsidTr="009414D1">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14:paraId="2B19626A" w14:textId="77777777" w:rsidR="009414D1" w:rsidRDefault="009414D1">
            <w:pPr>
              <w:overflowPunct/>
              <w:autoSpaceDE/>
              <w:adjustRightInd/>
              <w:jc w:val="center"/>
              <w:rPr>
                <w:rFonts w:ascii="Times New Roman" w:hAnsi="Times New Roman"/>
                <w:bCs/>
                <w:color w:val="000000"/>
                <w:sz w:val="24"/>
                <w:szCs w:val="24"/>
              </w:rPr>
            </w:pPr>
            <w:r>
              <w:rPr>
                <w:rFonts w:ascii="Times New Roman" w:hAnsi="Times New Roman"/>
                <w:bCs/>
                <w:color w:val="000000"/>
                <w:sz w:val="24"/>
                <w:szCs w:val="24"/>
              </w:rPr>
              <w:t>2020</w:t>
            </w:r>
          </w:p>
        </w:tc>
        <w:tc>
          <w:tcPr>
            <w:tcW w:w="1890" w:type="dxa"/>
            <w:tcBorders>
              <w:top w:val="nil"/>
              <w:left w:val="nil"/>
              <w:bottom w:val="single" w:sz="4" w:space="0" w:color="auto"/>
              <w:right w:val="single" w:sz="4" w:space="0" w:color="auto"/>
            </w:tcBorders>
            <w:noWrap/>
            <w:vAlign w:val="bottom"/>
            <w:hideMark/>
          </w:tcPr>
          <w:p w14:paraId="07E14FE8" w14:textId="77777777" w:rsidR="009414D1" w:rsidRDefault="009414D1">
            <w:pPr>
              <w:overflowPunct/>
              <w:autoSpaceDE/>
              <w:adjustRightInd/>
              <w:jc w:val="right"/>
              <w:rPr>
                <w:rFonts w:ascii="Times New Roman" w:hAnsi="Times New Roman"/>
                <w:color w:val="000000"/>
                <w:sz w:val="24"/>
                <w:szCs w:val="24"/>
              </w:rPr>
            </w:pPr>
            <w:r>
              <w:rPr>
                <w:rFonts w:ascii="Times New Roman" w:hAnsi="Times New Roman"/>
                <w:color w:val="000000"/>
                <w:sz w:val="24"/>
                <w:szCs w:val="24"/>
              </w:rPr>
              <w:t>84 562 776</w:t>
            </w:r>
          </w:p>
        </w:tc>
      </w:tr>
      <w:tr w:rsidR="009414D1" w14:paraId="4EA142A0" w14:textId="77777777" w:rsidTr="009414D1">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14:paraId="00407B29" w14:textId="77777777" w:rsidR="009414D1" w:rsidRDefault="009414D1">
            <w:pPr>
              <w:overflowPunct/>
              <w:autoSpaceDE/>
              <w:adjustRightInd/>
              <w:jc w:val="center"/>
              <w:rPr>
                <w:rFonts w:ascii="Times New Roman" w:hAnsi="Times New Roman"/>
                <w:bCs/>
                <w:color w:val="000000"/>
                <w:sz w:val="24"/>
                <w:szCs w:val="24"/>
              </w:rPr>
            </w:pPr>
            <w:r>
              <w:rPr>
                <w:rFonts w:ascii="Times New Roman" w:hAnsi="Times New Roman"/>
                <w:bCs/>
                <w:color w:val="000000"/>
                <w:sz w:val="24"/>
                <w:szCs w:val="24"/>
              </w:rPr>
              <w:t>2021</w:t>
            </w:r>
          </w:p>
        </w:tc>
        <w:tc>
          <w:tcPr>
            <w:tcW w:w="1890" w:type="dxa"/>
            <w:tcBorders>
              <w:top w:val="nil"/>
              <w:left w:val="nil"/>
              <w:bottom w:val="single" w:sz="4" w:space="0" w:color="auto"/>
              <w:right w:val="single" w:sz="4" w:space="0" w:color="auto"/>
            </w:tcBorders>
            <w:noWrap/>
            <w:vAlign w:val="bottom"/>
            <w:hideMark/>
          </w:tcPr>
          <w:p w14:paraId="44C181E7" w14:textId="77777777" w:rsidR="009414D1" w:rsidRDefault="009414D1">
            <w:pPr>
              <w:overflowPunct/>
              <w:autoSpaceDE/>
              <w:adjustRightInd/>
              <w:jc w:val="right"/>
              <w:rPr>
                <w:rFonts w:ascii="Times New Roman" w:hAnsi="Times New Roman"/>
                <w:color w:val="000000"/>
                <w:sz w:val="24"/>
                <w:szCs w:val="24"/>
              </w:rPr>
            </w:pPr>
            <w:r>
              <w:rPr>
                <w:rFonts w:ascii="Times New Roman" w:hAnsi="Times New Roman"/>
                <w:color w:val="000000"/>
                <w:sz w:val="24"/>
                <w:szCs w:val="24"/>
              </w:rPr>
              <w:t>141 929 001</w:t>
            </w:r>
          </w:p>
        </w:tc>
      </w:tr>
      <w:tr w:rsidR="009414D1" w14:paraId="741D0D53" w14:textId="77777777" w:rsidTr="009414D1">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14:paraId="1B85D5D6" w14:textId="77777777" w:rsidR="009414D1" w:rsidRDefault="009414D1">
            <w:pPr>
              <w:overflowPunct/>
              <w:autoSpaceDE/>
              <w:adjustRightInd/>
              <w:jc w:val="center"/>
              <w:rPr>
                <w:rFonts w:ascii="Times New Roman" w:hAnsi="Times New Roman"/>
                <w:bCs/>
                <w:color w:val="000000"/>
                <w:sz w:val="24"/>
                <w:szCs w:val="24"/>
              </w:rPr>
            </w:pPr>
            <w:r>
              <w:rPr>
                <w:rFonts w:ascii="Times New Roman" w:hAnsi="Times New Roman"/>
                <w:bCs/>
                <w:color w:val="000000"/>
                <w:sz w:val="24"/>
                <w:szCs w:val="24"/>
              </w:rPr>
              <w:t>2022</w:t>
            </w:r>
          </w:p>
        </w:tc>
        <w:tc>
          <w:tcPr>
            <w:tcW w:w="1890" w:type="dxa"/>
            <w:tcBorders>
              <w:top w:val="nil"/>
              <w:left w:val="nil"/>
              <w:bottom w:val="single" w:sz="4" w:space="0" w:color="auto"/>
              <w:right w:val="single" w:sz="4" w:space="0" w:color="auto"/>
            </w:tcBorders>
            <w:noWrap/>
            <w:vAlign w:val="bottom"/>
            <w:hideMark/>
          </w:tcPr>
          <w:p w14:paraId="786920D2" w14:textId="77777777" w:rsidR="009414D1" w:rsidRDefault="009414D1">
            <w:pPr>
              <w:overflowPunct/>
              <w:autoSpaceDE/>
              <w:adjustRightInd/>
              <w:jc w:val="right"/>
              <w:rPr>
                <w:rFonts w:ascii="Times New Roman" w:hAnsi="Times New Roman"/>
                <w:color w:val="000000"/>
                <w:sz w:val="24"/>
                <w:szCs w:val="24"/>
              </w:rPr>
            </w:pPr>
            <w:r>
              <w:rPr>
                <w:rFonts w:ascii="Times New Roman" w:hAnsi="Times New Roman"/>
                <w:color w:val="000000"/>
                <w:sz w:val="24"/>
                <w:szCs w:val="24"/>
              </w:rPr>
              <w:t>47 312 537</w:t>
            </w:r>
          </w:p>
        </w:tc>
      </w:tr>
    </w:tbl>
    <w:p w14:paraId="19951EDE" w14:textId="77777777" w:rsidR="009414D1" w:rsidRDefault="009414D1" w:rsidP="009414D1">
      <w:pPr>
        <w:jc w:val="both"/>
        <w:rPr>
          <w:rFonts w:ascii="Times New Roman" w:hAnsi="Times New Roman"/>
          <w:sz w:val="24"/>
          <w:szCs w:val="24"/>
        </w:rPr>
      </w:pPr>
    </w:p>
    <w:p w14:paraId="08CDEBEA" w14:textId="77777777" w:rsidR="009414D1" w:rsidRDefault="009414D1" w:rsidP="009414D1">
      <w:pPr>
        <w:jc w:val="both"/>
        <w:rPr>
          <w:rFonts w:ascii="Times New Roman" w:hAnsi="Times New Roman"/>
          <w:sz w:val="24"/>
          <w:szCs w:val="24"/>
        </w:rPr>
      </w:pPr>
      <w:r>
        <w:rPr>
          <w:rFonts w:ascii="Times New Roman" w:hAnsi="Times New Roman"/>
          <w:sz w:val="24"/>
          <w:szCs w:val="24"/>
        </w:rPr>
        <w:t>A 2023. évben az első körben beadott pályázati anyag pozitív elbírálásban részesült, elnyert támogatás mértéke 44.488.109 Ft. A második körben benyújtott pályázati eljárás még folyamatban van, döntés a napokban várható.</w:t>
      </w:r>
    </w:p>
    <w:p w14:paraId="5EE02B80" w14:textId="77777777" w:rsidR="009414D1" w:rsidRDefault="009414D1" w:rsidP="009414D1">
      <w:pPr>
        <w:jc w:val="both"/>
        <w:rPr>
          <w:rFonts w:ascii="Times New Roman" w:hAnsi="Times New Roman"/>
          <w:sz w:val="24"/>
          <w:szCs w:val="24"/>
        </w:rPr>
      </w:pPr>
    </w:p>
    <w:p w14:paraId="58F1AFE1" w14:textId="77777777" w:rsidR="009414D1" w:rsidRDefault="009414D1" w:rsidP="009414D1">
      <w:pPr>
        <w:jc w:val="both"/>
        <w:rPr>
          <w:rFonts w:ascii="Times New Roman" w:hAnsi="Times New Roman"/>
          <w:sz w:val="24"/>
          <w:szCs w:val="24"/>
        </w:rPr>
      </w:pPr>
      <w:r>
        <w:rPr>
          <w:rFonts w:ascii="Times New Roman" w:hAnsi="Times New Roman"/>
          <w:sz w:val="24"/>
          <w:szCs w:val="24"/>
        </w:rPr>
        <w:lastRenderedPageBreak/>
        <w:t>A pályázati kiírás tételesen tartalmazza, hogy mely feladatok ellátáshoz kapcsolódóan lehet támogatást kérni, különösen:</w:t>
      </w:r>
    </w:p>
    <w:p w14:paraId="4AF53789" w14:textId="77777777" w:rsidR="009414D1" w:rsidRDefault="009414D1" w:rsidP="009414D1">
      <w:pPr>
        <w:numPr>
          <w:ilvl w:val="0"/>
          <w:numId w:val="2"/>
        </w:numPr>
        <w:jc w:val="both"/>
        <w:rPr>
          <w:rFonts w:ascii="Times New Roman" w:hAnsi="Times New Roman"/>
          <w:sz w:val="24"/>
          <w:szCs w:val="24"/>
        </w:rPr>
      </w:pPr>
      <w:r>
        <w:rPr>
          <w:rFonts w:ascii="Times New Roman" w:hAnsi="Times New Roman"/>
          <w:sz w:val="24"/>
          <w:szCs w:val="24"/>
        </w:rPr>
        <w:t xml:space="preserve">közüzemi tartozásokra; </w:t>
      </w:r>
    </w:p>
    <w:p w14:paraId="3C6052B8" w14:textId="77777777" w:rsidR="009414D1" w:rsidRDefault="009414D1" w:rsidP="009414D1">
      <w:pPr>
        <w:numPr>
          <w:ilvl w:val="0"/>
          <w:numId w:val="2"/>
        </w:numPr>
        <w:jc w:val="both"/>
        <w:rPr>
          <w:rFonts w:ascii="Times New Roman" w:hAnsi="Times New Roman"/>
          <w:sz w:val="24"/>
          <w:szCs w:val="24"/>
        </w:rPr>
      </w:pPr>
      <w:r>
        <w:rPr>
          <w:rFonts w:ascii="Times New Roman" w:hAnsi="Times New Roman"/>
          <w:sz w:val="24"/>
          <w:szCs w:val="24"/>
        </w:rPr>
        <w:t xml:space="preserve">élelmiszer beszállítók felé fennálló feladatokra; </w:t>
      </w:r>
    </w:p>
    <w:p w14:paraId="56522F6A" w14:textId="77777777" w:rsidR="009414D1" w:rsidRDefault="009414D1" w:rsidP="009414D1">
      <w:pPr>
        <w:numPr>
          <w:ilvl w:val="0"/>
          <w:numId w:val="2"/>
        </w:numPr>
        <w:jc w:val="both"/>
        <w:rPr>
          <w:rFonts w:ascii="Times New Roman" w:hAnsi="Times New Roman"/>
          <w:sz w:val="24"/>
          <w:szCs w:val="24"/>
        </w:rPr>
      </w:pPr>
      <w:r>
        <w:rPr>
          <w:rFonts w:ascii="Times New Roman" w:hAnsi="Times New Roman"/>
          <w:sz w:val="24"/>
          <w:szCs w:val="24"/>
        </w:rPr>
        <w:t xml:space="preserve">bérjellegű kifizetésekhez kapcsolódó tartozásokra; </w:t>
      </w:r>
    </w:p>
    <w:p w14:paraId="29F1D5CB" w14:textId="77777777" w:rsidR="009414D1" w:rsidRDefault="009414D1" w:rsidP="009414D1">
      <w:pPr>
        <w:numPr>
          <w:ilvl w:val="0"/>
          <w:numId w:val="2"/>
        </w:numPr>
        <w:jc w:val="both"/>
        <w:rPr>
          <w:rFonts w:ascii="Times New Roman" w:hAnsi="Times New Roman"/>
          <w:sz w:val="24"/>
          <w:szCs w:val="24"/>
        </w:rPr>
      </w:pPr>
      <w:r>
        <w:rPr>
          <w:rFonts w:ascii="Times New Roman" w:hAnsi="Times New Roman"/>
          <w:sz w:val="24"/>
          <w:szCs w:val="24"/>
        </w:rPr>
        <w:t xml:space="preserve">Beszámoló alapján az önkormányzat által kimutatott / Magyar Államkincstár által megállapított fizetési kötelezettségekre; </w:t>
      </w:r>
    </w:p>
    <w:p w14:paraId="3DA38FE2" w14:textId="77777777" w:rsidR="009414D1" w:rsidRDefault="009414D1" w:rsidP="009414D1">
      <w:pPr>
        <w:numPr>
          <w:ilvl w:val="0"/>
          <w:numId w:val="2"/>
        </w:numPr>
        <w:jc w:val="both"/>
        <w:rPr>
          <w:rFonts w:ascii="Times New Roman" w:hAnsi="Times New Roman"/>
          <w:sz w:val="24"/>
          <w:szCs w:val="24"/>
        </w:rPr>
      </w:pPr>
      <w:r>
        <w:rPr>
          <w:rFonts w:ascii="Times New Roman" w:hAnsi="Times New Roman"/>
          <w:sz w:val="24"/>
          <w:szCs w:val="24"/>
        </w:rPr>
        <w:t xml:space="preserve">jogerős, végrehajtható bírósági ítélet alapján az önkormányzatot terhelő fizetési kötelezettségekre; </w:t>
      </w:r>
    </w:p>
    <w:p w14:paraId="46D3A15A" w14:textId="77777777" w:rsidR="009414D1" w:rsidRDefault="009414D1" w:rsidP="009414D1">
      <w:pPr>
        <w:numPr>
          <w:ilvl w:val="0"/>
          <w:numId w:val="2"/>
        </w:numPr>
        <w:jc w:val="both"/>
        <w:rPr>
          <w:rFonts w:ascii="Times New Roman" w:hAnsi="Times New Roman"/>
          <w:sz w:val="24"/>
          <w:szCs w:val="24"/>
        </w:rPr>
      </w:pPr>
      <w:r>
        <w:rPr>
          <w:rFonts w:ascii="Times New Roman" w:hAnsi="Times New Roman"/>
          <w:sz w:val="24"/>
          <w:szCs w:val="24"/>
        </w:rPr>
        <w:t xml:space="preserve">helyi iparűzési adó visszafizetésére; </w:t>
      </w:r>
    </w:p>
    <w:p w14:paraId="3FE1C1C7" w14:textId="77777777" w:rsidR="009414D1" w:rsidRDefault="009414D1" w:rsidP="009414D1">
      <w:pPr>
        <w:numPr>
          <w:ilvl w:val="0"/>
          <w:numId w:val="2"/>
        </w:numPr>
        <w:jc w:val="both"/>
        <w:rPr>
          <w:rFonts w:ascii="Times New Roman" w:hAnsi="Times New Roman"/>
          <w:sz w:val="24"/>
          <w:szCs w:val="24"/>
        </w:rPr>
      </w:pPr>
      <w:r>
        <w:rPr>
          <w:rStyle w:val="iceouttxt"/>
          <w:rFonts w:ascii="Times New Roman" w:hAnsi="Times New Roman"/>
          <w:sz w:val="24"/>
          <w:szCs w:val="24"/>
        </w:rPr>
        <w:t xml:space="preserve">egészségügyi feladatellátáshoz kapcsolódó meg nem fizetett, legfeljebb 3 havi hozzájárulásra; </w:t>
      </w:r>
      <w:r>
        <w:rPr>
          <w:rFonts w:ascii="Times New Roman" w:hAnsi="Times New Roman"/>
          <w:sz w:val="24"/>
          <w:szCs w:val="24"/>
        </w:rPr>
        <w:t xml:space="preserve">egyéb tartozásokra az önkormányzat esetében. </w:t>
      </w:r>
    </w:p>
    <w:p w14:paraId="52D3BF17" w14:textId="77777777" w:rsidR="009414D1" w:rsidRDefault="009414D1" w:rsidP="009414D1">
      <w:pPr>
        <w:numPr>
          <w:ilvl w:val="0"/>
          <w:numId w:val="2"/>
        </w:numPr>
        <w:jc w:val="both"/>
        <w:rPr>
          <w:rFonts w:ascii="Times New Roman" w:hAnsi="Times New Roman"/>
          <w:sz w:val="24"/>
          <w:szCs w:val="24"/>
        </w:rPr>
      </w:pPr>
      <w:r>
        <w:rPr>
          <w:rFonts w:ascii="Times New Roman" w:hAnsi="Times New Roman"/>
          <w:sz w:val="24"/>
          <w:szCs w:val="24"/>
        </w:rPr>
        <w:t>egyéb tartozásokra</w:t>
      </w:r>
    </w:p>
    <w:p w14:paraId="2056C05B" w14:textId="77777777" w:rsidR="009414D1" w:rsidRDefault="009414D1" w:rsidP="009414D1">
      <w:pPr>
        <w:jc w:val="both"/>
        <w:rPr>
          <w:rFonts w:ascii="Times New Roman" w:hAnsi="Times New Roman"/>
          <w:sz w:val="24"/>
          <w:szCs w:val="24"/>
        </w:rPr>
      </w:pPr>
    </w:p>
    <w:p w14:paraId="3B1E2539" w14:textId="77777777" w:rsidR="009414D1" w:rsidRDefault="009414D1" w:rsidP="009414D1">
      <w:pPr>
        <w:jc w:val="both"/>
        <w:rPr>
          <w:rFonts w:ascii="Times New Roman" w:hAnsi="Times New Roman"/>
          <w:sz w:val="24"/>
          <w:szCs w:val="24"/>
        </w:rPr>
      </w:pPr>
      <w:r>
        <w:rPr>
          <w:rFonts w:ascii="Times New Roman" w:hAnsi="Times New Roman"/>
          <w:sz w:val="24"/>
          <w:szCs w:val="24"/>
        </w:rPr>
        <w:t xml:space="preserve">Támogatást csak határidőre pénzügyileg nem teljesített számlákra lehet igényelni, illetve megállapodásban foglalt kötelezettségek nem teljesítése esetére. </w:t>
      </w:r>
    </w:p>
    <w:p w14:paraId="0E86BE19" w14:textId="77777777" w:rsidR="009414D1" w:rsidRDefault="009414D1" w:rsidP="009414D1">
      <w:pPr>
        <w:jc w:val="both"/>
        <w:rPr>
          <w:rFonts w:ascii="Times New Roman" w:hAnsi="Times New Roman"/>
          <w:sz w:val="24"/>
          <w:szCs w:val="24"/>
        </w:rPr>
      </w:pPr>
      <w:r>
        <w:rPr>
          <w:rFonts w:ascii="Times New Roman" w:hAnsi="Times New Roman"/>
          <w:sz w:val="24"/>
          <w:szCs w:val="24"/>
        </w:rPr>
        <w:t>Körmend Város Önkormányzata Képviselő-testületének feladat-, és hatáskörében eljáró Körmend Város Polgármestere a Körmend Város Önkormányzatának 2/2023. (II.10.) önkormányzati rendeletét a 2023. évi költségvetésről működési hiánnyal fogta el, amiből következik, hogy a kötelezettségek részben határidőre nem kerülnek teljesítésre. A 2023. évi többlet kiadások fedezetére a központi kompenzálások csak még nem kerültek meghatározásra.</w:t>
      </w:r>
    </w:p>
    <w:p w14:paraId="62377602" w14:textId="77777777" w:rsidR="009414D1" w:rsidRDefault="009414D1" w:rsidP="009414D1">
      <w:pPr>
        <w:jc w:val="both"/>
        <w:rPr>
          <w:rFonts w:ascii="Times New Roman" w:hAnsi="Times New Roman"/>
          <w:sz w:val="24"/>
          <w:szCs w:val="24"/>
        </w:rPr>
      </w:pPr>
      <w:r>
        <w:rPr>
          <w:rFonts w:ascii="Times New Roman" w:hAnsi="Times New Roman"/>
          <w:sz w:val="24"/>
          <w:szCs w:val="24"/>
        </w:rPr>
        <w:t>Az önkormányzat a 2023. évről szóló költségvetési törvény alapján, és a Belügyminisztérium által kiadott útmutatóban foglaltak alapján a vissza nem térítendő rendkívüli támogatásra az igénylést elkészíti és benyújtja. Első körben benyújtott pályázati anyag elbírálása még nem történt meg. Második körben június elején szeretnék pályázati anyagot feltölteni az erre a célra megnyitott felületen.</w:t>
      </w:r>
    </w:p>
    <w:p w14:paraId="04B71C06" w14:textId="77777777" w:rsidR="009414D1" w:rsidRDefault="009414D1" w:rsidP="009414D1">
      <w:pPr>
        <w:jc w:val="both"/>
        <w:rPr>
          <w:rFonts w:ascii="Times New Roman" w:hAnsi="Times New Roman"/>
          <w:sz w:val="24"/>
          <w:szCs w:val="24"/>
        </w:rPr>
      </w:pPr>
    </w:p>
    <w:p w14:paraId="7FBAB7DD" w14:textId="77777777" w:rsidR="009414D1" w:rsidRDefault="009414D1" w:rsidP="009414D1">
      <w:pPr>
        <w:jc w:val="both"/>
        <w:rPr>
          <w:rFonts w:ascii="Times New Roman" w:hAnsi="Times New Roman"/>
          <w:sz w:val="24"/>
          <w:szCs w:val="24"/>
        </w:rPr>
      </w:pPr>
    </w:p>
    <w:p w14:paraId="392CA780" w14:textId="77777777" w:rsidR="009414D1" w:rsidRDefault="009414D1" w:rsidP="009414D1">
      <w:pPr>
        <w:jc w:val="center"/>
        <w:rPr>
          <w:rFonts w:ascii="Times New Roman" w:hAnsi="Times New Roman"/>
          <w:b/>
          <w:sz w:val="24"/>
          <w:szCs w:val="24"/>
        </w:rPr>
      </w:pPr>
      <w:r>
        <w:rPr>
          <w:rFonts w:ascii="Times New Roman" w:hAnsi="Times New Roman"/>
          <w:b/>
          <w:sz w:val="24"/>
          <w:szCs w:val="24"/>
        </w:rPr>
        <w:t>Határozati javaslat</w:t>
      </w:r>
    </w:p>
    <w:p w14:paraId="0122AA0D" w14:textId="77777777" w:rsidR="009414D1" w:rsidRDefault="009414D1" w:rsidP="009414D1">
      <w:pPr>
        <w:jc w:val="both"/>
        <w:rPr>
          <w:rFonts w:ascii="Times New Roman" w:hAnsi="Times New Roman"/>
          <w:sz w:val="24"/>
          <w:szCs w:val="24"/>
        </w:rPr>
      </w:pPr>
    </w:p>
    <w:p w14:paraId="29E27251" w14:textId="77777777" w:rsidR="009414D1" w:rsidRDefault="009414D1" w:rsidP="009414D1">
      <w:pPr>
        <w:jc w:val="both"/>
        <w:rPr>
          <w:rFonts w:ascii="Times New Roman" w:hAnsi="Times New Roman"/>
          <w:sz w:val="24"/>
          <w:szCs w:val="24"/>
        </w:rPr>
      </w:pPr>
      <w:r>
        <w:rPr>
          <w:rFonts w:ascii="Times New Roman" w:hAnsi="Times New Roman"/>
          <w:sz w:val="24"/>
          <w:szCs w:val="24"/>
        </w:rPr>
        <w:t xml:space="preserve">Körmend Város Önkormányzat Képviselő-testülete elhatározza, hogy a 2023. évi költségvetésről szóló 2022. évi XXV. törvény 3. melléklet II. Támogatások megállapításának, felhasználásának és elszámolásának szabályai 5. 2.1.5 Önkormányzatok rendkívüli támogatása jogcím 5.1.a) pontjában meghatározott Önkormányzatok rendkívüli támogatása alapján vissza nem térítendő, rendkívüli támogatásra pályázatot nyújt be a Belügyminisztérium által közzétett Pályázati Kiírásban meghatározottak szerint. </w:t>
      </w:r>
    </w:p>
    <w:p w14:paraId="6F484CBD" w14:textId="77777777" w:rsidR="009414D1" w:rsidRDefault="009414D1" w:rsidP="009414D1">
      <w:pPr>
        <w:jc w:val="both"/>
        <w:rPr>
          <w:rFonts w:ascii="Times New Roman" w:hAnsi="Times New Roman"/>
          <w:sz w:val="24"/>
          <w:szCs w:val="24"/>
        </w:rPr>
      </w:pPr>
    </w:p>
    <w:p w14:paraId="43B4E6A8" w14:textId="77777777" w:rsidR="009414D1" w:rsidRDefault="009414D1" w:rsidP="009414D1">
      <w:pPr>
        <w:jc w:val="both"/>
        <w:rPr>
          <w:rFonts w:ascii="Times New Roman" w:hAnsi="Times New Roman"/>
          <w:sz w:val="24"/>
          <w:szCs w:val="24"/>
        </w:rPr>
      </w:pPr>
    </w:p>
    <w:p w14:paraId="0E01A429" w14:textId="77777777" w:rsidR="009414D1" w:rsidRDefault="009414D1" w:rsidP="009414D1">
      <w:pPr>
        <w:jc w:val="both"/>
        <w:rPr>
          <w:rFonts w:ascii="Times New Roman" w:hAnsi="Times New Roman"/>
          <w:sz w:val="24"/>
          <w:szCs w:val="24"/>
        </w:rPr>
      </w:pPr>
      <w:r>
        <w:rPr>
          <w:rFonts w:ascii="Times New Roman" w:hAnsi="Times New Roman"/>
          <w:sz w:val="24"/>
          <w:szCs w:val="24"/>
        </w:rPr>
        <w:t xml:space="preserve">Felelős: </w:t>
      </w: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w:t>
      </w:r>
    </w:p>
    <w:p w14:paraId="7003664C" w14:textId="77777777" w:rsidR="009414D1" w:rsidRDefault="009414D1" w:rsidP="009414D1">
      <w:pPr>
        <w:jc w:val="both"/>
        <w:rPr>
          <w:rFonts w:ascii="Times New Roman" w:hAnsi="Times New Roman"/>
          <w:sz w:val="24"/>
          <w:szCs w:val="24"/>
        </w:rPr>
      </w:pPr>
      <w:r>
        <w:rPr>
          <w:rFonts w:ascii="Times New Roman" w:hAnsi="Times New Roman"/>
          <w:sz w:val="24"/>
          <w:szCs w:val="24"/>
        </w:rPr>
        <w:t>Határidő: 2023. szeptember 30.</w:t>
      </w:r>
    </w:p>
    <w:p w14:paraId="4D7874A9" w14:textId="77777777" w:rsidR="009414D1" w:rsidRDefault="009414D1" w:rsidP="009414D1">
      <w:pPr>
        <w:jc w:val="both"/>
        <w:rPr>
          <w:rFonts w:ascii="Times New Roman" w:hAnsi="Times New Roman"/>
          <w:sz w:val="24"/>
          <w:szCs w:val="24"/>
        </w:rPr>
      </w:pPr>
    </w:p>
    <w:p w14:paraId="21204566" w14:textId="77777777" w:rsidR="009414D1" w:rsidRDefault="009414D1" w:rsidP="009414D1">
      <w:pPr>
        <w:jc w:val="both"/>
        <w:rPr>
          <w:rFonts w:ascii="Times New Roman" w:hAnsi="Times New Roman"/>
          <w:sz w:val="24"/>
          <w:szCs w:val="24"/>
        </w:rPr>
      </w:pPr>
    </w:p>
    <w:p w14:paraId="6E1310E6" w14:textId="6E3D946C" w:rsidR="009414D1" w:rsidRDefault="009414D1" w:rsidP="009414D1">
      <w:pPr>
        <w:jc w:val="both"/>
        <w:rPr>
          <w:rFonts w:ascii="Times New Roman" w:hAnsi="Times New Roman"/>
          <w:sz w:val="24"/>
          <w:szCs w:val="24"/>
        </w:rPr>
      </w:pPr>
      <w:r>
        <w:rPr>
          <w:rFonts w:ascii="Times New Roman" w:hAnsi="Times New Roman"/>
          <w:sz w:val="24"/>
          <w:szCs w:val="24"/>
        </w:rPr>
        <w:t xml:space="preserve">Körmend, 2023. </w:t>
      </w:r>
      <w:r>
        <w:rPr>
          <w:rFonts w:ascii="Times New Roman" w:hAnsi="Times New Roman"/>
          <w:sz w:val="24"/>
          <w:szCs w:val="24"/>
        </w:rPr>
        <w:t>augusztus 31.</w:t>
      </w:r>
    </w:p>
    <w:p w14:paraId="6C7C4642" w14:textId="77777777" w:rsidR="009414D1" w:rsidRDefault="009414D1" w:rsidP="009414D1">
      <w:pPr>
        <w:jc w:val="both"/>
        <w:rPr>
          <w:rFonts w:ascii="Times New Roman" w:hAnsi="Times New Roman"/>
          <w:sz w:val="24"/>
          <w:szCs w:val="24"/>
        </w:rPr>
      </w:pPr>
    </w:p>
    <w:p w14:paraId="76A031CF" w14:textId="77777777" w:rsidR="009414D1" w:rsidRDefault="009414D1" w:rsidP="009414D1">
      <w:pPr>
        <w:jc w:val="both"/>
        <w:rPr>
          <w:rFonts w:ascii="Times New Roman" w:hAnsi="Times New Roman"/>
          <w:sz w:val="24"/>
          <w:szCs w:val="24"/>
        </w:rPr>
      </w:pPr>
    </w:p>
    <w:p w14:paraId="7AA3B853" w14:textId="77777777" w:rsidR="009414D1" w:rsidRDefault="009414D1" w:rsidP="009414D1">
      <w:pPr>
        <w:jc w:val="both"/>
        <w:rPr>
          <w:rFonts w:ascii="Times New Roman" w:hAnsi="Times New Roman"/>
          <w:sz w:val="24"/>
          <w:szCs w:val="24"/>
        </w:rPr>
      </w:pPr>
    </w:p>
    <w:p w14:paraId="75E3382B" w14:textId="77777777" w:rsidR="009414D1" w:rsidRDefault="009414D1" w:rsidP="009414D1">
      <w:pPr>
        <w:jc w:val="both"/>
        <w:rPr>
          <w:rFonts w:ascii="Times New Roman" w:hAnsi="Times New Roman"/>
          <w:sz w:val="24"/>
          <w:szCs w:val="24"/>
        </w:rPr>
      </w:pPr>
    </w:p>
    <w:p w14:paraId="28EEB8BE" w14:textId="77777777" w:rsidR="009414D1" w:rsidRDefault="009414D1" w:rsidP="009414D1">
      <w:pPr>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sz w:val="24"/>
          <w:szCs w:val="24"/>
        </w:rPr>
        <w:t>Bebes</w:t>
      </w:r>
      <w:proofErr w:type="spellEnd"/>
      <w:r>
        <w:rPr>
          <w:rFonts w:ascii="Times New Roman" w:hAnsi="Times New Roman"/>
          <w:sz w:val="24"/>
          <w:szCs w:val="24"/>
        </w:rPr>
        <w:t xml:space="preserve"> István</w:t>
      </w:r>
    </w:p>
    <w:p w14:paraId="693212E2" w14:textId="77777777" w:rsidR="009414D1" w:rsidRDefault="009414D1" w:rsidP="009414D1">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polgármester</w:t>
      </w:r>
    </w:p>
    <w:p w14:paraId="0BA79A50" w14:textId="77777777" w:rsidR="00BA2DF9" w:rsidRDefault="00BA2DF9"/>
    <w:sectPr w:rsidR="00BA2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3F01"/>
    <w:multiLevelType w:val="hybridMultilevel"/>
    <w:tmpl w:val="8998F9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D676582"/>
    <w:multiLevelType w:val="hybridMultilevel"/>
    <w:tmpl w:val="D1F2B5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590848373">
    <w:abstractNumId w:val="0"/>
    <w:lvlOverride w:ilvl="0"/>
    <w:lvlOverride w:ilvl="1"/>
    <w:lvlOverride w:ilvl="2"/>
    <w:lvlOverride w:ilvl="3"/>
    <w:lvlOverride w:ilvl="4"/>
    <w:lvlOverride w:ilvl="5"/>
    <w:lvlOverride w:ilvl="6"/>
    <w:lvlOverride w:ilvl="7"/>
    <w:lvlOverride w:ilvl="8"/>
  </w:num>
  <w:num w:numId="2" w16cid:durableId="142784306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D1"/>
    <w:rsid w:val="00653053"/>
    <w:rsid w:val="009414D1"/>
    <w:rsid w:val="00BA2D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783C"/>
  <w15:chartTrackingRefBased/>
  <w15:docId w15:val="{5FD234EC-B679-4D66-9DAC-A03838D3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414D1"/>
    <w:pPr>
      <w:overflowPunct w:val="0"/>
      <w:autoSpaceDE w:val="0"/>
      <w:autoSpaceDN w:val="0"/>
      <w:adjustRightInd w:val="0"/>
      <w:spacing w:after="0" w:line="240" w:lineRule="auto"/>
    </w:pPr>
    <w:rPr>
      <w:rFonts w:ascii="Arial" w:eastAsia="Times New Roman" w:hAnsi="Arial" w:cs="Times New Roman"/>
      <w:kern w:val="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99"/>
    <w:qFormat/>
    <w:rsid w:val="009414D1"/>
    <w:pPr>
      <w:spacing w:after="0" w:line="240" w:lineRule="auto"/>
    </w:pPr>
    <w:rPr>
      <w:rFonts w:ascii="Calibri" w:eastAsia="Calibri" w:hAnsi="Calibri" w:cs="Times New Roman"/>
      <w:kern w:val="0"/>
    </w:rPr>
  </w:style>
  <w:style w:type="character" w:customStyle="1" w:styleId="iceouttxt">
    <w:name w:val="iceouttxt"/>
    <w:basedOn w:val="Bekezdsalapbettpusa"/>
    <w:rsid w:val="0094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4115</Characters>
  <Application>Microsoft Office Word</Application>
  <DocSecurity>0</DocSecurity>
  <Lines>34</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 Önkormányzat</dc:creator>
  <cp:keywords/>
  <dc:description/>
  <cp:lastModifiedBy>Körmend Önkormányzat</cp:lastModifiedBy>
  <cp:revision>1</cp:revision>
  <dcterms:created xsi:type="dcterms:W3CDTF">2023-08-30T07:11:00Z</dcterms:created>
  <dcterms:modified xsi:type="dcterms:W3CDTF">2023-08-30T07:11:00Z</dcterms:modified>
</cp:coreProperties>
</file>