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CB6B" w14:textId="77777777" w:rsidR="00C6798D" w:rsidRDefault="0014729F" w:rsidP="00C6798D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2C37A4A2" w14:textId="7E060319" w:rsidR="00C6798D" w:rsidRDefault="00C6798D" w:rsidP="00C6798D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>Körmend Város Önkormányzata Képvis</w:t>
      </w:r>
      <w:r w:rsidR="0014729F">
        <w:rPr>
          <w:rFonts w:eastAsia="SimSun" w:cs="Mangal"/>
          <w:b/>
          <w:kern w:val="2"/>
          <w:sz w:val="24"/>
          <w:szCs w:val="24"/>
          <w:lang w:eastAsia="zh-CN" w:bidi="hi-IN"/>
        </w:rPr>
        <w:t>elő-testületének 2023. július 2</w:t>
      </w:r>
      <w:r w:rsidR="004247D5">
        <w:rPr>
          <w:rFonts w:eastAsia="SimSun" w:cs="Mangal"/>
          <w:b/>
          <w:kern w:val="2"/>
          <w:sz w:val="24"/>
          <w:szCs w:val="24"/>
          <w:lang w:eastAsia="zh-CN" w:bidi="hi-IN"/>
        </w:rPr>
        <w:t>6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-i </w:t>
      </w:r>
      <w:proofErr w:type="gramStart"/>
      <w:r>
        <w:rPr>
          <w:rFonts w:eastAsia="SimSun" w:cs="Mangal"/>
          <w:b/>
          <w:kern w:val="2"/>
          <w:sz w:val="24"/>
          <w:szCs w:val="24"/>
          <w:lang w:eastAsia="zh-CN" w:bidi="hi-IN"/>
        </w:rPr>
        <w:t>rendkívüli  ülésére</w:t>
      </w:r>
      <w:proofErr w:type="gramEnd"/>
    </w:p>
    <w:p w14:paraId="6DB3AFBE" w14:textId="77777777" w:rsidR="00C6798D" w:rsidRDefault="00C6798D" w:rsidP="00C6798D">
      <w:pPr>
        <w:widowControl w:val="0"/>
        <w:suppressAutoHyphens/>
        <w:spacing w:before="360" w:after="36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u w:val="single"/>
          <w:lang w:eastAsia="zh-CN" w:bidi="hi-IN"/>
        </w:rPr>
        <w:t>Tárgy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: </w:t>
      </w:r>
      <w:r>
        <w:rPr>
          <w:bCs/>
          <w:sz w:val="24"/>
          <w:szCs w:val="24"/>
        </w:rPr>
        <w:t>Étkezési nyersanyagnormák és térítési díjak megállapítása / rendeletmódosítás</w:t>
      </w:r>
    </w:p>
    <w:p w14:paraId="216A0483" w14:textId="77777777" w:rsidR="00C6798D" w:rsidRDefault="00C6798D" w:rsidP="00C6798D">
      <w:pPr>
        <w:widowControl w:val="0"/>
        <w:suppressAutoHyphens/>
        <w:spacing w:before="480" w:after="48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Tisztelt Képviselő-testület!</w:t>
      </w:r>
    </w:p>
    <w:p w14:paraId="7B3BCC0F" w14:textId="77777777" w:rsidR="00C6798D" w:rsidRDefault="00C6798D" w:rsidP="00C6798D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Az önkormányzat feladata az étkeztetési feladatok ellátása a bölcsődében, óvodában és az iskolai tanulók esetében, valamint a szociális területen is. Feladata továbbá a szünidei étkezés biztosítása is. Az élelmezési szolgáltatást a HUNGAST VITAL Kft végzi az önkormányzat területén lévő köznevelési intézményekben. Az óvodai, bölcsődei és a szociális feladatok társulás által fenntartott intézmények által kerül ellátásra.</w:t>
      </w:r>
    </w:p>
    <w:p w14:paraId="40105DAD" w14:textId="77777777" w:rsidR="00C6798D" w:rsidRDefault="00C6798D" w:rsidP="00C6798D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Dr. Batthyányé </w:t>
      </w:r>
      <w:proofErr w:type="spellStart"/>
      <w:r>
        <w:rPr>
          <w:sz w:val="24"/>
          <w:szCs w:val="24"/>
        </w:rPr>
        <w:t>Coreth</w:t>
      </w:r>
      <w:proofErr w:type="spellEnd"/>
      <w:r>
        <w:rPr>
          <w:sz w:val="24"/>
          <w:szCs w:val="24"/>
        </w:rPr>
        <w:t xml:space="preserve"> Mária Óvoda és Bölcsőde Molnaszecsődi tagóvodájában az ATROPLUSZ Közétkeztetési és Szolgáltató Kft. látja el ezen feladatokat. </w:t>
      </w:r>
    </w:p>
    <w:p w14:paraId="4EE683FF" w14:textId="77777777" w:rsidR="00C6798D" w:rsidRDefault="00C6798D" w:rsidP="00C6798D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két szolgáltató árai között eddig párhuzam volt megfigyelhető, azonban az </w:t>
      </w:r>
      <w:proofErr w:type="spellStart"/>
      <w:r>
        <w:rPr>
          <w:sz w:val="24"/>
          <w:szCs w:val="24"/>
        </w:rPr>
        <w:t>energiárak</w:t>
      </w:r>
      <w:proofErr w:type="spellEnd"/>
      <w:r>
        <w:rPr>
          <w:sz w:val="24"/>
          <w:szCs w:val="24"/>
        </w:rPr>
        <w:t xml:space="preserve"> jelentős növekedése miatt a két szolgáltató árai eltérnek jelenleg. Körmend területén óvodák esetében a </w:t>
      </w:r>
      <w:proofErr w:type="spellStart"/>
      <w:r>
        <w:rPr>
          <w:sz w:val="24"/>
          <w:szCs w:val="24"/>
        </w:rPr>
        <w:t>Hungast</w:t>
      </w:r>
      <w:proofErr w:type="spellEnd"/>
      <w:r>
        <w:rPr>
          <w:sz w:val="24"/>
          <w:szCs w:val="24"/>
        </w:rPr>
        <w:t xml:space="preserve"> Kft vállalja a rezsi költségek viselését, így azok beépülnek értelemszerűen az árakba is, míg </w:t>
      </w:r>
      <w:proofErr w:type="spellStart"/>
      <w:r>
        <w:rPr>
          <w:sz w:val="24"/>
          <w:szCs w:val="24"/>
        </w:rPr>
        <w:t>molnaszecsődi</w:t>
      </w:r>
      <w:proofErr w:type="spellEnd"/>
      <w:r>
        <w:rPr>
          <w:sz w:val="24"/>
          <w:szCs w:val="24"/>
        </w:rPr>
        <w:t xml:space="preserve"> tagóvoda esetében intézményi költségvetés keretéből kerülnek az energiaárak finanszírozásra, továbbá a Társulási Megállapodás alapján ezek költségét a Magyarszecsőd és Molnaszecsőd Községek Önkormányzatai fizetik fele-fele arányban.</w:t>
      </w:r>
    </w:p>
    <w:p w14:paraId="7C62B8C8" w14:textId="77777777" w:rsidR="00C6798D" w:rsidRDefault="00C6798D" w:rsidP="00C6798D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Atroplusz</w:t>
      </w:r>
      <w:proofErr w:type="spellEnd"/>
      <w:r>
        <w:rPr>
          <w:sz w:val="24"/>
          <w:szCs w:val="24"/>
        </w:rPr>
        <w:t xml:space="preserve"> Kft. már az év elején megkereste az intézményt az árak emelését illetően, akkor egy közös megegyezés alapján még biztosították az árak változatlanságát az óvodai nevelési év végéig, azaz 2023. augusztus 31-ig, azonban megkeresésük alapján az áremelés elkerülhetetlen 2023. szeptember 1-től. Ennek tényét elfogadjuk. A céggel mindig határozott idejű szerződés kerül megkötésre, ez most sincs másképp, a szerződés 2024. június 30-én járna le. A megemelt árak változatlanságát 2023.03.31-ig garantálják, de hasonlóan a többi céghez, belekerülne a szerződésbe, hogy közös megegyezéssel évente két alkalommal jogosultak rendkívüli díjkorrekcióra, amennyiben a közüzemi díjak, előállítási költségek, nyersanyagok árai drasztikusan emelkednének.</w:t>
      </w:r>
    </w:p>
    <w:p w14:paraId="7257C71D" w14:textId="77777777" w:rsidR="00C6798D" w:rsidRDefault="00C6798D" w:rsidP="00C6798D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 térítési díjrendelet 2. számú melléklete tartalmazza a gyermekétkeztetés kapcsán fizetendő térítési díjakat. E melléklet módosulna, külön kimutatva a két közigazgatási területen fizetendő térítési díjak mértékét.</w:t>
      </w:r>
    </w:p>
    <w:p w14:paraId="2C7EAA7C" w14:textId="77777777" w:rsidR="00C6798D" w:rsidRDefault="00C6798D" w:rsidP="00C6798D">
      <w:pPr>
        <w:tabs>
          <w:tab w:val="lef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Az 1997. évi XXXI. törvény a gyermekek védelméről és a gyámügyi igazgatásról 151.§ (3) bekezdése alapján a gyermekétkeztetés intézményi térítési díjának alapja az élelmezés nyersanyagköltségének egy ellátottra jutó napi összege. A (3a) bekezdés szintén meghatározza, hogy az intézmény térítési díj megállapítása érdekében az étkeztetést biztosító szolgáltató köteles elkülönítetten kimutatni a gyermekétkeztetéssel összefüggésben felmerülő nyersanyagköltségeket.</w:t>
      </w:r>
    </w:p>
    <w:p w14:paraId="125F0FC5" w14:textId="77777777" w:rsidR="00C6798D" w:rsidRDefault="00C6798D" w:rsidP="00C6798D">
      <w:pPr>
        <w:tabs>
          <w:tab w:val="lef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térítési díjakról szóló rendelet e melléklete a 20/2022. (XII.16.) Önkormányzati rendelettel módosult utoljára, azonban most a </w:t>
      </w:r>
      <w:proofErr w:type="spellStart"/>
      <w:r>
        <w:rPr>
          <w:sz w:val="24"/>
          <w:szCs w:val="24"/>
        </w:rPr>
        <w:t>molnaszecsődi</w:t>
      </w:r>
      <w:proofErr w:type="spellEnd"/>
      <w:r>
        <w:rPr>
          <w:sz w:val="24"/>
          <w:szCs w:val="24"/>
        </w:rPr>
        <w:t xml:space="preserve"> tagóvoda miatt, szükségessé vált e 2. melléklet módosítása. A jogszabályi előírásoknak megfelelve a térítési díjakat a vásárolt </w:t>
      </w:r>
      <w:r>
        <w:rPr>
          <w:sz w:val="24"/>
          <w:szCs w:val="24"/>
        </w:rPr>
        <w:lastRenderedPageBreak/>
        <w:t>élelmezés szolgáltatási szerződésében kimutatott nyersanyagnorma mértékére való emelését javasoljuk.</w:t>
      </w:r>
    </w:p>
    <w:p w14:paraId="63ECBF4C" w14:textId="77777777" w:rsidR="00C6798D" w:rsidRDefault="00C6798D" w:rsidP="00C6798D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Kérem a Tisztelt Képviselő-testületet, hogy a rendelet-tervezetben meghatározott térítési díjakat vitassa meg és fogadja el.</w:t>
      </w:r>
    </w:p>
    <w:p w14:paraId="0C73B26F" w14:textId="77777777" w:rsidR="00C6798D" w:rsidRDefault="00C6798D" w:rsidP="00C6798D">
      <w:pPr>
        <w:spacing w:before="120" w:after="120"/>
        <w:jc w:val="both"/>
        <w:rPr>
          <w:sz w:val="24"/>
          <w:szCs w:val="24"/>
        </w:rPr>
      </w:pPr>
    </w:p>
    <w:p w14:paraId="4D910E69" w14:textId="77777777" w:rsidR="00C6798D" w:rsidRDefault="00C6798D" w:rsidP="00C6798D">
      <w:pPr>
        <w:spacing w:before="360" w:after="24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Előzetes hatásvizsgálat:</w:t>
      </w:r>
    </w:p>
    <w:p w14:paraId="50E2B3ED" w14:textId="77777777" w:rsidR="00C6798D" w:rsidRDefault="00C6798D" w:rsidP="00C6798D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Társadalmi hatás</w:t>
      </w:r>
      <w:r>
        <w:rPr>
          <w:color w:val="000000"/>
          <w:sz w:val="24"/>
          <w:szCs w:val="24"/>
        </w:rPr>
        <w:t>: A módosításra kerülő rendelet határozza meg a szociális ellátások, valamint a köznevelés és közoktatási intézményekben biztosított étkeztetés térítési díjait, ezáltal hatással van valamennyi igénylőre, akik ezt igénybe veszik.</w:t>
      </w:r>
    </w:p>
    <w:p w14:paraId="241D6683" w14:textId="77777777" w:rsidR="00C6798D" w:rsidRDefault="00C6798D" w:rsidP="00C6798D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Gazdasági hatás</w:t>
      </w:r>
      <w:r>
        <w:rPr>
          <w:color w:val="000000"/>
          <w:sz w:val="24"/>
          <w:szCs w:val="24"/>
        </w:rPr>
        <w:t>: A rendelet megalkotásának gazdasági hatása nincsen.</w:t>
      </w:r>
    </w:p>
    <w:p w14:paraId="16F27A25" w14:textId="77777777" w:rsidR="00C6798D" w:rsidRDefault="00C6798D" w:rsidP="00C6798D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Költségvetési hatás</w:t>
      </w:r>
      <w:r>
        <w:rPr>
          <w:color w:val="000000"/>
          <w:sz w:val="24"/>
          <w:szCs w:val="24"/>
        </w:rPr>
        <w:t>: A rendelet megalkotásának a korábbi szabályozáshoz képest további költségvetési hatása nincs.</w:t>
      </w:r>
    </w:p>
    <w:p w14:paraId="6F44AD03" w14:textId="77777777" w:rsidR="00C6798D" w:rsidRDefault="00C6798D" w:rsidP="00C6798D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Környezeti és egészségi hatás</w:t>
      </w:r>
      <w:r>
        <w:rPr>
          <w:color w:val="000000"/>
          <w:sz w:val="24"/>
          <w:szCs w:val="24"/>
        </w:rPr>
        <w:t xml:space="preserve">: A rendelet megalkotásának nincs környezeti és egészségi hatása. </w:t>
      </w:r>
    </w:p>
    <w:p w14:paraId="38AE488C" w14:textId="77777777" w:rsidR="00C6798D" w:rsidRDefault="00C6798D" w:rsidP="00C6798D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Adminisztratív terheket befolyásoló hatás</w:t>
      </w:r>
      <w:r>
        <w:rPr>
          <w:color w:val="000000"/>
          <w:sz w:val="24"/>
          <w:szCs w:val="24"/>
        </w:rPr>
        <w:t xml:space="preserve">: A rendelet megalkotásának nincs számottevő adminisztratív terheket befolyásoló hatása. </w:t>
      </w:r>
    </w:p>
    <w:p w14:paraId="1121F176" w14:textId="77777777" w:rsidR="00C6798D" w:rsidRDefault="00C6798D" w:rsidP="00C6798D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jogszabály megalkotásának szükségességét, a jogalkotás elmaradásának várható következményeit, és a jogszabály alkalmazásához szükséges személyi, szervezeti, tárgyi és pénzügyi feltételek</w:t>
      </w:r>
      <w:r>
        <w:rPr>
          <w:color w:val="000000"/>
          <w:sz w:val="24"/>
          <w:szCs w:val="24"/>
        </w:rPr>
        <w:t>:</w:t>
      </w:r>
    </w:p>
    <w:p w14:paraId="5E390419" w14:textId="77777777" w:rsidR="00C6798D" w:rsidRDefault="00C6798D" w:rsidP="00C6798D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rendelet megalkotását a megemelkedett nyersanyagárak és költségek miatt a térítési díjak ezekhez történő igazításának szükségessége indokolja.</w:t>
      </w:r>
    </w:p>
    <w:p w14:paraId="4C5F10D1" w14:textId="77777777" w:rsidR="00C6798D" w:rsidRDefault="00C6798D" w:rsidP="00C6798D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jogszabály alkalmazása többlet személyi, szervezeti, tárgyi és pénzügyi feltételeket nem kíván.</w:t>
      </w:r>
    </w:p>
    <w:p w14:paraId="761504AE" w14:textId="77777777" w:rsidR="00C6798D" w:rsidRDefault="00C6798D" w:rsidP="00C6798D">
      <w:pPr>
        <w:spacing w:before="120" w:after="120"/>
        <w:jc w:val="both"/>
        <w:rPr>
          <w:sz w:val="24"/>
          <w:szCs w:val="24"/>
        </w:rPr>
      </w:pPr>
    </w:p>
    <w:p w14:paraId="1F61707D" w14:textId="138E4CA9" w:rsidR="00C6798D" w:rsidRDefault="0014729F" w:rsidP="00C679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Körmend, 2023. július </w:t>
      </w:r>
      <w:r w:rsidR="004247D5">
        <w:rPr>
          <w:sz w:val="24"/>
          <w:szCs w:val="24"/>
        </w:rPr>
        <w:t>24</w:t>
      </w:r>
      <w:r>
        <w:rPr>
          <w:sz w:val="24"/>
          <w:szCs w:val="24"/>
        </w:rPr>
        <w:t>.</w:t>
      </w:r>
    </w:p>
    <w:p w14:paraId="782526D3" w14:textId="77777777" w:rsidR="00C6798D" w:rsidRDefault="00C6798D" w:rsidP="00C6798D">
      <w:pPr>
        <w:spacing w:before="120" w:after="120"/>
        <w:jc w:val="both"/>
        <w:rPr>
          <w:sz w:val="24"/>
          <w:szCs w:val="24"/>
        </w:rPr>
      </w:pPr>
    </w:p>
    <w:p w14:paraId="444F6E6E" w14:textId="77777777" w:rsidR="00C6798D" w:rsidRDefault="00C6798D" w:rsidP="00C6798D">
      <w:pPr>
        <w:spacing w:before="120" w:after="120"/>
        <w:jc w:val="both"/>
        <w:rPr>
          <w:sz w:val="24"/>
          <w:szCs w:val="24"/>
        </w:rPr>
      </w:pPr>
    </w:p>
    <w:p w14:paraId="364C3C84" w14:textId="77777777" w:rsidR="00C6798D" w:rsidRDefault="00C6798D" w:rsidP="00C6798D">
      <w:pPr>
        <w:spacing w:before="120" w:after="120"/>
        <w:jc w:val="both"/>
        <w:rPr>
          <w:sz w:val="24"/>
          <w:szCs w:val="24"/>
        </w:rPr>
      </w:pPr>
    </w:p>
    <w:p w14:paraId="25BA6387" w14:textId="77777777" w:rsidR="00C6798D" w:rsidRDefault="00C6798D" w:rsidP="00C6798D">
      <w:pPr>
        <w:spacing w:before="120" w:after="120"/>
        <w:ind w:left="4956" w:firstLine="7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 </w:t>
      </w:r>
    </w:p>
    <w:p w14:paraId="7A890822" w14:textId="77777777" w:rsidR="00C6798D" w:rsidRDefault="00C6798D" w:rsidP="00C6798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polgármester</w:t>
      </w:r>
    </w:p>
    <w:p w14:paraId="7609F53D" w14:textId="77777777" w:rsidR="00C6798D" w:rsidRDefault="00C6798D" w:rsidP="00C6798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120CC8" w14:textId="77777777" w:rsidR="00C6798D" w:rsidRDefault="00C6798D" w:rsidP="00C6798D">
      <w:pPr>
        <w:widowControl w:val="0"/>
        <w:suppressAutoHyphens/>
        <w:spacing w:before="240" w:after="36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lastRenderedPageBreak/>
        <w:t>Körmend Város Önkormányzata Képviselő-testülete ……/2023. (VII. …) önkormányzati rendelete</w:t>
      </w:r>
    </w:p>
    <w:p w14:paraId="0A815CF4" w14:textId="77777777" w:rsidR="00C6798D" w:rsidRDefault="00C6798D" w:rsidP="00C6798D">
      <w:pPr>
        <w:widowControl w:val="0"/>
        <w:suppressAutoHyphens/>
        <w:spacing w:before="24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>a térítési díjakról szóló 15/2021. (IX. 3.) önkormányzati rendelet módosításáról</w:t>
      </w:r>
    </w:p>
    <w:p w14:paraId="1FD7BFB4" w14:textId="77777777" w:rsidR="00C6798D" w:rsidRDefault="00C6798D" w:rsidP="00C6798D">
      <w:pPr>
        <w:spacing w:before="120" w:after="48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Körmend Város Önkormányzatának Képviselő-testülete a szociális igazgatásról és szociális ellátásokról szóló 1993. évi III. törvény 92.§ (1) – (2) bekezdésében, 115.§ (3) bekezdésében, valamint a gyermekek védelméről és a gyámügyi igazgatásról szóló 1997. évi XXXI. törvény 147.§ (1) bekezdésében kapott felhatalmazás alapján, az Alaptörvény 32. cikk (1) bekezdés a) pontjában, és a Magyarország helyi önkormányzatairól szóló 2011. évi CLXXXIX. törvény 13.§ (1) bekezdés 8a. pontjában szabályozott feladatkörében eljárva – a Körmend és Kistérsége Önkormányzati Társulás, valamint a Körmend és </w:t>
      </w:r>
      <w:proofErr w:type="spellStart"/>
      <w:r>
        <w:rPr>
          <w:sz w:val="24"/>
          <w:szCs w:val="24"/>
        </w:rPr>
        <w:t>Mikrotérsége</w:t>
      </w:r>
      <w:proofErr w:type="spellEnd"/>
      <w:r>
        <w:rPr>
          <w:sz w:val="24"/>
          <w:szCs w:val="24"/>
        </w:rPr>
        <w:t xml:space="preserve"> Köznevelési Intézményfenntartó Társulás településeinek jóváhagyásával – a következőket rendeli e</w:t>
      </w:r>
      <w:r>
        <w:rPr>
          <w:iCs/>
          <w:sz w:val="24"/>
          <w:szCs w:val="24"/>
        </w:rPr>
        <w:t>l:</w:t>
      </w:r>
    </w:p>
    <w:p w14:paraId="32E225AC" w14:textId="77777777" w:rsidR="00C6798D" w:rsidRDefault="00C6798D" w:rsidP="00C6798D">
      <w:pPr>
        <w:spacing w:before="24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1.§</w:t>
      </w:r>
      <w:r>
        <w:rPr>
          <w:sz w:val="24"/>
          <w:szCs w:val="24"/>
        </w:rPr>
        <w:t xml:space="preserve"> Körmend Város Önkormányzata Képviselő-testületének a térítési díjakról szóló 15/2021. (IX. 3.) önkormányzati rendelete (továbbiakban: </w:t>
      </w:r>
      <w:proofErr w:type="spellStart"/>
      <w:r>
        <w:rPr>
          <w:sz w:val="24"/>
          <w:szCs w:val="24"/>
        </w:rPr>
        <w:t>Ör</w:t>
      </w:r>
      <w:proofErr w:type="spellEnd"/>
      <w:r>
        <w:rPr>
          <w:sz w:val="24"/>
          <w:szCs w:val="24"/>
        </w:rPr>
        <w:t>.) 5.§ (1) bekezdése helyébe a következő rendelkezés lép:</w:t>
      </w:r>
    </w:p>
    <w:p w14:paraId="28CC03B0" w14:textId="77777777" w:rsidR="00C6798D" w:rsidRDefault="00C6798D" w:rsidP="00C6798D">
      <w:pPr>
        <w:spacing w:before="240" w:after="1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(1) A gyermekjóléti alapellátások keretében – a Körmend és </w:t>
      </w:r>
      <w:proofErr w:type="spellStart"/>
      <w:r>
        <w:rPr>
          <w:i/>
          <w:iCs/>
          <w:sz w:val="24"/>
          <w:szCs w:val="24"/>
        </w:rPr>
        <w:t>Mikrotérsége</w:t>
      </w:r>
      <w:proofErr w:type="spellEnd"/>
      <w:r>
        <w:rPr>
          <w:i/>
          <w:iCs/>
          <w:sz w:val="24"/>
          <w:szCs w:val="24"/>
        </w:rPr>
        <w:t xml:space="preserve"> Köznevelési Intézményfenntartó Társulás, a Szombathelyi Tankerületi Központ, valamint a Szombathelyi Egyházmegye által fenntartott, Körmend város közigazgatási területén, valamint Molnaszecsőd község közigazgatási területén működő gyermekjóléti, köznevelési és közoktatási intézményekben – biztosított intézményi gyermekétkeztetésért térítési díjat kell fizetni, melynek mértékét a 2. melléklet tartalmazza.</w:t>
      </w:r>
    </w:p>
    <w:p w14:paraId="35B6465D" w14:textId="77777777" w:rsidR="00C6798D" w:rsidRDefault="00C6798D" w:rsidP="00C6798D">
      <w:pPr>
        <w:spacing w:before="24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2.§</w:t>
      </w:r>
      <w:r>
        <w:rPr>
          <w:sz w:val="24"/>
          <w:szCs w:val="24"/>
        </w:rPr>
        <w:t xml:space="preserve"> Az </w:t>
      </w:r>
      <w:proofErr w:type="spellStart"/>
      <w:r>
        <w:rPr>
          <w:sz w:val="24"/>
          <w:szCs w:val="24"/>
        </w:rPr>
        <w:t>Ör</w:t>
      </w:r>
      <w:proofErr w:type="spellEnd"/>
      <w:r>
        <w:rPr>
          <w:sz w:val="24"/>
          <w:szCs w:val="24"/>
        </w:rPr>
        <w:t>. 2. melléklete helyébe e rendelet 1. melléklete lép.</w:t>
      </w:r>
    </w:p>
    <w:p w14:paraId="2CB625F1" w14:textId="77777777" w:rsidR="00C6798D" w:rsidRDefault="00C6798D" w:rsidP="00C6798D">
      <w:pPr>
        <w:spacing w:before="24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3.§</w:t>
      </w:r>
      <w:r>
        <w:rPr>
          <w:sz w:val="24"/>
          <w:szCs w:val="24"/>
        </w:rPr>
        <w:t xml:space="preserve"> Ez a rendelet 2023. szeptember 1-jén lép hatályba, és </w:t>
      </w:r>
      <w:r>
        <w:rPr>
          <w:bCs/>
          <w:sz w:val="24"/>
          <w:szCs w:val="24"/>
        </w:rPr>
        <w:t>a hatályba lépését követő napon hatályát veszti.</w:t>
      </w:r>
    </w:p>
    <w:p w14:paraId="62DA6551" w14:textId="77777777" w:rsidR="00C6798D" w:rsidRDefault="00C6798D" w:rsidP="00C6798D">
      <w:pPr>
        <w:spacing w:before="120" w:after="120"/>
        <w:jc w:val="both"/>
        <w:rPr>
          <w:sz w:val="24"/>
          <w:szCs w:val="24"/>
        </w:rPr>
      </w:pPr>
    </w:p>
    <w:p w14:paraId="6F6DBB4D" w14:textId="77777777" w:rsidR="00C6798D" w:rsidRDefault="00C6798D" w:rsidP="00C6798D">
      <w:pPr>
        <w:spacing w:before="120" w:after="120"/>
        <w:jc w:val="both"/>
        <w:rPr>
          <w:sz w:val="24"/>
          <w:szCs w:val="24"/>
        </w:rPr>
      </w:pPr>
    </w:p>
    <w:p w14:paraId="5FB761DF" w14:textId="77777777" w:rsidR="00C6798D" w:rsidRDefault="00C6798D" w:rsidP="00C6798D">
      <w:pPr>
        <w:spacing w:before="120" w:after="120"/>
        <w:jc w:val="both"/>
        <w:rPr>
          <w:sz w:val="24"/>
          <w:szCs w:val="24"/>
        </w:rPr>
      </w:pPr>
    </w:p>
    <w:p w14:paraId="19328D3E" w14:textId="77777777" w:rsidR="00C6798D" w:rsidRDefault="00C6798D" w:rsidP="00C6798D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ab/>
      </w:r>
      <w:proofErr w:type="spellStart"/>
      <w:r>
        <w:rPr>
          <w:rFonts w:eastAsia="SimSun" w:cs="Mangal"/>
          <w:b/>
          <w:kern w:val="2"/>
          <w:sz w:val="24"/>
          <w:szCs w:val="24"/>
          <w:lang w:eastAsia="zh-CN" w:bidi="hi-IN"/>
        </w:rPr>
        <w:t>Bebes</w:t>
      </w:r>
      <w:proofErr w:type="spellEnd"/>
      <w:r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 István 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dr. Stepics Anita</w:t>
      </w:r>
    </w:p>
    <w:p w14:paraId="43614636" w14:textId="77777777" w:rsidR="00C6798D" w:rsidRDefault="00C6798D" w:rsidP="00C6798D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polgármester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jegyző</w:t>
      </w:r>
    </w:p>
    <w:p w14:paraId="05CF526C" w14:textId="77777777" w:rsidR="00C6798D" w:rsidRDefault="00C6798D" w:rsidP="00C6798D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</w:p>
    <w:p w14:paraId="7D99B3AD" w14:textId="77777777" w:rsidR="00C6798D" w:rsidRDefault="00C6798D" w:rsidP="00C6798D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</w:p>
    <w:p w14:paraId="0C8EE7C4" w14:textId="77777777" w:rsidR="00C6798D" w:rsidRDefault="00C6798D" w:rsidP="00C6798D">
      <w:pPr>
        <w:tabs>
          <w:tab w:val="center" w:pos="2552"/>
          <w:tab w:val="center" w:pos="7088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Záradék</w:t>
      </w:r>
      <w:r>
        <w:rPr>
          <w:b/>
          <w:sz w:val="24"/>
          <w:szCs w:val="24"/>
        </w:rPr>
        <w:t>:</w:t>
      </w:r>
    </w:p>
    <w:p w14:paraId="615DFDAD" w14:textId="77777777" w:rsidR="00C6798D" w:rsidRDefault="00C6798D" w:rsidP="00C6798D">
      <w:pPr>
        <w:tabs>
          <w:tab w:val="center" w:pos="2552"/>
          <w:tab w:val="center" w:pos="7088"/>
        </w:tabs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rendelet kihirdetve a Körmendi Közös Önkormányzati Hivatal hirdetőtábláján való kifüggesztés útján 2023. július …. napján.</w:t>
      </w:r>
    </w:p>
    <w:p w14:paraId="6DD9CDE1" w14:textId="77777777" w:rsidR="00C6798D" w:rsidRDefault="00C6798D" w:rsidP="00C6798D">
      <w:pPr>
        <w:tabs>
          <w:tab w:val="center" w:pos="2552"/>
          <w:tab w:val="center" w:pos="7088"/>
        </w:tabs>
        <w:spacing w:before="120" w:after="120"/>
        <w:jc w:val="both"/>
        <w:rPr>
          <w:bCs/>
          <w:sz w:val="24"/>
          <w:szCs w:val="24"/>
        </w:rPr>
      </w:pPr>
    </w:p>
    <w:p w14:paraId="57BC307D" w14:textId="77777777" w:rsidR="00C6798D" w:rsidRDefault="00C6798D" w:rsidP="00C6798D">
      <w:pPr>
        <w:tabs>
          <w:tab w:val="center" w:pos="2552"/>
          <w:tab w:val="center" w:pos="7088"/>
        </w:tabs>
        <w:spacing w:before="120" w:after="120"/>
        <w:jc w:val="both"/>
        <w:rPr>
          <w:bCs/>
          <w:sz w:val="24"/>
          <w:szCs w:val="24"/>
        </w:rPr>
      </w:pPr>
    </w:p>
    <w:p w14:paraId="699D2012" w14:textId="77777777" w:rsidR="00C6798D" w:rsidRDefault="00C6798D" w:rsidP="00C6798D">
      <w:pPr>
        <w:tabs>
          <w:tab w:val="center" w:pos="7088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dr. Stepics Anita</w:t>
      </w:r>
    </w:p>
    <w:p w14:paraId="4BE44B9F" w14:textId="77777777" w:rsidR="00C6798D" w:rsidRDefault="00C6798D" w:rsidP="00C6798D">
      <w:pPr>
        <w:tabs>
          <w:tab w:val="center" w:pos="2552"/>
          <w:tab w:val="center" w:pos="7088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jegyző</w:t>
      </w:r>
      <w:r>
        <w:rPr>
          <w:b/>
          <w:sz w:val="24"/>
          <w:szCs w:val="24"/>
        </w:rPr>
        <w:br w:type="page"/>
      </w:r>
    </w:p>
    <w:p w14:paraId="103600FC" w14:textId="77777777" w:rsidR="00C6798D" w:rsidRDefault="00C6798D" w:rsidP="00C6798D">
      <w:pPr>
        <w:spacing w:before="120" w:after="120"/>
        <w:jc w:val="right"/>
        <w:rPr>
          <w:snapToGrid w:val="0"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1. melléklet a …/2023. (</w:t>
      </w:r>
      <w:proofErr w:type="gramStart"/>
      <w:r>
        <w:rPr>
          <w:b/>
          <w:i/>
          <w:sz w:val="22"/>
          <w:szCs w:val="22"/>
        </w:rPr>
        <w:t>VII. ….</w:t>
      </w:r>
      <w:proofErr w:type="gramEnd"/>
      <w:r>
        <w:rPr>
          <w:b/>
          <w:i/>
          <w:sz w:val="22"/>
          <w:szCs w:val="22"/>
        </w:rPr>
        <w:t>) önkormányzati rendelethez</w:t>
      </w:r>
    </w:p>
    <w:p w14:paraId="02D07E72" w14:textId="77777777" w:rsidR="00C6798D" w:rsidRDefault="00C6798D" w:rsidP="00C6798D">
      <w:pPr>
        <w:spacing w:before="120" w:after="120"/>
        <w:jc w:val="both"/>
        <w:rPr>
          <w:snapToGrid w:val="0"/>
          <w:sz w:val="24"/>
          <w:szCs w:val="24"/>
        </w:rPr>
      </w:pPr>
    </w:p>
    <w:p w14:paraId="138F860D" w14:textId="77777777" w:rsidR="00C6798D" w:rsidRDefault="00C6798D" w:rsidP="00C6798D">
      <w:pPr>
        <w:spacing w:before="120" w:after="120"/>
        <w:jc w:val="both"/>
        <w:rPr>
          <w:snapToGrid w:val="0"/>
          <w:sz w:val="24"/>
          <w:szCs w:val="24"/>
        </w:rPr>
      </w:pPr>
    </w:p>
    <w:p w14:paraId="041661C4" w14:textId="77777777" w:rsidR="00C6798D" w:rsidRDefault="00C6798D" w:rsidP="00C6798D">
      <w:pPr>
        <w:spacing w:before="120" w:after="120"/>
        <w:jc w:val="center"/>
        <w:rPr>
          <w:snapToGrid w:val="0"/>
          <w:sz w:val="24"/>
          <w:szCs w:val="24"/>
        </w:rPr>
      </w:pPr>
      <w:r>
        <w:rPr>
          <w:b/>
          <w:iCs/>
          <w:sz w:val="24"/>
          <w:szCs w:val="24"/>
        </w:rPr>
        <w:t>A gyermekétkeztetés intézményi térítési díja</w:t>
      </w:r>
    </w:p>
    <w:p w14:paraId="69B159CB" w14:textId="77777777" w:rsidR="00C6798D" w:rsidRDefault="00C6798D" w:rsidP="00C6798D">
      <w:pPr>
        <w:spacing w:before="120" w:after="120"/>
        <w:jc w:val="both"/>
        <w:rPr>
          <w:snapToGrid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3273"/>
        <w:gridCol w:w="3273"/>
      </w:tblGrid>
      <w:tr w:rsidR="00C6798D" w14:paraId="26E23FB6" w14:textId="77777777" w:rsidTr="00C6798D">
        <w:trPr>
          <w:trHeight w:val="85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A66C" w14:textId="77777777" w:rsidR="00C6798D" w:rsidRDefault="00C6798D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Étkezési fajták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69BB" w14:textId="77777777" w:rsidR="00C6798D" w:rsidRDefault="00C6798D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Intézmény térítési díj</w:t>
            </w:r>
          </w:p>
          <w:p w14:paraId="7E8C055E" w14:textId="77777777" w:rsidR="00C6798D" w:rsidRDefault="00C6798D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(Ft/adag)</w:t>
            </w:r>
          </w:p>
          <w:p w14:paraId="5CB6F091" w14:textId="77777777" w:rsidR="00C6798D" w:rsidRDefault="00C6798D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Körmend közigazgatási területén működő intézményekben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C99B" w14:textId="77777777" w:rsidR="00C6798D" w:rsidRDefault="00C6798D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Intézményi térítési díj</w:t>
            </w:r>
          </w:p>
          <w:p w14:paraId="043E44D6" w14:textId="77777777" w:rsidR="00C6798D" w:rsidRDefault="00C6798D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(Ft/adag)</w:t>
            </w:r>
          </w:p>
          <w:p w14:paraId="63E36D3A" w14:textId="77777777" w:rsidR="00C6798D" w:rsidRDefault="00C6798D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Molnaszecsőd közigazgatási területén működő intézményben</w:t>
            </w:r>
          </w:p>
        </w:tc>
      </w:tr>
      <w:tr w:rsidR="00C6798D" w14:paraId="401E7CE5" w14:textId="77777777" w:rsidTr="00C6798D">
        <w:trPr>
          <w:trHeight w:val="357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E356" w14:textId="77777777" w:rsidR="00C6798D" w:rsidRDefault="00C6798D">
            <w:pPr>
              <w:spacing w:before="120" w:after="12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BÖLCSŐDE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3940" w14:textId="77777777" w:rsidR="00C6798D" w:rsidRDefault="00C6798D">
            <w:pPr>
              <w:spacing w:before="120" w:after="120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261" w14:textId="77777777" w:rsidR="00C6798D" w:rsidRDefault="00C6798D">
            <w:pPr>
              <w:spacing w:before="120" w:after="120"/>
              <w:rPr>
                <w:snapToGrid w:val="0"/>
                <w:sz w:val="24"/>
                <w:szCs w:val="24"/>
              </w:rPr>
            </w:pPr>
          </w:p>
        </w:tc>
      </w:tr>
      <w:tr w:rsidR="00C6798D" w14:paraId="38D5B032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25DF" w14:textId="77777777" w:rsidR="00C6798D" w:rsidRDefault="00C6798D">
            <w:pPr>
              <w:spacing w:before="60" w:after="6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Reggeli + tízórai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BD31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332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F144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C6798D" w14:paraId="3A487C52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369E" w14:textId="77777777" w:rsidR="00C6798D" w:rsidRDefault="00C6798D">
            <w:pPr>
              <w:spacing w:before="60" w:after="6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3E0A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570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DC2C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C6798D" w14:paraId="4F57D49F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24D8" w14:textId="77777777" w:rsidR="00C6798D" w:rsidRDefault="00C6798D">
            <w:pPr>
              <w:spacing w:before="60" w:after="6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17C8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212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3F07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C6798D" w14:paraId="288736ED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B2DF" w14:textId="77777777" w:rsidR="00C6798D" w:rsidRDefault="00C6798D">
            <w:pPr>
              <w:spacing w:before="60" w:after="6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Összesen: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106B" w14:textId="77777777" w:rsidR="00C6798D" w:rsidRDefault="00C6798D">
            <w:pPr>
              <w:spacing w:before="60" w:after="6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1.114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B900" w14:textId="77777777" w:rsidR="00C6798D" w:rsidRDefault="00C6798D">
            <w:pPr>
              <w:spacing w:before="60" w:after="6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-</w:t>
            </w:r>
          </w:p>
        </w:tc>
      </w:tr>
      <w:tr w:rsidR="00C6798D" w14:paraId="5CAAA40B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FABC" w14:textId="77777777" w:rsidR="00C6798D" w:rsidRDefault="00C6798D">
            <w:pPr>
              <w:spacing w:before="60" w:after="60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9EE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E10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6798D" w14:paraId="11831954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17BC" w14:textId="77777777" w:rsidR="00C6798D" w:rsidRDefault="00C6798D">
            <w:pPr>
              <w:spacing w:before="120" w:after="12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ÓVODA (3x-i étkezés)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3B1" w14:textId="77777777" w:rsidR="00C6798D" w:rsidRDefault="00C6798D">
            <w:pPr>
              <w:spacing w:before="120" w:after="12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037" w14:textId="77777777" w:rsidR="00C6798D" w:rsidRDefault="00C6798D">
            <w:pPr>
              <w:spacing w:before="120"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6798D" w14:paraId="4179B7B4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5998" w14:textId="77777777" w:rsidR="00C6798D" w:rsidRDefault="00C6798D">
            <w:pPr>
              <w:spacing w:before="60" w:after="6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Tízórai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1141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252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E053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156</w:t>
            </w:r>
          </w:p>
        </w:tc>
      </w:tr>
      <w:tr w:rsidR="00C6798D" w14:paraId="53C73D97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4F47" w14:textId="77777777" w:rsidR="00C6798D" w:rsidRDefault="00C6798D">
            <w:pPr>
              <w:spacing w:before="60" w:after="6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3D4C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724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52AC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452</w:t>
            </w:r>
          </w:p>
        </w:tc>
      </w:tr>
      <w:tr w:rsidR="00C6798D" w14:paraId="08B3422C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B109" w14:textId="77777777" w:rsidR="00C6798D" w:rsidRDefault="00C6798D">
            <w:pPr>
              <w:spacing w:before="60" w:after="6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5E51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226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1E2C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144</w:t>
            </w:r>
          </w:p>
        </w:tc>
      </w:tr>
      <w:tr w:rsidR="00C6798D" w14:paraId="1361C553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50B3" w14:textId="77777777" w:rsidR="00C6798D" w:rsidRDefault="00C6798D">
            <w:pPr>
              <w:spacing w:before="60" w:after="6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Összesen: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BE24" w14:textId="77777777" w:rsidR="00C6798D" w:rsidRDefault="00C6798D">
            <w:pPr>
              <w:spacing w:before="60" w:after="6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1.202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4020" w14:textId="77777777" w:rsidR="00C6798D" w:rsidRDefault="00C6798D">
            <w:pPr>
              <w:spacing w:before="60" w:after="6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752</w:t>
            </w:r>
          </w:p>
        </w:tc>
      </w:tr>
      <w:tr w:rsidR="00C6798D" w14:paraId="4D6A9C8D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AF63" w14:textId="77777777" w:rsidR="00C6798D" w:rsidRDefault="00C6798D">
            <w:pPr>
              <w:spacing w:before="60" w:after="60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1F37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7F0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6798D" w14:paraId="13EA6500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A950" w14:textId="77777777" w:rsidR="00C6798D" w:rsidRDefault="00C6798D">
            <w:pPr>
              <w:spacing w:before="120" w:after="12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ÁLTALÁNOS ISKOLA (3x-i étkezés)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E9A" w14:textId="77777777" w:rsidR="00C6798D" w:rsidRDefault="00C6798D">
            <w:pPr>
              <w:spacing w:before="120" w:after="120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128" w14:textId="77777777" w:rsidR="00C6798D" w:rsidRDefault="00C6798D">
            <w:pPr>
              <w:spacing w:before="120" w:after="120"/>
              <w:rPr>
                <w:snapToGrid w:val="0"/>
                <w:sz w:val="24"/>
                <w:szCs w:val="24"/>
              </w:rPr>
            </w:pPr>
          </w:p>
        </w:tc>
      </w:tr>
      <w:tr w:rsidR="00C6798D" w14:paraId="53B61569" w14:textId="77777777" w:rsidTr="00C6798D">
        <w:trPr>
          <w:trHeight w:val="407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5FD5" w14:textId="77777777" w:rsidR="00C6798D" w:rsidRDefault="00C6798D">
            <w:pPr>
              <w:spacing w:before="60" w:after="6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Tízórai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3602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217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DD71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C6798D" w14:paraId="7F33302D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436D" w14:textId="77777777" w:rsidR="00C6798D" w:rsidRDefault="00C6798D">
            <w:pPr>
              <w:spacing w:before="60" w:after="6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5DC1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642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6E95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C6798D" w14:paraId="6E3CFF33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3DAF" w14:textId="77777777" w:rsidR="00C6798D" w:rsidRDefault="00C6798D">
            <w:pPr>
              <w:spacing w:before="60" w:after="6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4ED8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A05E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C6798D" w14:paraId="778D885F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4B8D" w14:textId="77777777" w:rsidR="00C6798D" w:rsidRDefault="00C6798D">
            <w:pPr>
              <w:spacing w:before="60" w:after="6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Összesen: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3C29" w14:textId="77777777" w:rsidR="00C6798D" w:rsidRDefault="00C6798D">
            <w:pPr>
              <w:spacing w:before="60" w:after="6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1.059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C5DD" w14:textId="77777777" w:rsidR="00C6798D" w:rsidRDefault="00C6798D">
            <w:pPr>
              <w:spacing w:before="60" w:after="6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-</w:t>
            </w:r>
          </w:p>
        </w:tc>
      </w:tr>
      <w:tr w:rsidR="00C6798D" w14:paraId="1EC4B823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398" w14:textId="77777777" w:rsidR="00C6798D" w:rsidRDefault="00C6798D">
            <w:pPr>
              <w:spacing w:before="60" w:after="60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417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733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6798D" w14:paraId="2242E772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CA90" w14:textId="77777777" w:rsidR="00C6798D" w:rsidRDefault="00C6798D">
            <w:pPr>
              <w:spacing w:before="60" w:after="6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KÖZÉPISKOLA 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EAD3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BE1" w14:textId="77777777" w:rsidR="00C6798D" w:rsidRDefault="00C6798D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6798D" w14:paraId="1A5285F3" w14:textId="77777777" w:rsidTr="00C6798D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B66F" w14:textId="77777777" w:rsidR="00C6798D" w:rsidRDefault="00C6798D">
            <w:pPr>
              <w:spacing w:before="120"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BF1B" w14:textId="77777777" w:rsidR="00C6798D" w:rsidRDefault="00C6798D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784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2F2B" w14:textId="77777777" w:rsidR="00C6798D" w:rsidRDefault="00C6798D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-</w:t>
            </w:r>
          </w:p>
        </w:tc>
      </w:tr>
    </w:tbl>
    <w:p w14:paraId="6AE98288" w14:textId="77777777" w:rsidR="00C6798D" w:rsidRDefault="00C6798D" w:rsidP="00C6798D">
      <w:pPr>
        <w:spacing w:before="120" w:after="120"/>
        <w:rPr>
          <w:sz w:val="24"/>
          <w:szCs w:val="24"/>
        </w:rPr>
      </w:pPr>
    </w:p>
    <w:p w14:paraId="1B4191A5" w14:textId="77777777" w:rsidR="00C6798D" w:rsidRDefault="00C6798D" w:rsidP="00C6798D">
      <w:pPr>
        <w:spacing w:before="120" w:after="120"/>
        <w:jc w:val="both"/>
        <w:rPr>
          <w:sz w:val="24"/>
          <w:szCs w:val="24"/>
        </w:rPr>
      </w:pPr>
    </w:p>
    <w:p w14:paraId="3D7D32B2" w14:textId="77777777" w:rsidR="00C6798D" w:rsidRDefault="00C6798D" w:rsidP="00C6798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0EA2A5" w14:textId="77777777" w:rsidR="00C6798D" w:rsidRDefault="00C6798D" w:rsidP="00C6798D">
      <w:pPr>
        <w:widowControl w:val="0"/>
        <w:suppressAutoHyphens/>
        <w:spacing w:before="480" w:after="480"/>
        <w:jc w:val="center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lastRenderedPageBreak/>
        <w:t>INDOKOLÁS</w:t>
      </w:r>
    </w:p>
    <w:p w14:paraId="57824E76" w14:textId="77777777" w:rsidR="00C6798D" w:rsidRDefault="00C6798D" w:rsidP="00C6798D">
      <w:pPr>
        <w:widowControl w:val="0"/>
        <w:suppressAutoHyphens/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térítési díjakról szóló 15/2021. (IX. 3.) önkormányzati rendelet módosításáról szóló</w:t>
      </w:r>
      <w:proofErr w:type="gramStart"/>
      <w:r>
        <w:rPr>
          <w:b/>
          <w:bCs/>
          <w:sz w:val="24"/>
          <w:szCs w:val="24"/>
        </w:rPr>
        <w:t xml:space="preserve"> ….</w:t>
      </w:r>
      <w:proofErr w:type="gramEnd"/>
      <w:r>
        <w:rPr>
          <w:b/>
          <w:bCs/>
          <w:sz w:val="24"/>
          <w:szCs w:val="24"/>
        </w:rPr>
        <w:t>./2023. (VII……..) önkormányzati rendelethez</w:t>
      </w:r>
    </w:p>
    <w:p w14:paraId="3D08D963" w14:textId="77777777" w:rsidR="00C6798D" w:rsidRDefault="00C6798D" w:rsidP="00C6798D">
      <w:pPr>
        <w:widowControl w:val="0"/>
        <w:suppressAutoHyphens/>
        <w:spacing w:before="120" w:after="120"/>
        <w:rPr>
          <w:rFonts w:eastAsia="SimSun" w:cs="Mangal"/>
          <w:kern w:val="2"/>
          <w:sz w:val="24"/>
          <w:szCs w:val="24"/>
          <w:lang w:eastAsia="zh-CN" w:bidi="hi-IN"/>
        </w:rPr>
      </w:pPr>
    </w:p>
    <w:p w14:paraId="1788809C" w14:textId="77777777" w:rsidR="00C6798D" w:rsidRDefault="00C6798D" w:rsidP="00C6798D">
      <w:pPr>
        <w:widowControl w:val="0"/>
        <w:suppressAutoHyphens/>
        <w:spacing w:before="120" w:after="12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Az önkormányzati rendeletet – a jogalkotásról szóló 2010. évi CXXX. törvény (továbbiakban: </w:t>
      </w:r>
      <w:proofErr w:type="spellStart"/>
      <w:r>
        <w:rPr>
          <w:rFonts w:eastAsia="SimSun" w:cs="Mangal"/>
          <w:kern w:val="2"/>
          <w:sz w:val="24"/>
          <w:szCs w:val="24"/>
          <w:lang w:eastAsia="zh-CN" w:bidi="hi-IN"/>
        </w:rPr>
        <w:t>Jat</w:t>
      </w:r>
      <w:proofErr w:type="spellEnd"/>
      <w:r>
        <w:rPr>
          <w:rFonts w:eastAsia="SimSun" w:cs="Mangal"/>
          <w:kern w:val="2"/>
          <w:sz w:val="24"/>
          <w:szCs w:val="24"/>
          <w:lang w:eastAsia="zh-CN" w:bidi="hi-IN"/>
        </w:rPr>
        <w:t>.) 18.§-</w:t>
      </w:r>
      <w:proofErr w:type="spellStart"/>
      <w:r>
        <w:rPr>
          <w:rFonts w:eastAsia="SimSun" w:cs="Mangal"/>
          <w:kern w:val="2"/>
          <w:sz w:val="24"/>
          <w:szCs w:val="24"/>
          <w:lang w:eastAsia="zh-CN" w:bidi="hi-IN"/>
        </w:rPr>
        <w:t>ában</w:t>
      </w:r>
      <w:proofErr w:type="spellEnd"/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foglaltaknak megfelelően eljárva – az alábbiak szerint indokolom:</w:t>
      </w:r>
    </w:p>
    <w:p w14:paraId="6ABAABBF" w14:textId="77777777" w:rsidR="00C6798D" w:rsidRDefault="00C6798D" w:rsidP="00C6798D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>ÁLTALÁNOS INDOKOLÁS</w:t>
      </w:r>
    </w:p>
    <w:p w14:paraId="165BBEBE" w14:textId="77777777" w:rsidR="00C6798D" w:rsidRDefault="00C6798D" w:rsidP="00C6798D">
      <w:pPr>
        <w:widowControl w:val="0"/>
        <w:suppressAutoHyphens/>
        <w:spacing w:before="120" w:after="120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A térítési díjak megállapításának szabályait önkormányzati rendelet határozza meg. Tekintettel arra, hogy a Körmend és </w:t>
      </w:r>
      <w:proofErr w:type="spellStart"/>
      <w:r>
        <w:rPr>
          <w:rFonts w:eastAsia="SimSun"/>
          <w:kern w:val="2"/>
          <w:sz w:val="24"/>
          <w:szCs w:val="24"/>
          <w:lang w:eastAsia="zh-CN" w:bidi="hi-IN"/>
        </w:rPr>
        <w:t>Mikrotérsége</w:t>
      </w:r>
      <w:proofErr w:type="spellEnd"/>
      <w:r>
        <w:rPr>
          <w:rFonts w:eastAsia="SimSun"/>
          <w:kern w:val="2"/>
          <w:sz w:val="24"/>
          <w:szCs w:val="24"/>
          <w:lang w:eastAsia="zh-CN" w:bidi="hi-IN"/>
        </w:rPr>
        <w:t xml:space="preserve"> Intézményfenntartó Társulás által fenntartott intézmény </w:t>
      </w:r>
      <w:proofErr w:type="spellStart"/>
      <w:r>
        <w:rPr>
          <w:rFonts w:eastAsia="SimSun"/>
          <w:kern w:val="2"/>
          <w:sz w:val="24"/>
          <w:szCs w:val="24"/>
          <w:lang w:eastAsia="zh-CN" w:bidi="hi-IN"/>
        </w:rPr>
        <w:t>molnaszecsődi</w:t>
      </w:r>
      <w:proofErr w:type="spellEnd"/>
      <w:r>
        <w:rPr>
          <w:rFonts w:eastAsia="SimSun"/>
          <w:kern w:val="2"/>
          <w:sz w:val="24"/>
          <w:szCs w:val="24"/>
          <w:lang w:eastAsia="zh-CN" w:bidi="hi-IN"/>
        </w:rPr>
        <w:t xml:space="preserve"> tagóvodája részére az étkeztetést a körmenditől különböző szolgáltató, más főzőkonyháról biztosítja, így eltérőek a díjak is a tagintézmények esetében, ezért indokolt az intézményi térítési díjak ennek megfelelő, differenciált megállapítása. Emiatt a rendelet módosítása szükséges.</w:t>
      </w:r>
    </w:p>
    <w:p w14:paraId="58B13844" w14:textId="77777777" w:rsidR="00C6798D" w:rsidRDefault="00C6798D" w:rsidP="00C6798D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>RÉSZLETES INDOKOLÁS</w:t>
      </w:r>
    </w:p>
    <w:p w14:paraId="21C88037" w14:textId="77777777" w:rsidR="00C6798D" w:rsidRDefault="00C6798D" w:rsidP="00C6798D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t>1.§-hoz</w:t>
      </w:r>
    </w:p>
    <w:p w14:paraId="23EB8CF5" w14:textId="77777777" w:rsidR="00C6798D" w:rsidRDefault="00C6798D" w:rsidP="00C6798D">
      <w:pPr>
        <w:widowControl w:val="0"/>
        <w:suppressAutoHyphens/>
        <w:spacing w:before="120" w:after="120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A vonatkozó jogszabályi rész az intézményi gyermekétkeztetésért fizetendő térítési díjról rendelkezik meghatározva a fenntartókat, valamint a működési területeket.</w:t>
      </w:r>
    </w:p>
    <w:p w14:paraId="1E8B57B7" w14:textId="77777777" w:rsidR="00C6798D" w:rsidRDefault="00C6798D" w:rsidP="00C6798D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t>2.§-hoz</w:t>
      </w:r>
    </w:p>
    <w:p w14:paraId="62B0D09C" w14:textId="77777777" w:rsidR="00C6798D" w:rsidRDefault="00C6798D" w:rsidP="00C6798D">
      <w:pPr>
        <w:widowControl w:val="0"/>
        <w:suppressAutoHyphens/>
        <w:spacing w:before="120" w:after="120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A vonatkozó jogszabályi rész a rendelet 2. mellékletének módosításáról rendelkezik, a gyermekétkeztetés intézményi térítési díjait határozza meg.</w:t>
      </w:r>
    </w:p>
    <w:p w14:paraId="343FD54D" w14:textId="77777777" w:rsidR="00C6798D" w:rsidRDefault="00C6798D" w:rsidP="00C6798D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t>3.§-hoz</w:t>
      </w:r>
    </w:p>
    <w:p w14:paraId="0FE6C2A4" w14:textId="77777777" w:rsidR="00C6798D" w:rsidRDefault="00C6798D" w:rsidP="00C6798D">
      <w:pPr>
        <w:widowControl w:val="0"/>
        <w:suppressAutoHyphens/>
        <w:spacing w:before="120" w:after="120"/>
        <w:jc w:val="both"/>
        <w:rPr>
          <w:sz w:val="22"/>
          <w:szCs w:val="22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A vonatkozó jogszabályi rész hatályba léptető és hatályon kívül helyező rendelkezést tartalmaz.</w:t>
      </w:r>
    </w:p>
    <w:p w14:paraId="22C5D4FD" w14:textId="77777777" w:rsidR="00C6798D" w:rsidRDefault="00C6798D" w:rsidP="00C6798D">
      <w:pPr>
        <w:spacing w:before="120" w:after="120"/>
        <w:jc w:val="both"/>
        <w:rPr>
          <w:sz w:val="24"/>
          <w:szCs w:val="24"/>
        </w:rPr>
      </w:pPr>
    </w:p>
    <w:p w14:paraId="1A88A55C" w14:textId="77777777" w:rsidR="00BA2DF9" w:rsidRDefault="00BA2DF9"/>
    <w:sectPr w:rsidR="00BA2DF9" w:rsidSect="0090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98D"/>
    <w:rsid w:val="0014729F"/>
    <w:rsid w:val="004247D5"/>
    <w:rsid w:val="00653053"/>
    <w:rsid w:val="009054B4"/>
    <w:rsid w:val="00BA2DF9"/>
    <w:rsid w:val="00C6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46CF"/>
  <w15:docId w15:val="{F236633C-6B32-46C2-9855-ED6D067A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798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 Önkormányzat</dc:creator>
  <cp:lastModifiedBy>Körmend Önkormányzat</cp:lastModifiedBy>
  <cp:revision>2</cp:revision>
  <cp:lastPrinted>2023-07-24T07:22:00Z</cp:lastPrinted>
  <dcterms:created xsi:type="dcterms:W3CDTF">2023-07-24T07:22:00Z</dcterms:created>
  <dcterms:modified xsi:type="dcterms:W3CDTF">2023-07-24T07:22:00Z</dcterms:modified>
</cp:coreProperties>
</file>