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drawings/drawing1.xml" ContentType="application/vnd.openxmlformats-officedocument.drawingml.chartshapes+xml"/>
  <Override PartName="/word/charts/chart4.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5.xml" ContentType="application/vnd.openxmlformats-officedocument.drawingml.chart+xml"/>
  <Override PartName="/word/drawings/drawing2.xml" ContentType="application/vnd.openxmlformats-officedocument.drawingml.chartshapes+xml"/>
  <Override PartName="/word/charts/chart6.xml" ContentType="application/vnd.openxmlformats-officedocument.drawingml.chart+xml"/>
  <Override PartName="/word/drawings/drawing3.xml" ContentType="application/vnd.openxmlformats-officedocument.drawingml.chartshapes+xml"/>
  <Override PartName="/word/charts/chart7.xml" ContentType="application/vnd.openxmlformats-officedocument.drawingml.chart+xml"/>
  <Override PartName="/word/charts/chart8.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9.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10.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11.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12.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13.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14.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5.xml" ContentType="application/vnd.openxmlformats-officedocument.drawingml.chart+xml"/>
  <Override PartName="/word/charts/style9.xml" ContentType="application/vnd.ms-office.chartstyle+xml"/>
  <Override PartName="/word/charts/colors9.xml" ContentType="application/vnd.ms-office.chartcolorstyle+xml"/>
  <Override PartName="/word/drawings/drawing4.xml" ContentType="application/vnd.openxmlformats-officedocument.drawingml.chartshapes+xml"/>
  <Override PartName="/word/charts/chart16.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7.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8.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9.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20.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21.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22.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23.xml" ContentType="application/vnd.openxmlformats-officedocument.drawingml.chart+xml"/>
  <Override PartName="/word/charts/style17.xml" ContentType="application/vnd.ms-office.chartstyle+xml"/>
  <Override PartName="/word/charts/colors17.xml" ContentType="application/vnd.ms-office.chartcolorstyle+xml"/>
  <Override PartName="/word/drawings/drawing5.xml" ContentType="application/vnd.openxmlformats-officedocument.drawingml.chartshapes+xml"/>
  <Override PartName="/word/charts/chart24.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25.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6.xml" ContentType="application/vnd.openxmlformats-officedocument.drawingml.chart+xml"/>
  <Override PartName="/word/charts/style20.xml" ContentType="application/vnd.ms-office.chartstyle+xml"/>
  <Override PartName="/word/charts/colors20.xml" ContentType="application/vnd.ms-office.chartcolorstyle+xml"/>
  <Override PartName="/word/drawings/drawing6.xml" ContentType="application/vnd.openxmlformats-officedocument.drawingml.chartshapes+xml"/>
  <Override PartName="/word/charts/chart27.xml" ContentType="application/vnd.openxmlformats-officedocument.drawingml.chart+xml"/>
  <Override PartName="/word/charts/style21.xml" ContentType="application/vnd.ms-office.chartstyle+xml"/>
  <Override PartName="/word/charts/colors21.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51AA4" w:rsidRPr="00DB2665" w:rsidRDefault="00CD3D01">
      <w:pPr>
        <w:rPr>
          <w:b/>
          <w:sz w:val="22"/>
          <w:u w:val="single"/>
        </w:rPr>
      </w:pPr>
      <w:r w:rsidRPr="00DB2665">
        <w:rPr>
          <w:b/>
          <w:noProof/>
          <w:sz w:val="22"/>
          <w:szCs w:val="28"/>
        </w:rPr>
        <w:drawing>
          <wp:inline distT="0" distB="0" distL="0" distR="0">
            <wp:extent cx="1905000" cy="1447800"/>
            <wp:effectExtent l="0" t="0" r="0" b="0"/>
            <wp:docPr id="1" name="Kép 1" descr="VasiViz_2x1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asiViz_2x1_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05000" cy="1447800"/>
                    </a:xfrm>
                    <a:prstGeom prst="rect">
                      <a:avLst/>
                    </a:prstGeom>
                    <a:noFill/>
                    <a:ln>
                      <a:noFill/>
                    </a:ln>
                  </pic:spPr>
                </pic:pic>
              </a:graphicData>
            </a:graphic>
          </wp:inline>
        </w:drawing>
      </w:r>
    </w:p>
    <w:p w:rsidR="00D51AA4" w:rsidRPr="00DB2665" w:rsidRDefault="00D51AA4">
      <w:pPr>
        <w:rPr>
          <w:b/>
          <w:sz w:val="22"/>
          <w:u w:val="single"/>
        </w:rPr>
      </w:pPr>
    </w:p>
    <w:p w:rsidR="00D51AA4" w:rsidRPr="00DB2665" w:rsidRDefault="00D51AA4">
      <w:pPr>
        <w:rPr>
          <w:b/>
          <w:sz w:val="22"/>
          <w:u w:val="single"/>
        </w:rPr>
      </w:pPr>
    </w:p>
    <w:p w:rsidR="00D51AA4" w:rsidRPr="00DB2665" w:rsidRDefault="00D51AA4">
      <w:pPr>
        <w:rPr>
          <w:b/>
          <w:sz w:val="22"/>
          <w:u w:val="single"/>
        </w:rPr>
      </w:pPr>
    </w:p>
    <w:p w:rsidR="00D51AA4" w:rsidRPr="00DB2665" w:rsidRDefault="00D51AA4">
      <w:pPr>
        <w:rPr>
          <w:b/>
          <w:sz w:val="22"/>
          <w:u w:val="single"/>
        </w:rPr>
      </w:pPr>
    </w:p>
    <w:p w:rsidR="00D51AA4" w:rsidRPr="00DB2665" w:rsidRDefault="00D51AA4">
      <w:pPr>
        <w:rPr>
          <w:b/>
          <w:sz w:val="22"/>
          <w:u w:val="single"/>
        </w:rPr>
      </w:pPr>
    </w:p>
    <w:p w:rsidR="00D51AA4" w:rsidRPr="00DB2665" w:rsidRDefault="00D51AA4">
      <w:pPr>
        <w:rPr>
          <w:b/>
          <w:sz w:val="22"/>
          <w:u w:val="single"/>
        </w:rPr>
      </w:pPr>
    </w:p>
    <w:p w:rsidR="00D51AA4" w:rsidRPr="00DB2665" w:rsidRDefault="00D51AA4">
      <w:pPr>
        <w:rPr>
          <w:b/>
          <w:sz w:val="22"/>
          <w:u w:val="single"/>
        </w:rPr>
      </w:pPr>
    </w:p>
    <w:p w:rsidR="00D51AA4" w:rsidRPr="00DB2665" w:rsidRDefault="00D51AA4">
      <w:pPr>
        <w:rPr>
          <w:b/>
          <w:sz w:val="22"/>
          <w:u w:val="single"/>
        </w:rPr>
      </w:pPr>
    </w:p>
    <w:p w:rsidR="00D51AA4" w:rsidRPr="00DB2665" w:rsidRDefault="00D51AA4">
      <w:pPr>
        <w:rPr>
          <w:b/>
          <w:sz w:val="22"/>
          <w:u w:val="single"/>
        </w:rPr>
      </w:pPr>
    </w:p>
    <w:p w:rsidR="00D51AA4" w:rsidRPr="00DB2665" w:rsidRDefault="00D51AA4">
      <w:pPr>
        <w:rPr>
          <w:b/>
          <w:sz w:val="22"/>
          <w:u w:val="single"/>
        </w:rPr>
      </w:pPr>
    </w:p>
    <w:p w:rsidR="00D51AA4" w:rsidRPr="00DB2665" w:rsidRDefault="00D51AA4">
      <w:pPr>
        <w:rPr>
          <w:b/>
          <w:sz w:val="22"/>
          <w:u w:val="single"/>
        </w:rPr>
      </w:pPr>
    </w:p>
    <w:p w:rsidR="00D51AA4" w:rsidRPr="00DB2665" w:rsidRDefault="00D51AA4">
      <w:pPr>
        <w:rPr>
          <w:b/>
          <w:sz w:val="22"/>
          <w:u w:val="single"/>
        </w:rPr>
      </w:pPr>
    </w:p>
    <w:p w:rsidR="00D51AA4" w:rsidRPr="00DB2665" w:rsidRDefault="00D51AA4">
      <w:pPr>
        <w:rPr>
          <w:b/>
          <w:sz w:val="22"/>
          <w:u w:val="single"/>
        </w:rPr>
      </w:pPr>
    </w:p>
    <w:p w:rsidR="00D51AA4" w:rsidRPr="00DB2665" w:rsidRDefault="00D51AA4" w:rsidP="00FC576A">
      <w:pPr>
        <w:jc w:val="center"/>
        <w:rPr>
          <w:b/>
          <w:i/>
          <w:sz w:val="28"/>
        </w:rPr>
      </w:pPr>
      <w:r w:rsidRPr="00DB2665">
        <w:rPr>
          <w:b/>
          <w:i/>
          <w:sz w:val="28"/>
        </w:rPr>
        <w:t>20</w:t>
      </w:r>
      <w:r w:rsidR="00302680" w:rsidRPr="00DB2665">
        <w:rPr>
          <w:b/>
          <w:i/>
          <w:sz w:val="28"/>
        </w:rPr>
        <w:t>2</w:t>
      </w:r>
      <w:r w:rsidR="002B12EB" w:rsidRPr="00DB2665">
        <w:rPr>
          <w:b/>
          <w:i/>
          <w:sz w:val="28"/>
        </w:rPr>
        <w:t>2</w:t>
      </w:r>
      <w:r w:rsidR="0033632B" w:rsidRPr="00DB2665">
        <w:rPr>
          <w:b/>
          <w:i/>
          <w:sz w:val="28"/>
        </w:rPr>
        <w:t>.</w:t>
      </w:r>
      <w:r w:rsidR="00910144" w:rsidRPr="00DB2665">
        <w:rPr>
          <w:b/>
          <w:i/>
          <w:sz w:val="28"/>
        </w:rPr>
        <w:t xml:space="preserve"> ÉVI ÜZLETI</w:t>
      </w:r>
      <w:r w:rsidRPr="00DB2665">
        <w:rPr>
          <w:b/>
          <w:i/>
          <w:sz w:val="28"/>
        </w:rPr>
        <w:t xml:space="preserve"> JELENTÉS</w:t>
      </w:r>
    </w:p>
    <w:p w:rsidR="00D51AA4" w:rsidRPr="00DB2665" w:rsidRDefault="00D51AA4">
      <w:pPr>
        <w:rPr>
          <w:b/>
          <w:sz w:val="22"/>
          <w:u w:val="single"/>
        </w:rPr>
      </w:pPr>
    </w:p>
    <w:p w:rsidR="00D51AA4" w:rsidRPr="00DB2665" w:rsidRDefault="00D51AA4">
      <w:pPr>
        <w:rPr>
          <w:b/>
          <w:sz w:val="22"/>
          <w:u w:val="single"/>
        </w:rPr>
      </w:pPr>
    </w:p>
    <w:p w:rsidR="00D51AA4" w:rsidRPr="00DB2665" w:rsidRDefault="00D51AA4">
      <w:pPr>
        <w:rPr>
          <w:b/>
          <w:sz w:val="22"/>
          <w:u w:val="single"/>
        </w:rPr>
      </w:pPr>
    </w:p>
    <w:p w:rsidR="00D51AA4" w:rsidRPr="00DB2665" w:rsidRDefault="00D51AA4">
      <w:pPr>
        <w:rPr>
          <w:b/>
          <w:sz w:val="22"/>
          <w:u w:val="single"/>
        </w:rPr>
      </w:pPr>
    </w:p>
    <w:p w:rsidR="00D51AA4" w:rsidRPr="00DB2665" w:rsidRDefault="00D51AA4">
      <w:pPr>
        <w:rPr>
          <w:b/>
          <w:sz w:val="22"/>
          <w:u w:val="single"/>
        </w:rPr>
      </w:pPr>
    </w:p>
    <w:p w:rsidR="00D51AA4" w:rsidRPr="00DB2665" w:rsidRDefault="00D51AA4">
      <w:pPr>
        <w:rPr>
          <w:b/>
          <w:sz w:val="22"/>
          <w:u w:val="single"/>
        </w:rPr>
      </w:pPr>
    </w:p>
    <w:p w:rsidR="00D51AA4" w:rsidRPr="00DB2665" w:rsidRDefault="00D51AA4">
      <w:pPr>
        <w:rPr>
          <w:b/>
          <w:sz w:val="22"/>
          <w:u w:val="single"/>
        </w:rPr>
      </w:pPr>
    </w:p>
    <w:p w:rsidR="00D51AA4" w:rsidRPr="00DB2665" w:rsidRDefault="00D51AA4">
      <w:pPr>
        <w:rPr>
          <w:b/>
          <w:sz w:val="22"/>
          <w:u w:val="single"/>
        </w:rPr>
      </w:pPr>
    </w:p>
    <w:p w:rsidR="00D51AA4" w:rsidRPr="00DB2665" w:rsidRDefault="00D51AA4">
      <w:pPr>
        <w:rPr>
          <w:b/>
          <w:sz w:val="22"/>
          <w:u w:val="single"/>
        </w:rPr>
      </w:pPr>
    </w:p>
    <w:p w:rsidR="00D51AA4" w:rsidRPr="00DB2665" w:rsidRDefault="00D51AA4">
      <w:pPr>
        <w:rPr>
          <w:b/>
          <w:sz w:val="22"/>
          <w:u w:val="single"/>
        </w:rPr>
      </w:pPr>
    </w:p>
    <w:p w:rsidR="00D51AA4" w:rsidRPr="00DB2665" w:rsidRDefault="00D51AA4">
      <w:pPr>
        <w:rPr>
          <w:b/>
          <w:sz w:val="22"/>
          <w:u w:val="single"/>
        </w:rPr>
      </w:pPr>
    </w:p>
    <w:p w:rsidR="00D51AA4" w:rsidRPr="00DB2665" w:rsidRDefault="00D51AA4">
      <w:pPr>
        <w:rPr>
          <w:b/>
          <w:sz w:val="22"/>
          <w:u w:val="single"/>
        </w:rPr>
      </w:pPr>
    </w:p>
    <w:p w:rsidR="00D51AA4" w:rsidRPr="00DB2665" w:rsidRDefault="00D51AA4">
      <w:pPr>
        <w:rPr>
          <w:b/>
          <w:sz w:val="22"/>
          <w:u w:val="single"/>
        </w:rPr>
      </w:pPr>
    </w:p>
    <w:p w:rsidR="00D51AA4" w:rsidRPr="00DB2665" w:rsidRDefault="00D51AA4">
      <w:pPr>
        <w:rPr>
          <w:b/>
          <w:sz w:val="22"/>
          <w:u w:val="single"/>
        </w:rPr>
      </w:pPr>
    </w:p>
    <w:p w:rsidR="00D51AA4" w:rsidRPr="00DB2665" w:rsidRDefault="00D51AA4">
      <w:pPr>
        <w:rPr>
          <w:b/>
          <w:sz w:val="22"/>
          <w:u w:val="single"/>
        </w:rPr>
      </w:pPr>
    </w:p>
    <w:p w:rsidR="00D51AA4" w:rsidRPr="00DB2665" w:rsidRDefault="00D51AA4">
      <w:pPr>
        <w:rPr>
          <w:b/>
          <w:sz w:val="22"/>
          <w:u w:val="single"/>
        </w:rPr>
      </w:pPr>
    </w:p>
    <w:p w:rsidR="00D51AA4" w:rsidRPr="00DB2665" w:rsidRDefault="00D51AA4">
      <w:pPr>
        <w:rPr>
          <w:b/>
          <w:sz w:val="22"/>
          <w:u w:val="single"/>
        </w:rPr>
      </w:pPr>
    </w:p>
    <w:p w:rsidR="00D51AA4" w:rsidRPr="00DB2665" w:rsidRDefault="00D51AA4">
      <w:pPr>
        <w:rPr>
          <w:b/>
          <w:sz w:val="22"/>
          <w:u w:val="single"/>
        </w:rPr>
      </w:pPr>
    </w:p>
    <w:p w:rsidR="00D51AA4" w:rsidRPr="00DB2665" w:rsidRDefault="00D51AA4">
      <w:pPr>
        <w:rPr>
          <w:b/>
          <w:sz w:val="22"/>
          <w:u w:val="single"/>
        </w:rPr>
      </w:pPr>
    </w:p>
    <w:p w:rsidR="00D51AA4" w:rsidRPr="00DB2665" w:rsidRDefault="00D51AA4">
      <w:pPr>
        <w:rPr>
          <w:b/>
          <w:sz w:val="22"/>
          <w:u w:val="single"/>
        </w:rPr>
      </w:pPr>
    </w:p>
    <w:p w:rsidR="00D51AA4" w:rsidRPr="00DB2665" w:rsidRDefault="00D51AA4">
      <w:pPr>
        <w:rPr>
          <w:b/>
          <w:sz w:val="22"/>
          <w:u w:val="single"/>
        </w:rPr>
      </w:pPr>
    </w:p>
    <w:p w:rsidR="00D51AA4" w:rsidRPr="00DB2665" w:rsidRDefault="00D51AA4" w:rsidP="0033632B">
      <w:r w:rsidRPr="00DB2665">
        <w:t>Szombathely, 20</w:t>
      </w:r>
      <w:r w:rsidR="00551655" w:rsidRPr="00DB2665">
        <w:t>2</w:t>
      </w:r>
      <w:r w:rsidR="002B12EB" w:rsidRPr="00DB2665">
        <w:t>3</w:t>
      </w:r>
      <w:r w:rsidRPr="00DB2665">
        <w:t>. április</w:t>
      </w:r>
      <w:r w:rsidR="004573C0" w:rsidRPr="00DB2665">
        <w:t xml:space="preserve"> </w:t>
      </w:r>
      <w:r w:rsidR="00302680" w:rsidRPr="00DB2665">
        <w:t>1</w:t>
      </w:r>
      <w:r w:rsidR="00DB2665" w:rsidRPr="00DB2665">
        <w:t>3</w:t>
      </w:r>
      <w:r w:rsidRPr="00DB2665">
        <w:t>.</w:t>
      </w:r>
    </w:p>
    <w:p w:rsidR="00D51AA4" w:rsidRPr="00DB2665" w:rsidRDefault="00D51AA4">
      <w:pPr>
        <w:pStyle w:val="TJ1"/>
        <w:jc w:val="center"/>
        <w:rPr>
          <w:b w:val="0"/>
          <w:sz w:val="22"/>
        </w:rPr>
      </w:pPr>
      <w:r w:rsidRPr="00DB2665">
        <w:rPr>
          <w:b w:val="0"/>
          <w:sz w:val="22"/>
        </w:rPr>
        <w:br w:type="page"/>
      </w:r>
    </w:p>
    <w:p w:rsidR="00D51AA4" w:rsidRPr="00DB2665" w:rsidRDefault="00D51AA4">
      <w:pPr>
        <w:pStyle w:val="Trgymutatcm"/>
        <w:rPr>
          <w:sz w:val="16"/>
          <w:szCs w:val="16"/>
        </w:rPr>
      </w:pPr>
    </w:p>
    <w:p w:rsidR="0017345C" w:rsidRPr="00DB2665" w:rsidRDefault="0017345C" w:rsidP="0017345C">
      <w:pPr>
        <w:pStyle w:val="Trgymutat1"/>
      </w:pPr>
    </w:p>
    <w:p w:rsidR="00D51AA4" w:rsidRPr="007A3439" w:rsidRDefault="00D51AA4">
      <w:pPr>
        <w:pStyle w:val="TJ1"/>
        <w:jc w:val="center"/>
      </w:pPr>
      <w:r w:rsidRPr="007A3439">
        <w:t>TARTALOMJEGYZÉK</w:t>
      </w:r>
    </w:p>
    <w:sdt>
      <w:sdtPr>
        <w:rPr>
          <w:rFonts w:ascii="Times New Roman" w:eastAsia="Times New Roman" w:hAnsi="Times New Roman" w:cs="Times New Roman"/>
          <w:color w:val="auto"/>
          <w:sz w:val="20"/>
          <w:szCs w:val="20"/>
        </w:rPr>
        <w:id w:val="523834393"/>
        <w:docPartObj>
          <w:docPartGallery w:val="Table of Contents"/>
          <w:docPartUnique/>
        </w:docPartObj>
      </w:sdtPr>
      <w:sdtEndPr>
        <w:rPr>
          <w:b/>
          <w:bCs/>
          <w:sz w:val="24"/>
        </w:rPr>
      </w:sdtEndPr>
      <w:sdtContent>
        <w:p w:rsidR="0033632B" w:rsidRPr="00DB2665" w:rsidRDefault="0033632B" w:rsidP="007B5285">
          <w:pPr>
            <w:pStyle w:val="Tartalomjegyzkcmsora"/>
            <w:rPr>
              <w:sz w:val="20"/>
              <w:szCs w:val="20"/>
            </w:rPr>
          </w:pPr>
        </w:p>
        <w:p w:rsidR="005C578D" w:rsidRDefault="0033632B">
          <w:pPr>
            <w:pStyle w:val="TJ1"/>
            <w:tabs>
              <w:tab w:val="right" w:leader="dot" w:pos="9805"/>
            </w:tabs>
            <w:rPr>
              <w:rFonts w:asciiTheme="minorHAnsi" w:eastAsiaTheme="minorEastAsia" w:hAnsiTheme="minorHAnsi" w:cstheme="minorBidi"/>
              <w:b w:val="0"/>
              <w:bCs w:val="0"/>
              <w:caps w:val="0"/>
              <w:noProof/>
              <w:sz w:val="22"/>
              <w:szCs w:val="22"/>
            </w:rPr>
          </w:pPr>
          <w:r w:rsidRPr="00A961D8">
            <w:rPr>
              <w:sz w:val="20"/>
              <w:szCs w:val="20"/>
            </w:rPr>
            <w:fldChar w:fldCharType="begin"/>
          </w:r>
          <w:r w:rsidRPr="00A961D8">
            <w:rPr>
              <w:sz w:val="20"/>
              <w:szCs w:val="20"/>
            </w:rPr>
            <w:instrText xml:space="preserve"> TOC \o "1-3" \h \z \u </w:instrText>
          </w:r>
          <w:r w:rsidRPr="00A961D8">
            <w:rPr>
              <w:sz w:val="20"/>
              <w:szCs w:val="20"/>
            </w:rPr>
            <w:fldChar w:fldCharType="separate"/>
          </w:r>
          <w:hyperlink w:anchor="_Toc132629458" w:history="1">
            <w:r w:rsidR="005C578D" w:rsidRPr="00FA71B9">
              <w:rPr>
                <w:rStyle w:val="Hiperhivatkozs"/>
                <w:noProof/>
              </w:rPr>
              <w:t>I. BEVEZETÉS</w:t>
            </w:r>
            <w:r w:rsidR="005C578D">
              <w:rPr>
                <w:noProof/>
                <w:webHidden/>
              </w:rPr>
              <w:tab/>
            </w:r>
            <w:r w:rsidR="005C578D">
              <w:rPr>
                <w:noProof/>
                <w:webHidden/>
              </w:rPr>
              <w:fldChar w:fldCharType="begin"/>
            </w:r>
            <w:r w:rsidR="005C578D">
              <w:rPr>
                <w:noProof/>
                <w:webHidden/>
              </w:rPr>
              <w:instrText xml:space="preserve"> PAGEREF _Toc132629458 \h </w:instrText>
            </w:r>
            <w:r w:rsidR="005C578D">
              <w:rPr>
                <w:noProof/>
                <w:webHidden/>
              </w:rPr>
            </w:r>
            <w:r w:rsidR="005C578D">
              <w:rPr>
                <w:noProof/>
                <w:webHidden/>
              </w:rPr>
              <w:fldChar w:fldCharType="separate"/>
            </w:r>
            <w:r w:rsidR="006945E1">
              <w:rPr>
                <w:noProof/>
                <w:webHidden/>
              </w:rPr>
              <w:t>3</w:t>
            </w:r>
            <w:r w:rsidR="005C578D">
              <w:rPr>
                <w:noProof/>
                <w:webHidden/>
              </w:rPr>
              <w:fldChar w:fldCharType="end"/>
            </w:r>
          </w:hyperlink>
        </w:p>
        <w:p w:rsidR="005C578D" w:rsidRDefault="00B2372D">
          <w:pPr>
            <w:pStyle w:val="TJ2"/>
            <w:rPr>
              <w:rFonts w:asciiTheme="minorHAnsi" w:eastAsiaTheme="minorEastAsia" w:hAnsiTheme="minorHAnsi" w:cstheme="minorBidi"/>
              <w:smallCaps w:val="0"/>
              <w:snapToGrid/>
              <w:szCs w:val="22"/>
            </w:rPr>
          </w:pPr>
          <w:hyperlink w:anchor="_Toc132629459" w:history="1">
            <w:r w:rsidR="005C578D" w:rsidRPr="00FA71B9">
              <w:rPr>
                <w:rStyle w:val="Hiperhivatkozs"/>
              </w:rPr>
              <w:t>A részvénytársaság jogi helyzete és tevékenysége, főbb törvényi előírások és hatásuk a társaság működésére</w:t>
            </w:r>
            <w:r w:rsidR="005C578D">
              <w:rPr>
                <w:webHidden/>
              </w:rPr>
              <w:tab/>
            </w:r>
            <w:r w:rsidR="005C578D">
              <w:rPr>
                <w:webHidden/>
              </w:rPr>
              <w:fldChar w:fldCharType="begin"/>
            </w:r>
            <w:r w:rsidR="005C578D">
              <w:rPr>
                <w:webHidden/>
              </w:rPr>
              <w:instrText xml:space="preserve"> PAGEREF _Toc132629459 \h </w:instrText>
            </w:r>
            <w:r w:rsidR="005C578D">
              <w:rPr>
                <w:webHidden/>
              </w:rPr>
            </w:r>
            <w:r w:rsidR="005C578D">
              <w:rPr>
                <w:webHidden/>
              </w:rPr>
              <w:fldChar w:fldCharType="separate"/>
            </w:r>
            <w:r w:rsidR="006945E1">
              <w:rPr>
                <w:webHidden/>
              </w:rPr>
              <w:t>3</w:t>
            </w:r>
            <w:r w:rsidR="005C578D">
              <w:rPr>
                <w:webHidden/>
              </w:rPr>
              <w:fldChar w:fldCharType="end"/>
            </w:r>
          </w:hyperlink>
        </w:p>
        <w:p w:rsidR="005C578D" w:rsidRDefault="00B2372D">
          <w:pPr>
            <w:pStyle w:val="TJ2"/>
            <w:rPr>
              <w:rFonts w:asciiTheme="minorHAnsi" w:eastAsiaTheme="minorEastAsia" w:hAnsiTheme="minorHAnsi" w:cstheme="minorBidi"/>
              <w:smallCaps w:val="0"/>
              <w:snapToGrid/>
              <w:szCs w:val="22"/>
            </w:rPr>
          </w:pPr>
          <w:hyperlink w:anchor="_Toc132629460" w:history="1">
            <w:r w:rsidR="005C578D" w:rsidRPr="00FA71B9">
              <w:rPr>
                <w:rStyle w:val="Hiperhivatkozs"/>
              </w:rPr>
              <w:t>Tulajdonosi szerkezet</w:t>
            </w:r>
            <w:r w:rsidR="005C578D">
              <w:rPr>
                <w:webHidden/>
              </w:rPr>
              <w:tab/>
            </w:r>
            <w:r w:rsidR="005C578D">
              <w:rPr>
                <w:webHidden/>
              </w:rPr>
              <w:fldChar w:fldCharType="begin"/>
            </w:r>
            <w:r w:rsidR="005C578D">
              <w:rPr>
                <w:webHidden/>
              </w:rPr>
              <w:instrText xml:space="preserve"> PAGEREF _Toc132629460 \h </w:instrText>
            </w:r>
            <w:r w:rsidR="005C578D">
              <w:rPr>
                <w:webHidden/>
              </w:rPr>
            </w:r>
            <w:r w:rsidR="005C578D">
              <w:rPr>
                <w:webHidden/>
              </w:rPr>
              <w:fldChar w:fldCharType="separate"/>
            </w:r>
            <w:r w:rsidR="006945E1">
              <w:rPr>
                <w:webHidden/>
              </w:rPr>
              <w:t>5</w:t>
            </w:r>
            <w:r w:rsidR="005C578D">
              <w:rPr>
                <w:webHidden/>
              </w:rPr>
              <w:fldChar w:fldCharType="end"/>
            </w:r>
          </w:hyperlink>
        </w:p>
        <w:p w:rsidR="005C578D" w:rsidRDefault="00B2372D">
          <w:pPr>
            <w:pStyle w:val="TJ2"/>
            <w:tabs>
              <w:tab w:val="left" w:pos="1920"/>
            </w:tabs>
            <w:rPr>
              <w:rFonts w:asciiTheme="minorHAnsi" w:eastAsiaTheme="minorEastAsia" w:hAnsiTheme="minorHAnsi" w:cstheme="minorBidi"/>
              <w:smallCaps w:val="0"/>
              <w:snapToGrid/>
              <w:szCs w:val="22"/>
            </w:rPr>
          </w:pPr>
          <w:hyperlink w:anchor="_Toc132629461" w:history="1">
            <w:r w:rsidR="005C578D" w:rsidRPr="00FA71B9">
              <w:rPr>
                <w:rStyle w:val="Hiperhivatkozs"/>
              </w:rPr>
              <w:t>Igazgatóság.</w:t>
            </w:r>
            <w:r w:rsidR="005C578D">
              <w:rPr>
                <w:rFonts w:asciiTheme="minorHAnsi" w:eastAsiaTheme="minorEastAsia" w:hAnsiTheme="minorHAnsi" w:cstheme="minorBidi"/>
                <w:smallCaps w:val="0"/>
                <w:snapToGrid/>
                <w:szCs w:val="22"/>
              </w:rPr>
              <w:tab/>
            </w:r>
            <w:r w:rsidR="005C578D" w:rsidRPr="00FA71B9">
              <w:rPr>
                <w:rStyle w:val="Hiperhivatkozs"/>
              </w:rPr>
              <w:t>Felügyelő Bizottság</w:t>
            </w:r>
            <w:r w:rsidR="005C578D">
              <w:rPr>
                <w:webHidden/>
              </w:rPr>
              <w:tab/>
            </w:r>
            <w:r w:rsidR="005C578D">
              <w:rPr>
                <w:webHidden/>
              </w:rPr>
              <w:fldChar w:fldCharType="begin"/>
            </w:r>
            <w:r w:rsidR="005C578D">
              <w:rPr>
                <w:webHidden/>
              </w:rPr>
              <w:instrText xml:space="preserve"> PAGEREF _Toc132629461 \h </w:instrText>
            </w:r>
            <w:r w:rsidR="005C578D">
              <w:rPr>
                <w:webHidden/>
              </w:rPr>
            </w:r>
            <w:r w:rsidR="005C578D">
              <w:rPr>
                <w:webHidden/>
              </w:rPr>
              <w:fldChar w:fldCharType="separate"/>
            </w:r>
            <w:r w:rsidR="006945E1">
              <w:rPr>
                <w:webHidden/>
              </w:rPr>
              <w:t>5</w:t>
            </w:r>
            <w:r w:rsidR="005C578D">
              <w:rPr>
                <w:webHidden/>
              </w:rPr>
              <w:fldChar w:fldCharType="end"/>
            </w:r>
          </w:hyperlink>
        </w:p>
        <w:p w:rsidR="005C578D" w:rsidRDefault="00B2372D">
          <w:pPr>
            <w:pStyle w:val="TJ2"/>
            <w:rPr>
              <w:rFonts w:asciiTheme="minorHAnsi" w:eastAsiaTheme="minorEastAsia" w:hAnsiTheme="minorHAnsi" w:cstheme="minorBidi"/>
              <w:smallCaps w:val="0"/>
              <w:snapToGrid/>
              <w:szCs w:val="22"/>
            </w:rPr>
          </w:pPr>
          <w:hyperlink w:anchor="_Toc132629462" w:history="1">
            <w:r w:rsidR="005C578D" w:rsidRPr="00FA71B9">
              <w:rPr>
                <w:rStyle w:val="Hiperhivatkozs"/>
              </w:rPr>
              <w:t>Könyvvizsgáló</w:t>
            </w:r>
            <w:r w:rsidR="005C578D">
              <w:rPr>
                <w:webHidden/>
              </w:rPr>
              <w:tab/>
            </w:r>
            <w:r w:rsidR="005C578D">
              <w:rPr>
                <w:webHidden/>
              </w:rPr>
              <w:fldChar w:fldCharType="begin"/>
            </w:r>
            <w:r w:rsidR="005C578D">
              <w:rPr>
                <w:webHidden/>
              </w:rPr>
              <w:instrText xml:space="preserve"> PAGEREF _Toc132629462 \h </w:instrText>
            </w:r>
            <w:r w:rsidR="005C578D">
              <w:rPr>
                <w:webHidden/>
              </w:rPr>
            </w:r>
            <w:r w:rsidR="005C578D">
              <w:rPr>
                <w:webHidden/>
              </w:rPr>
              <w:fldChar w:fldCharType="separate"/>
            </w:r>
            <w:r w:rsidR="006945E1">
              <w:rPr>
                <w:webHidden/>
              </w:rPr>
              <w:t>5</w:t>
            </w:r>
            <w:r w:rsidR="005C578D">
              <w:rPr>
                <w:webHidden/>
              </w:rPr>
              <w:fldChar w:fldCharType="end"/>
            </w:r>
          </w:hyperlink>
        </w:p>
        <w:p w:rsidR="005C578D" w:rsidRDefault="00B2372D">
          <w:pPr>
            <w:pStyle w:val="TJ2"/>
            <w:rPr>
              <w:rFonts w:asciiTheme="minorHAnsi" w:eastAsiaTheme="minorEastAsia" w:hAnsiTheme="minorHAnsi" w:cstheme="minorBidi"/>
              <w:smallCaps w:val="0"/>
              <w:snapToGrid/>
              <w:szCs w:val="22"/>
            </w:rPr>
          </w:pPr>
          <w:hyperlink w:anchor="_Toc132629463" w:history="1">
            <w:r w:rsidR="005C578D" w:rsidRPr="00FA71B9">
              <w:rPr>
                <w:rStyle w:val="Hiperhivatkozs"/>
              </w:rPr>
              <w:t>Cégvezetés</w:t>
            </w:r>
            <w:r w:rsidR="005C578D">
              <w:rPr>
                <w:webHidden/>
              </w:rPr>
              <w:tab/>
            </w:r>
            <w:r w:rsidR="005C578D">
              <w:rPr>
                <w:webHidden/>
              </w:rPr>
              <w:fldChar w:fldCharType="begin"/>
            </w:r>
            <w:r w:rsidR="005C578D">
              <w:rPr>
                <w:webHidden/>
              </w:rPr>
              <w:instrText xml:space="preserve"> PAGEREF _Toc132629463 \h </w:instrText>
            </w:r>
            <w:r w:rsidR="005C578D">
              <w:rPr>
                <w:webHidden/>
              </w:rPr>
            </w:r>
            <w:r w:rsidR="005C578D">
              <w:rPr>
                <w:webHidden/>
              </w:rPr>
              <w:fldChar w:fldCharType="separate"/>
            </w:r>
            <w:r w:rsidR="006945E1">
              <w:rPr>
                <w:webHidden/>
              </w:rPr>
              <w:t>6</w:t>
            </w:r>
            <w:r w:rsidR="005C578D">
              <w:rPr>
                <w:webHidden/>
              </w:rPr>
              <w:fldChar w:fldCharType="end"/>
            </w:r>
          </w:hyperlink>
        </w:p>
        <w:p w:rsidR="005C578D" w:rsidRDefault="00B2372D">
          <w:pPr>
            <w:pStyle w:val="TJ2"/>
            <w:rPr>
              <w:rFonts w:asciiTheme="minorHAnsi" w:eastAsiaTheme="minorEastAsia" w:hAnsiTheme="minorHAnsi" w:cstheme="minorBidi"/>
              <w:smallCaps w:val="0"/>
              <w:snapToGrid/>
              <w:szCs w:val="22"/>
            </w:rPr>
          </w:pPr>
          <w:hyperlink w:anchor="_Toc132629464" w:history="1">
            <w:r w:rsidR="005C578D" w:rsidRPr="00FA71B9">
              <w:rPr>
                <w:rStyle w:val="Hiperhivatkozs"/>
              </w:rPr>
              <w:t>Szervezeti felépítés</w:t>
            </w:r>
            <w:r w:rsidR="005C578D">
              <w:rPr>
                <w:webHidden/>
              </w:rPr>
              <w:tab/>
            </w:r>
            <w:r w:rsidR="005C578D">
              <w:rPr>
                <w:webHidden/>
              </w:rPr>
              <w:fldChar w:fldCharType="begin"/>
            </w:r>
            <w:r w:rsidR="005C578D">
              <w:rPr>
                <w:webHidden/>
              </w:rPr>
              <w:instrText xml:space="preserve"> PAGEREF _Toc132629464 \h </w:instrText>
            </w:r>
            <w:r w:rsidR="005C578D">
              <w:rPr>
                <w:webHidden/>
              </w:rPr>
            </w:r>
            <w:r w:rsidR="005C578D">
              <w:rPr>
                <w:webHidden/>
              </w:rPr>
              <w:fldChar w:fldCharType="separate"/>
            </w:r>
            <w:r w:rsidR="006945E1">
              <w:rPr>
                <w:webHidden/>
              </w:rPr>
              <w:t>6</w:t>
            </w:r>
            <w:r w:rsidR="005C578D">
              <w:rPr>
                <w:webHidden/>
              </w:rPr>
              <w:fldChar w:fldCharType="end"/>
            </w:r>
          </w:hyperlink>
        </w:p>
        <w:p w:rsidR="005C578D" w:rsidRDefault="00B2372D">
          <w:pPr>
            <w:pStyle w:val="TJ2"/>
            <w:rPr>
              <w:rFonts w:asciiTheme="minorHAnsi" w:eastAsiaTheme="minorEastAsia" w:hAnsiTheme="minorHAnsi" w:cstheme="minorBidi"/>
              <w:smallCaps w:val="0"/>
              <w:snapToGrid/>
              <w:szCs w:val="22"/>
            </w:rPr>
          </w:pPr>
          <w:hyperlink w:anchor="_Toc132629465" w:history="1">
            <w:r w:rsidR="005C578D" w:rsidRPr="00FA71B9">
              <w:rPr>
                <w:rStyle w:val="Hiperhivatkozs"/>
              </w:rPr>
              <w:t>Székhely</w:t>
            </w:r>
            <w:r w:rsidR="005C578D">
              <w:rPr>
                <w:webHidden/>
              </w:rPr>
              <w:tab/>
            </w:r>
            <w:r w:rsidR="005C578D">
              <w:rPr>
                <w:webHidden/>
              </w:rPr>
              <w:fldChar w:fldCharType="begin"/>
            </w:r>
            <w:r w:rsidR="005C578D">
              <w:rPr>
                <w:webHidden/>
              </w:rPr>
              <w:instrText xml:space="preserve"> PAGEREF _Toc132629465 \h </w:instrText>
            </w:r>
            <w:r w:rsidR="005C578D">
              <w:rPr>
                <w:webHidden/>
              </w:rPr>
            </w:r>
            <w:r w:rsidR="005C578D">
              <w:rPr>
                <w:webHidden/>
              </w:rPr>
              <w:fldChar w:fldCharType="separate"/>
            </w:r>
            <w:r w:rsidR="006945E1">
              <w:rPr>
                <w:webHidden/>
              </w:rPr>
              <w:t>6</w:t>
            </w:r>
            <w:r w:rsidR="005C578D">
              <w:rPr>
                <w:webHidden/>
              </w:rPr>
              <w:fldChar w:fldCharType="end"/>
            </w:r>
          </w:hyperlink>
        </w:p>
        <w:p w:rsidR="005C578D" w:rsidRDefault="00B2372D">
          <w:pPr>
            <w:pStyle w:val="TJ2"/>
            <w:rPr>
              <w:rFonts w:asciiTheme="minorHAnsi" w:eastAsiaTheme="minorEastAsia" w:hAnsiTheme="minorHAnsi" w:cstheme="minorBidi"/>
              <w:smallCaps w:val="0"/>
              <w:snapToGrid/>
              <w:szCs w:val="22"/>
            </w:rPr>
          </w:pPr>
          <w:hyperlink w:anchor="_Toc132629466" w:history="1">
            <w:r w:rsidR="005C578D" w:rsidRPr="00FA71B9">
              <w:rPr>
                <w:rStyle w:val="Hiperhivatkozs"/>
              </w:rPr>
              <w:t>Telephelyek</w:t>
            </w:r>
            <w:r w:rsidR="005C578D">
              <w:rPr>
                <w:webHidden/>
              </w:rPr>
              <w:tab/>
            </w:r>
            <w:r w:rsidR="005C578D">
              <w:rPr>
                <w:webHidden/>
              </w:rPr>
              <w:fldChar w:fldCharType="begin"/>
            </w:r>
            <w:r w:rsidR="005C578D">
              <w:rPr>
                <w:webHidden/>
              </w:rPr>
              <w:instrText xml:space="preserve"> PAGEREF _Toc132629466 \h </w:instrText>
            </w:r>
            <w:r w:rsidR="005C578D">
              <w:rPr>
                <w:webHidden/>
              </w:rPr>
            </w:r>
            <w:r w:rsidR="005C578D">
              <w:rPr>
                <w:webHidden/>
              </w:rPr>
              <w:fldChar w:fldCharType="separate"/>
            </w:r>
            <w:r w:rsidR="006945E1">
              <w:rPr>
                <w:webHidden/>
              </w:rPr>
              <w:t>6</w:t>
            </w:r>
            <w:r w:rsidR="005C578D">
              <w:rPr>
                <w:webHidden/>
              </w:rPr>
              <w:fldChar w:fldCharType="end"/>
            </w:r>
          </w:hyperlink>
        </w:p>
        <w:p w:rsidR="005C578D" w:rsidRDefault="00B2372D">
          <w:pPr>
            <w:pStyle w:val="TJ2"/>
            <w:rPr>
              <w:rFonts w:asciiTheme="minorHAnsi" w:eastAsiaTheme="minorEastAsia" w:hAnsiTheme="minorHAnsi" w:cstheme="minorBidi"/>
              <w:smallCaps w:val="0"/>
              <w:snapToGrid/>
              <w:szCs w:val="22"/>
            </w:rPr>
          </w:pPr>
          <w:hyperlink w:anchor="_Toc132629467" w:history="1">
            <w:r w:rsidR="005C578D" w:rsidRPr="00FA71B9">
              <w:rPr>
                <w:rStyle w:val="Hiperhivatkozs"/>
              </w:rPr>
              <w:t>Fióktelepek</w:t>
            </w:r>
            <w:r w:rsidR="005C578D">
              <w:rPr>
                <w:webHidden/>
              </w:rPr>
              <w:tab/>
            </w:r>
            <w:r w:rsidR="005C578D">
              <w:rPr>
                <w:webHidden/>
              </w:rPr>
              <w:fldChar w:fldCharType="begin"/>
            </w:r>
            <w:r w:rsidR="005C578D">
              <w:rPr>
                <w:webHidden/>
              </w:rPr>
              <w:instrText xml:space="preserve"> PAGEREF _Toc132629467 \h </w:instrText>
            </w:r>
            <w:r w:rsidR="005C578D">
              <w:rPr>
                <w:webHidden/>
              </w:rPr>
            </w:r>
            <w:r w:rsidR="005C578D">
              <w:rPr>
                <w:webHidden/>
              </w:rPr>
              <w:fldChar w:fldCharType="separate"/>
            </w:r>
            <w:r w:rsidR="006945E1">
              <w:rPr>
                <w:webHidden/>
              </w:rPr>
              <w:t>7</w:t>
            </w:r>
            <w:r w:rsidR="005C578D">
              <w:rPr>
                <w:webHidden/>
              </w:rPr>
              <w:fldChar w:fldCharType="end"/>
            </w:r>
          </w:hyperlink>
        </w:p>
        <w:p w:rsidR="005C578D" w:rsidRDefault="00B2372D">
          <w:pPr>
            <w:pStyle w:val="TJ1"/>
            <w:tabs>
              <w:tab w:val="right" w:leader="dot" w:pos="9805"/>
            </w:tabs>
            <w:rPr>
              <w:rFonts w:asciiTheme="minorHAnsi" w:eastAsiaTheme="minorEastAsia" w:hAnsiTheme="minorHAnsi" w:cstheme="minorBidi"/>
              <w:b w:val="0"/>
              <w:bCs w:val="0"/>
              <w:caps w:val="0"/>
              <w:noProof/>
              <w:sz w:val="22"/>
              <w:szCs w:val="22"/>
            </w:rPr>
          </w:pPr>
          <w:hyperlink w:anchor="_Toc132629468" w:history="1">
            <w:r w:rsidR="005C578D" w:rsidRPr="00FA71B9">
              <w:rPr>
                <w:rStyle w:val="Hiperhivatkozs"/>
                <w:noProof/>
              </w:rPr>
              <w:t>II. VÍZELLÁTÁS</w:t>
            </w:r>
            <w:r w:rsidR="005C578D">
              <w:rPr>
                <w:noProof/>
                <w:webHidden/>
              </w:rPr>
              <w:tab/>
            </w:r>
            <w:r w:rsidR="005C578D">
              <w:rPr>
                <w:noProof/>
                <w:webHidden/>
              </w:rPr>
              <w:fldChar w:fldCharType="begin"/>
            </w:r>
            <w:r w:rsidR="005C578D">
              <w:rPr>
                <w:noProof/>
                <w:webHidden/>
              </w:rPr>
              <w:instrText xml:space="preserve"> PAGEREF _Toc132629468 \h </w:instrText>
            </w:r>
            <w:r w:rsidR="005C578D">
              <w:rPr>
                <w:noProof/>
                <w:webHidden/>
              </w:rPr>
            </w:r>
            <w:r w:rsidR="005C578D">
              <w:rPr>
                <w:noProof/>
                <w:webHidden/>
              </w:rPr>
              <w:fldChar w:fldCharType="separate"/>
            </w:r>
            <w:r w:rsidR="006945E1">
              <w:rPr>
                <w:noProof/>
                <w:webHidden/>
              </w:rPr>
              <w:t>8</w:t>
            </w:r>
            <w:r w:rsidR="005C578D">
              <w:rPr>
                <w:noProof/>
                <w:webHidden/>
              </w:rPr>
              <w:fldChar w:fldCharType="end"/>
            </w:r>
          </w:hyperlink>
        </w:p>
        <w:p w:rsidR="005C578D" w:rsidRDefault="00B2372D">
          <w:pPr>
            <w:pStyle w:val="TJ2"/>
            <w:rPr>
              <w:rFonts w:asciiTheme="minorHAnsi" w:eastAsiaTheme="minorEastAsia" w:hAnsiTheme="minorHAnsi" w:cstheme="minorBidi"/>
              <w:smallCaps w:val="0"/>
              <w:snapToGrid/>
              <w:szCs w:val="22"/>
            </w:rPr>
          </w:pPr>
          <w:hyperlink w:anchor="_Toc132629469" w:history="1">
            <w:r w:rsidR="005C578D" w:rsidRPr="00FA71B9">
              <w:rPr>
                <w:rStyle w:val="Hiperhivatkozs"/>
              </w:rPr>
              <w:t>Főbb műszaki és mennyiségi adatok</w:t>
            </w:r>
            <w:r w:rsidR="005C578D">
              <w:rPr>
                <w:webHidden/>
              </w:rPr>
              <w:tab/>
            </w:r>
            <w:r w:rsidR="005C578D">
              <w:rPr>
                <w:webHidden/>
              </w:rPr>
              <w:fldChar w:fldCharType="begin"/>
            </w:r>
            <w:r w:rsidR="005C578D">
              <w:rPr>
                <w:webHidden/>
              </w:rPr>
              <w:instrText xml:space="preserve"> PAGEREF _Toc132629469 \h </w:instrText>
            </w:r>
            <w:r w:rsidR="005C578D">
              <w:rPr>
                <w:webHidden/>
              </w:rPr>
            </w:r>
            <w:r w:rsidR="005C578D">
              <w:rPr>
                <w:webHidden/>
              </w:rPr>
              <w:fldChar w:fldCharType="separate"/>
            </w:r>
            <w:r w:rsidR="006945E1">
              <w:rPr>
                <w:webHidden/>
              </w:rPr>
              <w:t>8</w:t>
            </w:r>
            <w:r w:rsidR="005C578D">
              <w:rPr>
                <w:webHidden/>
              </w:rPr>
              <w:fldChar w:fldCharType="end"/>
            </w:r>
          </w:hyperlink>
        </w:p>
        <w:p w:rsidR="005C578D" w:rsidRDefault="00B2372D">
          <w:pPr>
            <w:pStyle w:val="TJ2"/>
            <w:rPr>
              <w:rFonts w:asciiTheme="minorHAnsi" w:eastAsiaTheme="minorEastAsia" w:hAnsiTheme="minorHAnsi" w:cstheme="minorBidi"/>
              <w:smallCaps w:val="0"/>
              <w:snapToGrid/>
              <w:szCs w:val="22"/>
            </w:rPr>
          </w:pPr>
          <w:hyperlink w:anchor="_Toc132629470" w:history="1">
            <w:r w:rsidR="005C578D" w:rsidRPr="00FA71B9">
              <w:rPr>
                <w:rStyle w:val="Hiperhivatkozs"/>
              </w:rPr>
              <w:t>Ivóvíz termelés, értékesítés alakulása és a szolgáltatási vízveszteség összetevői</w:t>
            </w:r>
            <w:r w:rsidR="005C578D">
              <w:rPr>
                <w:webHidden/>
              </w:rPr>
              <w:tab/>
            </w:r>
            <w:r w:rsidR="005C578D">
              <w:rPr>
                <w:webHidden/>
              </w:rPr>
              <w:fldChar w:fldCharType="begin"/>
            </w:r>
            <w:r w:rsidR="005C578D">
              <w:rPr>
                <w:webHidden/>
              </w:rPr>
              <w:instrText xml:space="preserve"> PAGEREF _Toc132629470 \h </w:instrText>
            </w:r>
            <w:r w:rsidR="005C578D">
              <w:rPr>
                <w:webHidden/>
              </w:rPr>
            </w:r>
            <w:r w:rsidR="005C578D">
              <w:rPr>
                <w:webHidden/>
              </w:rPr>
              <w:fldChar w:fldCharType="separate"/>
            </w:r>
            <w:r w:rsidR="006945E1">
              <w:rPr>
                <w:webHidden/>
              </w:rPr>
              <w:t>9</w:t>
            </w:r>
            <w:r w:rsidR="005C578D">
              <w:rPr>
                <w:webHidden/>
              </w:rPr>
              <w:fldChar w:fldCharType="end"/>
            </w:r>
          </w:hyperlink>
        </w:p>
        <w:p w:rsidR="005C578D" w:rsidRDefault="00B2372D">
          <w:pPr>
            <w:pStyle w:val="TJ2"/>
            <w:rPr>
              <w:rFonts w:asciiTheme="minorHAnsi" w:eastAsiaTheme="minorEastAsia" w:hAnsiTheme="minorHAnsi" w:cstheme="minorBidi"/>
              <w:smallCaps w:val="0"/>
              <w:snapToGrid/>
              <w:szCs w:val="22"/>
            </w:rPr>
          </w:pPr>
          <w:hyperlink w:anchor="_Toc132629471" w:history="1">
            <w:r w:rsidR="005C578D" w:rsidRPr="00FA71B9">
              <w:rPr>
                <w:rStyle w:val="Hiperhivatkozs"/>
              </w:rPr>
              <w:t>Ivóvíz szolgáltatási veszteség összetevői</w:t>
            </w:r>
            <w:r w:rsidR="005C578D">
              <w:rPr>
                <w:webHidden/>
              </w:rPr>
              <w:tab/>
            </w:r>
            <w:r w:rsidR="005C578D">
              <w:rPr>
                <w:webHidden/>
              </w:rPr>
              <w:fldChar w:fldCharType="begin"/>
            </w:r>
            <w:r w:rsidR="005C578D">
              <w:rPr>
                <w:webHidden/>
              </w:rPr>
              <w:instrText xml:space="preserve"> PAGEREF _Toc132629471 \h </w:instrText>
            </w:r>
            <w:r w:rsidR="005C578D">
              <w:rPr>
                <w:webHidden/>
              </w:rPr>
            </w:r>
            <w:r w:rsidR="005C578D">
              <w:rPr>
                <w:webHidden/>
              </w:rPr>
              <w:fldChar w:fldCharType="separate"/>
            </w:r>
            <w:r w:rsidR="006945E1">
              <w:rPr>
                <w:webHidden/>
              </w:rPr>
              <w:t>10</w:t>
            </w:r>
            <w:r w:rsidR="005C578D">
              <w:rPr>
                <w:webHidden/>
              </w:rPr>
              <w:fldChar w:fldCharType="end"/>
            </w:r>
          </w:hyperlink>
        </w:p>
        <w:p w:rsidR="005C578D" w:rsidRDefault="00B2372D">
          <w:pPr>
            <w:pStyle w:val="TJ1"/>
            <w:tabs>
              <w:tab w:val="right" w:leader="dot" w:pos="9805"/>
            </w:tabs>
            <w:rPr>
              <w:rFonts w:asciiTheme="minorHAnsi" w:eastAsiaTheme="minorEastAsia" w:hAnsiTheme="minorHAnsi" w:cstheme="minorBidi"/>
              <w:b w:val="0"/>
              <w:bCs w:val="0"/>
              <w:caps w:val="0"/>
              <w:noProof/>
              <w:sz w:val="22"/>
              <w:szCs w:val="22"/>
            </w:rPr>
          </w:pPr>
          <w:hyperlink w:anchor="_Toc132629472" w:history="1">
            <w:r w:rsidR="005C578D" w:rsidRPr="00FA71B9">
              <w:rPr>
                <w:rStyle w:val="Hiperhivatkozs"/>
                <w:noProof/>
              </w:rPr>
              <w:t>III. SZENNYVÍZELVEZETÉS ÉS -TISZTÍTÁS</w:t>
            </w:r>
            <w:r w:rsidR="005C578D">
              <w:rPr>
                <w:noProof/>
                <w:webHidden/>
              </w:rPr>
              <w:tab/>
            </w:r>
            <w:r w:rsidR="005C578D">
              <w:rPr>
                <w:noProof/>
                <w:webHidden/>
              </w:rPr>
              <w:fldChar w:fldCharType="begin"/>
            </w:r>
            <w:r w:rsidR="005C578D">
              <w:rPr>
                <w:noProof/>
                <w:webHidden/>
              </w:rPr>
              <w:instrText xml:space="preserve"> PAGEREF _Toc132629472 \h </w:instrText>
            </w:r>
            <w:r w:rsidR="005C578D">
              <w:rPr>
                <w:noProof/>
                <w:webHidden/>
              </w:rPr>
            </w:r>
            <w:r w:rsidR="005C578D">
              <w:rPr>
                <w:noProof/>
                <w:webHidden/>
              </w:rPr>
              <w:fldChar w:fldCharType="separate"/>
            </w:r>
            <w:r w:rsidR="006945E1">
              <w:rPr>
                <w:noProof/>
                <w:webHidden/>
              </w:rPr>
              <w:t>10</w:t>
            </w:r>
            <w:r w:rsidR="005C578D">
              <w:rPr>
                <w:noProof/>
                <w:webHidden/>
              </w:rPr>
              <w:fldChar w:fldCharType="end"/>
            </w:r>
          </w:hyperlink>
        </w:p>
        <w:p w:rsidR="005C578D" w:rsidRDefault="00B2372D">
          <w:pPr>
            <w:pStyle w:val="TJ2"/>
            <w:rPr>
              <w:rFonts w:asciiTheme="minorHAnsi" w:eastAsiaTheme="minorEastAsia" w:hAnsiTheme="minorHAnsi" w:cstheme="minorBidi"/>
              <w:smallCaps w:val="0"/>
              <w:snapToGrid/>
              <w:szCs w:val="22"/>
            </w:rPr>
          </w:pPr>
          <w:hyperlink w:anchor="_Toc132629473" w:history="1">
            <w:r w:rsidR="005C578D" w:rsidRPr="00FA71B9">
              <w:rPr>
                <w:rStyle w:val="Hiperhivatkozs"/>
              </w:rPr>
              <w:t>Főbb műszaki és mennyiségi adatok</w:t>
            </w:r>
            <w:r w:rsidR="005C578D">
              <w:rPr>
                <w:webHidden/>
              </w:rPr>
              <w:tab/>
            </w:r>
            <w:r w:rsidR="005C578D">
              <w:rPr>
                <w:webHidden/>
              </w:rPr>
              <w:fldChar w:fldCharType="begin"/>
            </w:r>
            <w:r w:rsidR="005C578D">
              <w:rPr>
                <w:webHidden/>
              </w:rPr>
              <w:instrText xml:space="preserve"> PAGEREF _Toc132629473 \h </w:instrText>
            </w:r>
            <w:r w:rsidR="005C578D">
              <w:rPr>
                <w:webHidden/>
              </w:rPr>
            </w:r>
            <w:r w:rsidR="005C578D">
              <w:rPr>
                <w:webHidden/>
              </w:rPr>
              <w:fldChar w:fldCharType="separate"/>
            </w:r>
            <w:r w:rsidR="006945E1">
              <w:rPr>
                <w:webHidden/>
              </w:rPr>
              <w:t>10</w:t>
            </w:r>
            <w:r w:rsidR="005C578D">
              <w:rPr>
                <w:webHidden/>
              </w:rPr>
              <w:fldChar w:fldCharType="end"/>
            </w:r>
          </w:hyperlink>
        </w:p>
        <w:p w:rsidR="005C578D" w:rsidRDefault="00B2372D">
          <w:pPr>
            <w:pStyle w:val="TJ2"/>
            <w:rPr>
              <w:rFonts w:asciiTheme="minorHAnsi" w:eastAsiaTheme="minorEastAsia" w:hAnsiTheme="minorHAnsi" w:cstheme="minorBidi"/>
              <w:smallCaps w:val="0"/>
              <w:snapToGrid/>
              <w:szCs w:val="22"/>
            </w:rPr>
          </w:pPr>
          <w:hyperlink w:anchor="_Toc132629474" w:history="1">
            <w:r w:rsidR="005C578D" w:rsidRPr="00FA71B9">
              <w:rPr>
                <w:rStyle w:val="Hiperhivatkozs"/>
              </w:rPr>
              <w:t>Az elvezetett (tisztított) és számlázott szennyvíz mennyisége közötti különbözet fő összetevői</w:t>
            </w:r>
            <w:r w:rsidR="005C578D">
              <w:rPr>
                <w:webHidden/>
              </w:rPr>
              <w:tab/>
            </w:r>
            <w:r w:rsidR="005C578D">
              <w:rPr>
                <w:webHidden/>
              </w:rPr>
              <w:fldChar w:fldCharType="begin"/>
            </w:r>
            <w:r w:rsidR="005C578D">
              <w:rPr>
                <w:webHidden/>
              </w:rPr>
              <w:instrText xml:space="preserve"> PAGEREF _Toc132629474 \h </w:instrText>
            </w:r>
            <w:r w:rsidR="005C578D">
              <w:rPr>
                <w:webHidden/>
              </w:rPr>
            </w:r>
            <w:r w:rsidR="005C578D">
              <w:rPr>
                <w:webHidden/>
              </w:rPr>
              <w:fldChar w:fldCharType="separate"/>
            </w:r>
            <w:r w:rsidR="006945E1">
              <w:rPr>
                <w:webHidden/>
              </w:rPr>
              <w:t>11</w:t>
            </w:r>
            <w:r w:rsidR="005C578D">
              <w:rPr>
                <w:webHidden/>
              </w:rPr>
              <w:fldChar w:fldCharType="end"/>
            </w:r>
          </w:hyperlink>
        </w:p>
        <w:p w:rsidR="005C578D" w:rsidRDefault="00B2372D">
          <w:pPr>
            <w:pStyle w:val="TJ1"/>
            <w:tabs>
              <w:tab w:val="right" w:leader="dot" w:pos="9805"/>
            </w:tabs>
            <w:rPr>
              <w:rFonts w:asciiTheme="minorHAnsi" w:eastAsiaTheme="minorEastAsia" w:hAnsiTheme="minorHAnsi" w:cstheme="minorBidi"/>
              <w:b w:val="0"/>
              <w:bCs w:val="0"/>
              <w:caps w:val="0"/>
              <w:noProof/>
              <w:sz w:val="22"/>
              <w:szCs w:val="22"/>
            </w:rPr>
          </w:pPr>
          <w:hyperlink w:anchor="_Toc132629475" w:history="1">
            <w:r w:rsidR="005C578D" w:rsidRPr="00FA71B9">
              <w:rPr>
                <w:rStyle w:val="Hiperhivatkozs"/>
                <w:noProof/>
              </w:rPr>
              <w:t>IV. ESZKÖZFENNTARTÁS</w:t>
            </w:r>
            <w:r w:rsidR="005C578D">
              <w:rPr>
                <w:noProof/>
                <w:webHidden/>
              </w:rPr>
              <w:tab/>
            </w:r>
            <w:r w:rsidR="005C578D">
              <w:rPr>
                <w:noProof/>
                <w:webHidden/>
              </w:rPr>
              <w:fldChar w:fldCharType="begin"/>
            </w:r>
            <w:r w:rsidR="005C578D">
              <w:rPr>
                <w:noProof/>
                <w:webHidden/>
              </w:rPr>
              <w:instrText xml:space="preserve"> PAGEREF _Toc132629475 \h </w:instrText>
            </w:r>
            <w:r w:rsidR="005C578D">
              <w:rPr>
                <w:noProof/>
                <w:webHidden/>
              </w:rPr>
            </w:r>
            <w:r w:rsidR="005C578D">
              <w:rPr>
                <w:noProof/>
                <w:webHidden/>
              </w:rPr>
              <w:fldChar w:fldCharType="separate"/>
            </w:r>
            <w:r w:rsidR="006945E1">
              <w:rPr>
                <w:noProof/>
                <w:webHidden/>
              </w:rPr>
              <w:t>11</w:t>
            </w:r>
            <w:r w:rsidR="005C578D">
              <w:rPr>
                <w:noProof/>
                <w:webHidden/>
              </w:rPr>
              <w:fldChar w:fldCharType="end"/>
            </w:r>
          </w:hyperlink>
        </w:p>
        <w:p w:rsidR="005C578D" w:rsidRDefault="00B2372D">
          <w:pPr>
            <w:pStyle w:val="TJ2"/>
            <w:rPr>
              <w:rFonts w:asciiTheme="minorHAnsi" w:eastAsiaTheme="minorEastAsia" w:hAnsiTheme="minorHAnsi" w:cstheme="minorBidi"/>
              <w:smallCaps w:val="0"/>
              <w:snapToGrid/>
              <w:szCs w:val="22"/>
            </w:rPr>
          </w:pPr>
          <w:hyperlink w:anchor="_Toc132629476" w:history="1">
            <w:r w:rsidR="005C578D" w:rsidRPr="00FA71B9">
              <w:rPr>
                <w:rStyle w:val="Hiperhivatkozs"/>
              </w:rPr>
              <w:t>Saját kivitelezésben végzett eszközfenntartás</w:t>
            </w:r>
            <w:r w:rsidR="005C578D">
              <w:rPr>
                <w:webHidden/>
              </w:rPr>
              <w:tab/>
            </w:r>
            <w:r w:rsidR="005C578D">
              <w:rPr>
                <w:webHidden/>
              </w:rPr>
              <w:fldChar w:fldCharType="begin"/>
            </w:r>
            <w:r w:rsidR="005C578D">
              <w:rPr>
                <w:webHidden/>
              </w:rPr>
              <w:instrText xml:space="preserve"> PAGEREF _Toc132629476 \h </w:instrText>
            </w:r>
            <w:r w:rsidR="005C578D">
              <w:rPr>
                <w:webHidden/>
              </w:rPr>
            </w:r>
            <w:r w:rsidR="005C578D">
              <w:rPr>
                <w:webHidden/>
              </w:rPr>
              <w:fldChar w:fldCharType="separate"/>
            </w:r>
            <w:r w:rsidR="006945E1">
              <w:rPr>
                <w:webHidden/>
              </w:rPr>
              <w:t>12</w:t>
            </w:r>
            <w:r w:rsidR="005C578D">
              <w:rPr>
                <w:webHidden/>
              </w:rPr>
              <w:fldChar w:fldCharType="end"/>
            </w:r>
          </w:hyperlink>
        </w:p>
        <w:p w:rsidR="005C578D" w:rsidRDefault="00B2372D">
          <w:pPr>
            <w:pStyle w:val="TJ2"/>
            <w:rPr>
              <w:rFonts w:asciiTheme="minorHAnsi" w:eastAsiaTheme="minorEastAsia" w:hAnsiTheme="minorHAnsi" w:cstheme="minorBidi"/>
              <w:smallCaps w:val="0"/>
              <w:snapToGrid/>
              <w:szCs w:val="22"/>
            </w:rPr>
          </w:pPr>
          <w:hyperlink w:anchor="_Toc132629477" w:history="1">
            <w:r w:rsidR="005C578D" w:rsidRPr="00FA71B9">
              <w:rPr>
                <w:rStyle w:val="Hiperhivatkozs"/>
              </w:rPr>
              <w:t>Megbízásba adott eszközfenntartás</w:t>
            </w:r>
            <w:r w:rsidR="005C578D">
              <w:rPr>
                <w:webHidden/>
              </w:rPr>
              <w:tab/>
            </w:r>
            <w:r w:rsidR="005C578D">
              <w:rPr>
                <w:webHidden/>
              </w:rPr>
              <w:fldChar w:fldCharType="begin"/>
            </w:r>
            <w:r w:rsidR="005C578D">
              <w:rPr>
                <w:webHidden/>
              </w:rPr>
              <w:instrText xml:space="preserve"> PAGEREF _Toc132629477 \h </w:instrText>
            </w:r>
            <w:r w:rsidR="005C578D">
              <w:rPr>
                <w:webHidden/>
              </w:rPr>
            </w:r>
            <w:r w:rsidR="005C578D">
              <w:rPr>
                <w:webHidden/>
              </w:rPr>
              <w:fldChar w:fldCharType="separate"/>
            </w:r>
            <w:r w:rsidR="006945E1">
              <w:rPr>
                <w:webHidden/>
              </w:rPr>
              <w:t>14</w:t>
            </w:r>
            <w:r w:rsidR="005C578D">
              <w:rPr>
                <w:webHidden/>
              </w:rPr>
              <w:fldChar w:fldCharType="end"/>
            </w:r>
          </w:hyperlink>
        </w:p>
        <w:p w:rsidR="005C578D" w:rsidRDefault="00B2372D">
          <w:pPr>
            <w:pStyle w:val="TJ1"/>
            <w:tabs>
              <w:tab w:val="right" w:leader="dot" w:pos="9805"/>
            </w:tabs>
            <w:rPr>
              <w:rFonts w:asciiTheme="minorHAnsi" w:eastAsiaTheme="minorEastAsia" w:hAnsiTheme="minorHAnsi" w:cstheme="minorBidi"/>
              <w:b w:val="0"/>
              <w:bCs w:val="0"/>
              <w:caps w:val="0"/>
              <w:noProof/>
              <w:sz w:val="22"/>
              <w:szCs w:val="22"/>
            </w:rPr>
          </w:pPr>
          <w:hyperlink w:anchor="_Toc132629478" w:history="1">
            <w:r w:rsidR="005C578D" w:rsidRPr="00FA71B9">
              <w:rPr>
                <w:rStyle w:val="Hiperhivatkozs"/>
                <w:noProof/>
              </w:rPr>
              <w:t>V. Vízminőség, szennyvíztisztítás, környezetvédelem, ellenőrzés</w:t>
            </w:r>
            <w:r w:rsidR="005C578D">
              <w:rPr>
                <w:noProof/>
                <w:webHidden/>
              </w:rPr>
              <w:tab/>
            </w:r>
            <w:r w:rsidR="005C578D">
              <w:rPr>
                <w:noProof/>
                <w:webHidden/>
              </w:rPr>
              <w:fldChar w:fldCharType="begin"/>
            </w:r>
            <w:r w:rsidR="005C578D">
              <w:rPr>
                <w:noProof/>
                <w:webHidden/>
              </w:rPr>
              <w:instrText xml:space="preserve"> PAGEREF _Toc132629478 \h </w:instrText>
            </w:r>
            <w:r w:rsidR="005C578D">
              <w:rPr>
                <w:noProof/>
                <w:webHidden/>
              </w:rPr>
            </w:r>
            <w:r w:rsidR="005C578D">
              <w:rPr>
                <w:noProof/>
                <w:webHidden/>
              </w:rPr>
              <w:fldChar w:fldCharType="separate"/>
            </w:r>
            <w:r w:rsidR="006945E1">
              <w:rPr>
                <w:noProof/>
                <w:webHidden/>
              </w:rPr>
              <w:t>14</w:t>
            </w:r>
            <w:r w:rsidR="005C578D">
              <w:rPr>
                <w:noProof/>
                <w:webHidden/>
              </w:rPr>
              <w:fldChar w:fldCharType="end"/>
            </w:r>
          </w:hyperlink>
        </w:p>
        <w:p w:rsidR="005C578D" w:rsidRDefault="00B2372D">
          <w:pPr>
            <w:pStyle w:val="TJ2"/>
            <w:rPr>
              <w:rFonts w:asciiTheme="minorHAnsi" w:eastAsiaTheme="minorEastAsia" w:hAnsiTheme="minorHAnsi" w:cstheme="minorBidi"/>
              <w:smallCaps w:val="0"/>
              <w:snapToGrid/>
              <w:szCs w:val="22"/>
            </w:rPr>
          </w:pPr>
          <w:hyperlink w:anchor="_Toc132629479" w:history="1">
            <w:r w:rsidR="005C578D" w:rsidRPr="00FA71B9">
              <w:rPr>
                <w:rStyle w:val="Hiperhivatkozs"/>
              </w:rPr>
              <w:t>Vízminőség</w:t>
            </w:r>
            <w:r w:rsidR="005C578D">
              <w:rPr>
                <w:webHidden/>
              </w:rPr>
              <w:tab/>
            </w:r>
            <w:r w:rsidR="005C578D">
              <w:rPr>
                <w:webHidden/>
              </w:rPr>
              <w:fldChar w:fldCharType="begin"/>
            </w:r>
            <w:r w:rsidR="005C578D">
              <w:rPr>
                <w:webHidden/>
              </w:rPr>
              <w:instrText xml:space="preserve"> PAGEREF _Toc132629479 \h </w:instrText>
            </w:r>
            <w:r w:rsidR="005C578D">
              <w:rPr>
                <w:webHidden/>
              </w:rPr>
            </w:r>
            <w:r w:rsidR="005C578D">
              <w:rPr>
                <w:webHidden/>
              </w:rPr>
              <w:fldChar w:fldCharType="separate"/>
            </w:r>
            <w:r w:rsidR="006945E1">
              <w:rPr>
                <w:webHidden/>
              </w:rPr>
              <w:t>14</w:t>
            </w:r>
            <w:r w:rsidR="005C578D">
              <w:rPr>
                <w:webHidden/>
              </w:rPr>
              <w:fldChar w:fldCharType="end"/>
            </w:r>
          </w:hyperlink>
        </w:p>
        <w:p w:rsidR="005C578D" w:rsidRDefault="00B2372D">
          <w:pPr>
            <w:pStyle w:val="TJ2"/>
            <w:rPr>
              <w:rFonts w:asciiTheme="minorHAnsi" w:eastAsiaTheme="minorEastAsia" w:hAnsiTheme="minorHAnsi" w:cstheme="minorBidi"/>
              <w:smallCaps w:val="0"/>
              <w:snapToGrid/>
              <w:szCs w:val="22"/>
            </w:rPr>
          </w:pPr>
          <w:hyperlink w:anchor="_Toc132629480" w:history="1">
            <w:r w:rsidR="005C578D" w:rsidRPr="00FA71B9">
              <w:rPr>
                <w:rStyle w:val="Hiperhivatkozs"/>
              </w:rPr>
              <w:t>A vízminőség megőrzése érdekében végzett tevékenységek</w:t>
            </w:r>
            <w:r w:rsidR="005C578D">
              <w:rPr>
                <w:webHidden/>
              </w:rPr>
              <w:tab/>
            </w:r>
            <w:r w:rsidR="005C578D">
              <w:rPr>
                <w:webHidden/>
              </w:rPr>
              <w:fldChar w:fldCharType="begin"/>
            </w:r>
            <w:r w:rsidR="005C578D">
              <w:rPr>
                <w:webHidden/>
              </w:rPr>
              <w:instrText xml:space="preserve"> PAGEREF _Toc132629480 \h </w:instrText>
            </w:r>
            <w:r w:rsidR="005C578D">
              <w:rPr>
                <w:webHidden/>
              </w:rPr>
            </w:r>
            <w:r w:rsidR="005C578D">
              <w:rPr>
                <w:webHidden/>
              </w:rPr>
              <w:fldChar w:fldCharType="separate"/>
            </w:r>
            <w:r w:rsidR="006945E1">
              <w:rPr>
                <w:webHidden/>
              </w:rPr>
              <w:t>14</w:t>
            </w:r>
            <w:r w:rsidR="005C578D">
              <w:rPr>
                <w:webHidden/>
              </w:rPr>
              <w:fldChar w:fldCharType="end"/>
            </w:r>
          </w:hyperlink>
        </w:p>
        <w:p w:rsidR="005C578D" w:rsidRDefault="00B2372D">
          <w:pPr>
            <w:pStyle w:val="TJ2"/>
            <w:rPr>
              <w:rFonts w:asciiTheme="minorHAnsi" w:eastAsiaTheme="minorEastAsia" w:hAnsiTheme="minorHAnsi" w:cstheme="minorBidi"/>
              <w:smallCaps w:val="0"/>
              <w:snapToGrid/>
              <w:szCs w:val="22"/>
            </w:rPr>
          </w:pPr>
          <w:hyperlink w:anchor="_Toc132629481" w:history="1">
            <w:r w:rsidR="005C578D" w:rsidRPr="00FA71B9">
              <w:rPr>
                <w:rStyle w:val="Hiperhivatkozs"/>
              </w:rPr>
              <w:t>Ivóvíz ellátás technológiai vonatkozásai</w:t>
            </w:r>
            <w:r w:rsidR="005C578D">
              <w:rPr>
                <w:webHidden/>
              </w:rPr>
              <w:tab/>
            </w:r>
            <w:r w:rsidR="005C578D">
              <w:rPr>
                <w:webHidden/>
              </w:rPr>
              <w:fldChar w:fldCharType="begin"/>
            </w:r>
            <w:r w:rsidR="005C578D">
              <w:rPr>
                <w:webHidden/>
              </w:rPr>
              <w:instrText xml:space="preserve"> PAGEREF _Toc132629481 \h </w:instrText>
            </w:r>
            <w:r w:rsidR="005C578D">
              <w:rPr>
                <w:webHidden/>
              </w:rPr>
            </w:r>
            <w:r w:rsidR="005C578D">
              <w:rPr>
                <w:webHidden/>
              </w:rPr>
              <w:fldChar w:fldCharType="separate"/>
            </w:r>
            <w:r w:rsidR="006945E1">
              <w:rPr>
                <w:webHidden/>
              </w:rPr>
              <w:t>15</w:t>
            </w:r>
            <w:r w:rsidR="005C578D">
              <w:rPr>
                <w:webHidden/>
              </w:rPr>
              <w:fldChar w:fldCharType="end"/>
            </w:r>
          </w:hyperlink>
        </w:p>
        <w:p w:rsidR="005C578D" w:rsidRDefault="00B2372D">
          <w:pPr>
            <w:pStyle w:val="TJ2"/>
            <w:rPr>
              <w:rFonts w:asciiTheme="minorHAnsi" w:eastAsiaTheme="minorEastAsia" w:hAnsiTheme="minorHAnsi" w:cstheme="minorBidi"/>
              <w:smallCaps w:val="0"/>
              <w:snapToGrid/>
              <w:szCs w:val="22"/>
            </w:rPr>
          </w:pPr>
          <w:hyperlink w:anchor="_Toc132629482" w:history="1">
            <w:r w:rsidR="005C578D" w:rsidRPr="00FA71B9">
              <w:rPr>
                <w:rStyle w:val="Hiperhivatkozs"/>
              </w:rPr>
              <w:t>KEHOP ivóvízminőség-javító, szennyvízelvezetési és szennyvíztisztítási pályázatok</w:t>
            </w:r>
            <w:r w:rsidR="005C578D">
              <w:rPr>
                <w:webHidden/>
              </w:rPr>
              <w:tab/>
            </w:r>
            <w:r w:rsidR="005C578D">
              <w:rPr>
                <w:webHidden/>
              </w:rPr>
              <w:fldChar w:fldCharType="begin"/>
            </w:r>
            <w:r w:rsidR="005C578D">
              <w:rPr>
                <w:webHidden/>
              </w:rPr>
              <w:instrText xml:space="preserve"> PAGEREF _Toc132629482 \h </w:instrText>
            </w:r>
            <w:r w:rsidR="005C578D">
              <w:rPr>
                <w:webHidden/>
              </w:rPr>
            </w:r>
            <w:r w:rsidR="005C578D">
              <w:rPr>
                <w:webHidden/>
              </w:rPr>
              <w:fldChar w:fldCharType="separate"/>
            </w:r>
            <w:r w:rsidR="006945E1">
              <w:rPr>
                <w:webHidden/>
              </w:rPr>
              <w:t>15</w:t>
            </w:r>
            <w:r w:rsidR="005C578D">
              <w:rPr>
                <w:webHidden/>
              </w:rPr>
              <w:fldChar w:fldCharType="end"/>
            </w:r>
          </w:hyperlink>
        </w:p>
        <w:p w:rsidR="005C578D" w:rsidRDefault="00B2372D">
          <w:pPr>
            <w:pStyle w:val="TJ2"/>
            <w:rPr>
              <w:rFonts w:asciiTheme="minorHAnsi" w:eastAsiaTheme="minorEastAsia" w:hAnsiTheme="minorHAnsi" w:cstheme="minorBidi"/>
              <w:smallCaps w:val="0"/>
              <w:snapToGrid/>
              <w:szCs w:val="22"/>
            </w:rPr>
          </w:pPr>
          <w:hyperlink w:anchor="_Toc132629483" w:history="1">
            <w:r w:rsidR="005C578D" w:rsidRPr="00FA71B9">
              <w:rPr>
                <w:rStyle w:val="Hiperhivatkozs"/>
              </w:rPr>
              <w:t>Innovációs és Technológiai Minisztérium víziközművekre vonatkozó pályázatai</w:t>
            </w:r>
            <w:r w:rsidR="005C578D">
              <w:rPr>
                <w:webHidden/>
              </w:rPr>
              <w:tab/>
            </w:r>
            <w:r w:rsidR="005C578D">
              <w:rPr>
                <w:webHidden/>
              </w:rPr>
              <w:fldChar w:fldCharType="begin"/>
            </w:r>
            <w:r w:rsidR="005C578D">
              <w:rPr>
                <w:webHidden/>
              </w:rPr>
              <w:instrText xml:space="preserve"> PAGEREF _Toc132629483 \h </w:instrText>
            </w:r>
            <w:r w:rsidR="005C578D">
              <w:rPr>
                <w:webHidden/>
              </w:rPr>
            </w:r>
            <w:r w:rsidR="005C578D">
              <w:rPr>
                <w:webHidden/>
              </w:rPr>
              <w:fldChar w:fldCharType="separate"/>
            </w:r>
            <w:r w:rsidR="006945E1">
              <w:rPr>
                <w:webHidden/>
              </w:rPr>
              <w:t>17</w:t>
            </w:r>
            <w:r w:rsidR="005C578D">
              <w:rPr>
                <w:webHidden/>
              </w:rPr>
              <w:fldChar w:fldCharType="end"/>
            </w:r>
          </w:hyperlink>
        </w:p>
        <w:p w:rsidR="005C578D" w:rsidRDefault="00B2372D">
          <w:pPr>
            <w:pStyle w:val="TJ2"/>
            <w:rPr>
              <w:rFonts w:asciiTheme="minorHAnsi" w:eastAsiaTheme="minorEastAsia" w:hAnsiTheme="minorHAnsi" w:cstheme="minorBidi"/>
              <w:smallCaps w:val="0"/>
              <w:snapToGrid/>
              <w:szCs w:val="22"/>
            </w:rPr>
          </w:pPr>
          <w:hyperlink w:anchor="_Toc132629484" w:history="1">
            <w:r w:rsidR="005C578D" w:rsidRPr="00FA71B9">
              <w:rPr>
                <w:rStyle w:val="Hiperhivatkozs"/>
              </w:rPr>
              <w:t>Szennyvíztisztító telepek üzemelési körülményei</w:t>
            </w:r>
            <w:r w:rsidR="005C578D">
              <w:rPr>
                <w:webHidden/>
              </w:rPr>
              <w:tab/>
            </w:r>
            <w:r w:rsidR="005C578D">
              <w:rPr>
                <w:webHidden/>
              </w:rPr>
              <w:fldChar w:fldCharType="begin"/>
            </w:r>
            <w:r w:rsidR="005C578D">
              <w:rPr>
                <w:webHidden/>
              </w:rPr>
              <w:instrText xml:space="preserve"> PAGEREF _Toc132629484 \h </w:instrText>
            </w:r>
            <w:r w:rsidR="005C578D">
              <w:rPr>
                <w:webHidden/>
              </w:rPr>
            </w:r>
            <w:r w:rsidR="005C578D">
              <w:rPr>
                <w:webHidden/>
              </w:rPr>
              <w:fldChar w:fldCharType="separate"/>
            </w:r>
            <w:r w:rsidR="006945E1">
              <w:rPr>
                <w:webHidden/>
              </w:rPr>
              <w:t>17</w:t>
            </w:r>
            <w:r w:rsidR="005C578D">
              <w:rPr>
                <w:webHidden/>
              </w:rPr>
              <w:fldChar w:fldCharType="end"/>
            </w:r>
          </w:hyperlink>
        </w:p>
        <w:p w:rsidR="005C578D" w:rsidRDefault="00B2372D">
          <w:pPr>
            <w:pStyle w:val="TJ2"/>
            <w:rPr>
              <w:rFonts w:asciiTheme="minorHAnsi" w:eastAsiaTheme="minorEastAsia" w:hAnsiTheme="minorHAnsi" w:cstheme="minorBidi"/>
              <w:smallCaps w:val="0"/>
              <w:snapToGrid/>
              <w:szCs w:val="22"/>
            </w:rPr>
          </w:pPr>
          <w:hyperlink w:anchor="_Toc132629485" w:history="1">
            <w:r w:rsidR="005C578D" w:rsidRPr="00FA71B9">
              <w:rPr>
                <w:rStyle w:val="Hiperhivatkozs"/>
              </w:rPr>
              <w:t>Szennyvíziszap elhelyezés</w:t>
            </w:r>
            <w:r w:rsidR="005C578D">
              <w:rPr>
                <w:webHidden/>
              </w:rPr>
              <w:tab/>
            </w:r>
            <w:r w:rsidR="005C578D">
              <w:rPr>
                <w:webHidden/>
              </w:rPr>
              <w:fldChar w:fldCharType="begin"/>
            </w:r>
            <w:r w:rsidR="005C578D">
              <w:rPr>
                <w:webHidden/>
              </w:rPr>
              <w:instrText xml:space="preserve"> PAGEREF _Toc132629485 \h </w:instrText>
            </w:r>
            <w:r w:rsidR="005C578D">
              <w:rPr>
                <w:webHidden/>
              </w:rPr>
            </w:r>
            <w:r w:rsidR="005C578D">
              <w:rPr>
                <w:webHidden/>
              </w:rPr>
              <w:fldChar w:fldCharType="separate"/>
            </w:r>
            <w:r w:rsidR="006945E1">
              <w:rPr>
                <w:webHidden/>
              </w:rPr>
              <w:t>18</w:t>
            </w:r>
            <w:r w:rsidR="005C578D">
              <w:rPr>
                <w:webHidden/>
              </w:rPr>
              <w:fldChar w:fldCharType="end"/>
            </w:r>
          </w:hyperlink>
        </w:p>
        <w:p w:rsidR="005C578D" w:rsidRDefault="00B2372D">
          <w:pPr>
            <w:pStyle w:val="TJ2"/>
            <w:rPr>
              <w:rFonts w:asciiTheme="minorHAnsi" w:eastAsiaTheme="minorEastAsia" w:hAnsiTheme="minorHAnsi" w:cstheme="minorBidi"/>
              <w:smallCaps w:val="0"/>
              <w:snapToGrid/>
              <w:szCs w:val="22"/>
            </w:rPr>
          </w:pPr>
          <w:hyperlink w:anchor="_Toc132629486" w:history="1">
            <w:r w:rsidR="005C578D" w:rsidRPr="00FA71B9">
              <w:rPr>
                <w:rStyle w:val="Hiperhivatkozs"/>
              </w:rPr>
              <w:t>Üzemellenőrzés, csatornabírság</w:t>
            </w:r>
            <w:r w:rsidR="005C578D">
              <w:rPr>
                <w:webHidden/>
              </w:rPr>
              <w:tab/>
            </w:r>
            <w:r w:rsidR="005C578D">
              <w:rPr>
                <w:webHidden/>
              </w:rPr>
              <w:fldChar w:fldCharType="begin"/>
            </w:r>
            <w:r w:rsidR="005C578D">
              <w:rPr>
                <w:webHidden/>
              </w:rPr>
              <w:instrText xml:space="preserve"> PAGEREF _Toc132629486 \h </w:instrText>
            </w:r>
            <w:r w:rsidR="005C578D">
              <w:rPr>
                <w:webHidden/>
              </w:rPr>
            </w:r>
            <w:r w:rsidR="005C578D">
              <w:rPr>
                <w:webHidden/>
              </w:rPr>
              <w:fldChar w:fldCharType="separate"/>
            </w:r>
            <w:r w:rsidR="006945E1">
              <w:rPr>
                <w:webHidden/>
              </w:rPr>
              <w:t>18</w:t>
            </w:r>
            <w:r w:rsidR="005C578D">
              <w:rPr>
                <w:webHidden/>
              </w:rPr>
              <w:fldChar w:fldCharType="end"/>
            </w:r>
          </w:hyperlink>
        </w:p>
        <w:p w:rsidR="005C578D" w:rsidRDefault="00B2372D">
          <w:pPr>
            <w:pStyle w:val="TJ2"/>
            <w:rPr>
              <w:rFonts w:asciiTheme="minorHAnsi" w:eastAsiaTheme="minorEastAsia" w:hAnsiTheme="minorHAnsi" w:cstheme="minorBidi"/>
              <w:smallCaps w:val="0"/>
              <w:snapToGrid/>
              <w:szCs w:val="22"/>
            </w:rPr>
          </w:pPr>
          <w:hyperlink w:anchor="_Toc132629487" w:history="1">
            <w:r w:rsidR="005C578D" w:rsidRPr="00FA71B9">
              <w:rPr>
                <w:rStyle w:val="Hiperhivatkozs"/>
              </w:rPr>
              <w:t>Hatósági ellenőrzés, szennyvízbírság</w:t>
            </w:r>
            <w:r w:rsidR="005C578D">
              <w:rPr>
                <w:webHidden/>
              </w:rPr>
              <w:tab/>
            </w:r>
            <w:r w:rsidR="005C578D">
              <w:rPr>
                <w:webHidden/>
              </w:rPr>
              <w:fldChar w:fldCharType="begin"/>
            </w:r>
            <w:r w:rsidR="005C578D">
              <w:rPr>
                <w:webHidden/>
              </w:rPr>
              <w:instrText xml:space="preserve"> PAGEREF _Toc132629487 \h </w:instrText>
            </w:r>
            <w:r w:rsidR="005C578D">
              <w:rPr>
                <w:webHidden/>
              </w:rPr>
            </w:r>
            <w:r w:rsidR="005C578D">
              <w:rPr>
                <w:webHidden/>
              </w:rPr>
              <w:fldChar w:fldCharType="separate"/>
            </w:r>
            <w:r w:rsidR="006945E1">
              <w:rPr>
                <w:webHidden/>
              </w:rPr>
              <w:t>18</w:t>
            </w:r>
            <w:r w:rsidR="005C578D">
              <w:rPr>
                <w:webHidden/>
              </w:rPr>
              <w:fldChar w:fldCharType="end"/>
            </w:r>
          </w:hyperlink>
        </w:p>
        <w:p w:rsidR="005C578D" w:rsidRDefault="00B2372D">
          <w:pPr>
            <w:pStyle w:val="TJ2"/>
            <w:rPr>
              <w:rFonts w:asciiTheme="minorHAnsi" w:eastAsiaTheme="minorEastAsia" w:hAnsiTheme="minorHAnsi" w:cstheme="minorBidi"/>
              <w:smallCaps w:val="0"/>
              <w:snapToGrid/>
              <w:szCs w:val="22"/>
            </w:rPr>
          </w:pPr>
          <w:hyperlink w:anchor="_Toc132629488" w:history="1">
            <w:r w:rsidR="005C578D" w:rsidRPr="00FA71B9">
              <w:rPr>
                <w:rStyle w:val="Hiperhivatkozs"/>
              </w:rPr>
              <w:t>Környezetvédelemhez kapcsolódó kötelezettségek, azok teljesítése</w:t>
            </w:r>
            <w:r w:rsidR="005C578D">
              <w:rPr>
                <w:webHidden/>
              </w:rPr>
              <w:tab/>
            </w:r>
            <w:r w:rsidR="005C578D">
              <w:rPr>
                <w:webHidden/>
              </w:rPr>
              <w:fldChar w:fldCharType="begin"/>
            </w:r>
            <w:r w:rsidR="005C578D">
              <w:rPr>
                <w:webHidden/>
              </w:rPr>
              <w:instrText xml:space="preserve"> PAGEREF _Toc132629488 \h </w:instrText>
            </w:r>
            <w:r w:rsidR="005C578D">
              <w:rPr>
                <w:webHidden/>
              </w:rPr>
            </w:r>
            <w:r w:rsidR="005C578D">
              <w:rPr>
                <w:webHidden/>
              </w:rPr>
              <w:fldChar w:fldCharType="separate"/>
            </w:r>
            <w:r w:rsidR="006945E1">
              <w:rPr>
                <w:webHidden/>
              </w:rPr>
              <w:t>19</w:t>
            </w:r>
            <w:r w:rsidR="005C578D">
              <w:rPr>
                <w:webHidden/>
              </w:rPr>
              <w:fldChar w:fldCharType="end"/>
            </w:r>
          </w:hyperlink>
        </w:p>
        <w:p w:rsidR="005C578D" w:rsidRDefault="00B2372D">
          <w:pPr>
            <w:pStyle w:val="TJ2"/>
            <w:rPr>
              <w:rFonts w:asciiTheme="minorHAnsi" w:eastAsiaTheme="minorEastAsia" w:hAnsiTheme="minorHAnsi" w:cstheme="minorBidi"/>
              <w:smallCaps w:val="0"/>
              <w:snapToGrid/>
              <w:szCs w:val="22"/>
            </w:rPr>
          </w:pPr>
          <w:hyperlink w:anchor="_Toc132629489" w:history="1">
            <w:r w:rsidR="005C578D" w:rsidRPr="00FA71B9">
              <w:rPr>
                <w:rStyle w:val="Hiperhivatkozs"/>
              </w:rPr>
              <w:t>Környezetvédelmi intézkedések</w:t>
            </w:r>
            <w:r w:rsidR="005C578D">
              <w:rPr>
                <w:webHidden/>
              </w:rPr>
              <w:tab/>
            </w:r>
            <w:r w:rsidR="005C578D">
              <w:rPr>
                <w:webHidden/>
              </w:rPr>
              <w:fldChar w:fldCharType="begin"/>
            </w:r>
            <w:r w:rsidR="005C578D">
              <w:rPr>
                <w:webHidden/>
              </w:rPr>
              <w:instrText xml:space="preserve"> PAGEREF _Toc132629489 \h </w:instrText>
            </w:r>
            <w:r w:rsidR="005C578D">
              <w:rPr>
                <w:webHidden/>
              </w:rPr>
            </w:r>
            <w:r w:rsidR="005C578D">
              <w:rPr>
                <w:webHidden/>
              </w:rPr>
              <w:fldChar w:fldCharType="separate"/>
            </w:r>
            <w:r w:rsidR="006945E1">
              <w:rPr>
                <w:webHidden/>
              </w:rPr>
              <w:t>19</w:t>
            </w:r>
            <w:r w:rsidR="005C578D">
              <w:rPr>
                <w:webHidden/>
              </w:rPr>
              <w:fldChar w:fldCharType="end"/>
            </w:r>
          </w:hyperlink>
        </w:p>
        <w:p w:rsidR="005C578D" w:rsidRDefault="00B2372D">
          <w:pPr>
            <w:pStyle w:val="TJ1"/>
            <w:tabs>
              <w:tab w:val="right" w:leader="dot" w:pos="9805"/>
            </w:tabs>
            <w:rPr>
              <w:rFonts w:asciiTheme="minorHAnsi" w:eastAsiaTheme="minorEastAsia" w:hAnsiTheme="minorHAnsi" w:cstheme="minorBidi"/>
              <w:b w:val="0"/>
              <w:bCs w:val="0"/>
              <w:caps w:val="0"/>
              <w:noProof/>
              <w:sz w:val="22"/>
              <w:szCs w:val="22"/>
            </w:rPr>
          </w:pPr>
          <w:hyperlink w:anchor="_Toc132629490" w:history="1">
            <w:r w:rsidR="005C578D" w:rsidRPr="00FA71B9">
              <w:rPr>
                <w:rStyle w:val="Hiperhivatkozs"/>
                <w:noProof/>
              </w:rPr>
              <w:t>VI. Fejlesztési-beruházási tevékenység</w:t>
            </w:r>
            <w:r w:rsidR="005C578D">
              <w:rPr>
                <w:noProof/>
                <w:webHidden/>
              </w:rPr>
              <w:tab/>
            </w:r>
            <w:r w:rsidR="005C578D">
              <w:rPr>
                <w:noProof/>
                <w:webHidden/>
              </w:rPr>
              <w:fldChar w:fldCharType="begin"/>
            </w:r>
            <w:r w:rsidR="005C578D">
              <w:rPr>
                <w:noProof/>
                <w:webHidden/>
              </w:rPr>
              <w:instrText xml:space="preserve"> PAGEREF _Toc132629490 \h </w:instrText>
            </w:r>
            <w:r w:rsidR="005C578D">
              <w:rPr>
                <w:noProof/>
                <w:webHidden/>
              </w:rPr>
            </w:r>
            <w:r w:rsidR="005C578D">
              <w:rPr>
                <w:noProof/>
                <w:webHidden/>
              </w:rPr>
              <w:fldChar w:fldCharType="separate"/>
            </w:r>
            <w:r w:rsidR="006945E1">
              <w:rPr>
                <w:noProof/>
                <w:webHidden/>
              </w:rPr>
              <w:t>20</w:t>
            </w:r>
            <w:r w:rsidR="005C578D">
              <w:rPr>
                <w:noProof/>
                <w:webHidden/>
              </w:rPr>
              <w:fldChar w:fldCharType="end"/>
            </w:r>
          </w:hyperlink>
        </w:p>
        <w:p w:rsidR="005C578D" w:rsidRDefault="00B2372D">
          <w:pPr>
            <w:pStyle w:val="TJ2"/>
            <w:rPr>
              <w:rFonts w:asciiTheme="minorHAnsi" w:eastAsiaTheme="minorEastAsia" w:hAnsiTheme="minorHAnsi" w:cstheme="minorBidi"/>
              <w:smallCaps w:val="0"/>
              <w:snapToGrid/>
              <w:szCs w:val="22"/>
            </w:rPr>
          </w:pPr>
          <w:hyperlink w:anchor="_Toc132629491" w:history="1">
            <w:r w:rsidR="005C578D" w:rsidRPr="00FA71B9">
              <w:rPr>
                <w:rStyle w:val="Hiperhivatkozs"/>
              </w:rPr>
              <w:t>Beruházási pénzeszközök források szerinti felhasználása</w:t>
            </w:r>
            <w:r w:rsidR="005C578D">
              <w:rPr>
                <w:webHidden/>
              </w:rPr>
              <w:tab/>
            </w:r>
            <w:r w:rsidR="005C578D">
              <w:rPr>
                <w:webHidden/>
              </w:rPr>
              <w:fldChar w:fldCharType="begin"/>
            </w:r>
            <w:r w:rsidR="005C578D">
              <w:rPr>
                <w:webHidden/>
              </w:rPr>
              <w:instrText xml:space="preserve"> PAGEREF _Toc132629491 \h </w:instrText>
            </w:r>
            <w:r w:rsidR="005C578D">
              <w:rPr>
                <w:webHidden/>
              </w:rPr>
            </w:r>
            <w:r w:rsidR="005C578D">
              <w:rPr>
                <w:webHidden/>
              </w:rPr>
              <w:fldChar w:fldCharType="separate"/>
            </w:r>
            <w:r w:rsidR="006945E1">
              <w:rPr>
                <w:webHidden/>
              </w:rPr>
              <w:t>21</w:t>
            </w:r>
            <w:r w:rsidR="005C578D">
              <w:rPr>
                <w:webHidden/>
              </w:rPr>
              <w:fldChar w:fldCharType="end"/>
            </w:r>
          </w:hyperlink>
        </w:p>
        <w:p w:rsidR="005C578D" w:rsidRDefault="00B2372D">
          <w:pPr>
            <w:pStyle w:val="TJ2"/>
            <w:rPr>
              <w:rFonts w:asciiTheme="minorHAnsi" w:eastAsiaTheme="minorEastAsia" w:hAnsiTheme="minorHAnsi" w:cstheme="minorBidi"/>
              <w:smallCaps w:val="0"/>
              <w:snapToGrid/>
              <w:szCs w:val="22"/>
            </w:rPr>
          </w:pPr>
          <w:hyperlink w:anchor="_Toc132629492" w:history="1">
            <w:r w:rsidR="005C578D" w:rsidRPr="00FA71B9">
              <w:rPr>
                <w:rStyle w:val="Hiperhivatkozs"/>
              </w:rPr>
              <w:t>A különböző forrásokból lekötött beruházások megoszlása tevékenységek szerint</w:t>
            </w:r>
            <w:r w:rsidR="005C578D">
              <w:rPr>
                <w:webHidden/>
              </w:rPr>
              <w:tab/>
            </w:r>
            <w:r w:rsidR="005C578D">
              <w:rPr>
                <w:webHidden/>
              </w:rPr>
              <w:fldChar w:fldCharType="begin"/>
            </w:r>
            <w:r w:rsidR="005C578D">
              <w:rPr>
                <w:webHidden/>
              </w:rPr>
              <w:instrText xml:space="preserve"> PAGEREF _Toc132629492 \h </w:instrText>
            </w:r>
            <w:r w:rsidR="005C578D">
              <w:rPr>
                <w:webHidden/>
              </w:rPr>
            </w:r>
            <w:r w:rsidR="005C578D">
              <w:rPr>
                <w:webHidden/>
              </w:rPr>
              <w:fldChar w:fldCharType="separate"/>
            </w:r>
            <w:r w:rsidR="006945E1">
              <w:rPr>
                <w:webHidden/>
              </w:rPr>
              <w:t>21</w:t>
            </w:r>
            <w:r w:rsidR="005C578D">
              <w:rPr>
                <w:webHidden/>
              </w:rPr>
              <w:fldChar w:fldCharType="end"/>
            </w:r>
          </w:hyperlink>
        </w:p>
        <w:p w:rsidR="005C578D" w:rsidRDefault="00B2372D">
          <w:pPr>
            <w:pStyle w:val="TJ2"/>
            <w:rPr>
              <w:rFonts w:asciiTheme="minorHAnsi" w:eastAsiaTheme="minorEastAsia" w:hAnsiTheme="minorHAnsi" w:cstheme="minorBidi"/>
              <w:smallCaps w:val="0"/>
              <w:snapToGrid/>
              <w:szCs w:val="22"/>
            </w:rPr>
          </w:pPr>
          <w:hyperlink w:anchor="_Toc132629493" w:history="1">
            <w:r w:rsidR="005C578D" w:rsidRPr="00FA71B9">
              <w:rPr>
                <w:rStyle w:val="Hiperhivatkozs"/>
              </w:rPr>
              <w:t>Kiemelt beruházások</w:t>
            </w:r>
            <w:r w:rsidR="005C578D">
              <w:rPr>
                <w:webHidden/>
              </w:rPr>
              <w:tab/>
            </w:r>
            <w:r w:rsidR="005C578D">
              <w:rPr>
                <w:webHidden/>
              </w:rPr>
              <w:fldChar w:fldCharType="begin"/>
            </w:r>
            <w:r w:rsidR="005C578D">
              <w:rPr>
                <w:webHidden/>
              </w:rPr>
              <w:instrText xml:space="preserve"> PAGEREF _Toc132629493 \h </w:instrText>
            </w:r>
            <w:r w:rsidR="005C578D">
              <w:rPr>
                <w:webHidden/>
              </w:rPr>
            </w:r>
            <w:r w:rsidR="005C578D">
              <w:rPr>
                <w:webHidden/>
              </w:rPr>
              <w:fldChar w:fldCharType="separate"/>
            </w:r>
            <w:r w:rsidR="006945E1">
              <w:rPr>
                <w:webHidden/>
              </w:rPr>
              <w:t>21</w:t>
            </w:r>
            <w:r w:rsidR="005C578D">
              <w:rPr>
                <w:webHidden/>
              </w:rPr>
              <w:fldChar w:fldCharType="end"/>
            </w:r>
          </w:hyperlink>
        </w:p>
        <w:p w:rsidR="005C578D" w:rsidRDefault="00B2372D">
          <w:pPr>
            <w:pStyle w:val="TJ2"/>
            <w:rPr>
              <w:rFonts w:asciiTheme="minorHAnsi" w:eastAsiaTheme="minorEastAsia" w:hAnsiTheme="minorHAnsi" w:cstheme="minorBidi"/>
              <w:smallCaps w:val="0"/>
              <w:snapToGrid/>
              <w:szCs w:val="22"/>
            </w:rPr>
          </w:pPr>
          <w:hyperlink w:anchor="_Toc132629494" w:history="1">
            <w:r w:rsidR="005C578D" w:rsidRPr="00FA71B9">
              <w:rPr>
                <w:rStyle w:val="Hiperhivatkozs"/>
              </w:rPr>
              <w:t>Önkormányzatoknak átadásra kerülő beruházások</w:t>
            </w:r>
            <w:r w:rsidR="005C578D">
              <w:rPr>
                <w:webHidden/>
              </w:rPr>
              <w:tab/>
            </w:r>
            <w:r w:rsidR="005C578D">
              <w:rPr>
                <w:webHidden/>
              </w:rPr>
              <w:fldChar w:fldCharType="begin"/>
            </w:r>
            <w:r w:rsidR="005C578D">
              <w:rPr>
                <w:webHidden/>
              </w:rPr>
              <w:instrText xml:space="preserve"> PAGEREF _Toc132629494 \h </w:instrText>
            </w:r>
            <w:r w:rsidR="005C578D">
              <w:rPr>
                <w:webHidden/>
              </w:rPr>
            </w:r>
            <w:r w:rsidR="005C578D">
              <w:rPr>
                <w:webHidden/>
              </w:rPr>
              <w:fldChar w:fldCharType="separate"/>
            </w:r>
            <w:r w:rsidR="006945E1">
              <w:rPr>
                <w:webHidden/>
              </w:rPr>
              <w:t>21</w:t>
            </w:r>
            <w:r w:rsidR="005C578D">
              <w:rPr>
                <w:webHidden/>
              </w:rPr>
              <w:fldChar w:fldCharType="end"/>
            </w:r>
          </w:hyperlink>
        </w:p>
        <w:p w:rsidR="005C578D" w:rsidRDefault="00B2372D">
          <w:pPr>
            <w:pStyle w:val="TJ1"/>
            <w:tabs>
              <w:tab w:val="right" w:leader="dot" w:pos="9805"/>
            </w:tabs>
            <w:rPr>
              <w:rFonts w:asciiTheme="minorHAnsi" w:eastAsiaTheme="minorEastAsia" w:hAnsiTheme="minorHAnsi" w:cstheme="minorBidi"/>
              <w:b w:val="0"/>
              <w:bCs w:val="0"/>
              <w:caps w:val="0"/>
              <w:noProof/>
              <w:sz w:val="22"/>
              <w:szCs w:val="22"/>
            </w:rPr>
          </w:pPr>
          <w:hyperlink w:anchor="_Toc132629495" w:history="1">
            <w:r w:rsidR="005C578D" w:rsidRPr="00FA71B9">
              <w:rPr>
                <w:rStyle w:val="Hiperhivatkozs"/>
                <w:noProof/>
              </w:rPr>
              <w:t>VII. építőipari tevékenység</w:t>
            </w:r>
            <w:r w:rsidR="005C578D">
              <w:rPr>
                <w:noProof/>
                <w:webHidden/>
              </w:rPr>
              <w:tab/>
            </w:r>
            <w:r w:rsidR="005C578D">
              <w:rPr>
                <w:noProof/>
                <w:webHidden/>
              </w:rPr>
              <w:fldChar w:fldCharType="begin"/>
            </w:r>
            <w:r w:rsidR="005C578D">
              <w:rPr>
                <w:noProof/>
                <w:webHidden/>
              </w:rPr>
              <w:instrText xml:space="preserve"> PAGEREF _Toc132629495 \h </w:instrText>
            </w:r>
            <w:r w:rsidR="005C578D">
              <w:rPr>
                <w:noProof/>
                <w:webHidden/>
              </w:rPr>
            </w:r>
            <w:r w:rsidR="005C578D">
              <w:rPr>
                <w:noProof/>
                <w:webHidden/>
              </w:rPr>
              <w:fldChar w:fldCharType="separate"/>
            </w:r>
            <w:r w:rsidR="006945E1">
              <w:rPr>
                <w:noProof/>
                <w:webHidden/>
              </w:rPr>
              <w:t>22</w:t>
            </w:r>
            <w:r w:rsidR="005C578D">
              <w:rPr>
                <w:noProof/>
                <w:webHidden/>
              </w:rPr>
              <w:fldChar w:fldCharType="end"/>
            </w:r>
          </w:hyperlink>
        </w:p>
        <w:p w:rsidR="005C578D" w:rsidRDefault="00B2372D">
          <w:pPr>
            <w:pStyle w:val="TJ2"/>
            <w:rPr>
              <w:rFonts w:asciiTheme="minorHAnsi" w:eastAsiaTheme="minorEastAsia" w:hAnsiTheme="minorHAnsi" w:cstheme="minorBidi"/>
              <w:smallCaps w:val="0"/>
              <w:snapToGrid/>
              <w:szCs w:val="22"/>
            </w:rPr>
          </w:pPr>
          <w:hyperlink w:anchor="_Toc132629496" w:history="1">
            <w:r w:rsidR="005C578D" w:rsidRPr="00FA71B9">
              <w:rPr>
                <w:rStyle w:val="Hiperhivatkozs"/>
              </w:rPr>
              <w:t>Önkormányzati megrendelésre végzett jelentősebb víziközmű építési-szerelési munkák</w:t>
            </w:r>
            <w:r w:rsidR="005C578D">
              <w:rPr>
                <w:webHidden/>
              </w:rPr>
              <w:tab/>
            </w:r>
            <w:r w:rsidR="005C578D">
              <w:rPr>
                <w:webHidden/>
              </w:rPr>
              <w:fldChar w:fldCharType="begin"/>
            </w:r>
            <w:r w:rsidR="005C578D">
              <w:rPr>
                <w:webHidden/>
              </w:rPr>
              <w:instrText xml:space="preserve"> PAGEREF _Toc132629496 \h </w:instrText>
            </w:r>
            <w:r w:rsidR="005C578D">
              <w:rPr>
                <w:webHidden/>
              </w:rPr>
            </w:r>
            <w:r w:rsidR="005C578D">
              <w:rPr>
                <w:webHidden/>
              </w:rPr>
              <w:fldChar w:fldCharType="separate"/>
            </w:r>
            <w:r w:rsidR="006945E1">
              <w:rPr>
                <w:webHidden/>
              </w:rPr>
              <w:t>22</w:t>
            </w:r>
            <w:r w:rsidR="005C578D">
              <w:rPr>
                <w:webHidden/>
              </w:rPr>
              <w:fldChar w:fldCharType="end"/>
            </w:r>
          </w:hyperlink>
        </w:p>
        <w:p w:rsidR="005C578D" w:rsidRDefault="00B2372D">
          <w:pPr>
            <w:pStyle w:val="TJ2"/>
            <w:rPr>
              <w:rFonts w:asciiTheme="minorHAnsi" w:eastAsiaTheme="minorEastAsia" w:hAnsiTheme="minorHAnsi" w:cstheme="minorBidi"/>
              <w:smallCaps w:val="0"/>
              <w:snapToGrid/>
              <w:szCs w:val="22"/>
            </w:rPr>
          </w:pPr>
          <w:hyperlink w:anchor="_Toc132629497" w:history="1">
            <w:r w:rsidR="005C578D" w:rsidRPr="00FA71B9">
              <w:rPr>
                <w:rStyle w:val="Hiperhivatkozs"/>
              </w:rPr>
              <w:t>Egyéb megrendelésre végzett főbb építőipari munkák és beszerzések</w:t>
            </w:r>
            <w:r w:rsidR="005C578D">
              <w:rPr>
                <w:webHidden/>
              </w:rPr>
              <w:tab/>
            </w:r>
            <w:r w:rsidR="005C578D">
              <w:rPr>
                <w:webHidden/>
              </w:rPr>
              <w:fldChar w:fldCharType="begin"/>
            </w:r>
            <w:r w:rsidR="005C578D">
              <w:rPr>
                <w:webHidden/>
              </w:rPr>
              <w:instrText xml:space="preserve"> PAGEREF _Toc132629497 \h </w:instrText>
            </w:r>
            <w:r w:rsidR="005C578D">
              <w:rPr>
                <w:webHidden/>
              </w:rPr>
            </w:r>
            <w:r w:rsidR="005C578D">
              <w:rPr>
                <w:webHidden/>
              </w:rPr>
              <w:fldChar w:fldCharType="separate"/>
            </w:r>
            <w:r w:rsidR="006945E1">
              <w:rPr>
                <w:webHidden/>
              </w:rPr>
              <w:t>23</w:t>
            </w:r>
            <w:r w:rsidR="005C578D">
              <w:rPr>
                <w:webHidden/>
              </w:rPr>
              <w:fldChar w:fldCharType="end"/>
            </w:r>
          </w:hyperlink>
        </w:p>
        <w:p w:rsidR="005C578D" w:rsidRDefault="005C578D">
          <w:pPr>
            <w:pStyle w:val="TJ1"/>
            <w:tabs>
              <w:tab w:val="right" w:leader="dot" w:pos="9805"/>
            </w:tabs>
            <w:rPr>
              <w:rStyle w:val="Hiperhivatkozs"/>
              <w:noProof/>
            </w:rPr>
          </w:pPr>
        </w:p>
        <w:p w:rsidR="005C578D" w:rsidRDefault="005C578D">
          <w:pPr>
            <w:pStyle w:val="TJ1"/>
            <w:tabs>
              <w:tab w:val="right" w:leader="dot" w:pos="9805"/>
            </w:tabs>
            <w:rPr>
              <w:rStyle w:val="Hiperhivatkozs"/>
              <w:noProof/>
            </w:rPr>
          </w:pPr>
        </w:p>
        <w:p w:rsidR="005C578D" w:rsidRDefault="005C578D">
          <w:pPr>
            <w:pStyle w:val="TJ1"/>
            <w:tabs>
              <w:tab w:val="right" w:leader="dot" w:pos="9805"/>
            </w:tabs>
            <w:rPr>
              <w:rStyle w:val="Hiperhivatkozs"/>
              <w:noProof/>
            </w:rPr>
          </w:pPr>
        </w:p>
        <w:p w:rsidR="005C578D" w:rsidRDefault="005C578D">
          <w:pPr>
            <w:pStyle w:val="TJ1"/>
            <w:tabs>
              <w:tab w:val="right" w:leader="dot" w:pos="9805"/>
            </w:tabs>
            <w:rPr>
              <w:rStyle w:val="Hiperhivatkozs"/>
              <w:noProof/>
            </w:rPr>
          </w:pPr>
        </w:p>
        <w:p w:rsidR="005C578D" w:rsidRDefault="005C578D">
          <w:pPr>
            <w:pStyle w:val="TJ1"/>
            <w:tabs>
              <w:tab w:val="right" w:leader="dot" w:pos="9805"/>
            </w:tabs>
            <w:rPr>
              <w:rStyle w:val="Hiperhivatkozs"/>
              <w:noProof/>
            </w:rPr>
          </w:pPr>
        </w:p>
        <w:p w:rsidR="005C578D" w:rsidRDefault="00B2372D">
          <w:pPr>
            <w:pStyle w:val="TJ1"/>
            <w:tabs>
              <w:tab w:val="right" w:leader="dot" w:pos="9805"/>
            </w:tabs>
            <w:rPr>
              <w:rFonts w:asciiTheme="minorHAnsi" w:eastAsiaTheme="minorEastAsia" w:hAnsiTheme="minorHAnsi" w:cstheme="minorBidi"/>
              <w:b w:val="0"/>
              <w:bCs w:val="0"/>
              <w:caps w:val="0"/>
              <w:noProof/>
              <w:sz w:val="22"/>
              <w:szCs w:val="22"/>
            </w:rPr>
          </w:pPr>
          <w:hyperlink w:anchor="_Toc132629498" w:history="1">
            <w:r w:rsidR="005C578D" w:rsidRPr="00FA71B9">
              <w:rPr>
                <w:rStyle w:val="Hiperhivatkozs"/>
                <w:noProof/>
              </w:rPr>
              <w:t>VIII. A ZRT. MŰKÖDÉSÉNEK SZEMÉLYI FELTÉTELEI</w:t>
            </w:r>
            <w:r w:rsidR="005C578D">
              <w:rPr>
                <w:noProof/>
                <w:webHidden/>
              </w:rPr>
              <w:tab/>
            </w:r>
            <w:r w:rsidR="005C578D">
              <w:rPr>
                <w:noProof/>
                <w:webHidden/>
              </w:rPr>
              <w:fldChar w:fldCharType="begin"/>
            </w:r>
            <w:r w:rsidR="005C578D">
              <w:rPr>
                <w:noProof/>
                <w:webHidden/>
              </w:rPr>
              <w:instrText xml:space="preserve"> PAGEREF _Toc132629498 \h </w:instrText>
            </w:r>
            <w:r w:rsidR="005C578D">
              <w:rPr>
                <w:noProof/>
                <w:webHidden/>
              </w:rPr>
            </w:r>
            <w:r w:rsidR="005C578D">
              <w:rPr>
                <w:noProof/>
                <w:webHidden/>
              </w:rPr>
              <w:fldChar w:fldCharType="separate"/>
            </w:r>
            <w:r w:rsidR="006945E1">
              <w:rPr>
                <w:noProof/>
                <w:webHidden/>
              </w:rPr>
              <w:t>23</w:t>
            </w:r>
            <w:r w:rsidR="005C578D">
              <w:rPr>
                <w:noProof/>
                <w:webHidden/>
              </w:rPr>
              <w:fldChar w:fldCharType="end"/>
            </w:r>
          </w:hyperlink>
        </w:p>
        <w:p w:rsidR="005C578D" w:rsidRDefault="00B2372D">
          <w:pPr>
            <w:pStyle w:val="TJ2"/>
            <w:rPr>
              <w:rFonts w:asciiTheme="minorHAnsi" w:eastAsiaTheme="minorEastAsia" w:hAnsiTheme="minorHAnsi" w:cstheme="minorBidi"/>
              <w:smallCaps w:val="0"/>
              <w:snapToGrid/>
              <w:szCs w:val="22"/>
            </w:rPr>
          </w:pPr>
          <w:hyperlink w:anchor="_Toc132629499" w:history="1">
            <w:r w:rsidR="005C578D" w:rsidRPr="00FA71B9">
              <w:rPr>
                <w:rStyle w:val="Hiperhivatkozs"/>
              </w:rPr>
              <w:t>Korrigált munkajogi létszám</w:t>
            </w:r>
            <w:r w:rsidR="005C578D">
              <w:rPr>
                <w:webHidden/>
              </w:rPr>
              <w:tab/>
            </w:r>
            <w:r w:rsidR="005C578D">
              <w:rPr>
                <w:webHidden/>
              </w:rPr>
              <w:fldChar w:fldCharType="begin"/>
            </w:r>
            <w:r w:rsidR="005C578D">
              <w:rPr>
                <w:webHidden/>
              </w:rPr>
              <w:instrText xml:space="preserve"> PAGEREF _Toc132629499 \h </w:instrText>
            </w:r>
            <w:r w:rsidR="005C578D">
              <w:rPr>
                <w:webHidden/>
              </w:rPr>
            </w:r>
            <w:r w:rsidR="005C578D">
              <w:rPr>
                <w:webHidden/>
              </w:rPr>
              <w:fldChar w:fldCharType="separate"/>
            </w:r>
            <w:r w:rsidR="006945E1">
              <w:rPr>
                <w:webHidden/>
              </w:rPr>
              <w:t>23</w:t>
            </w:r>
            <w:r w:rsidR="005C578D">
              <w:rPr>
                <w:webHidden/>
              </w:rPr>
              <w:fldChar w:fldCharType="end"/>
            </w:r>
          </w:hyperlink>
        </w:p>
        <w:p w:rsidR="005C578D" w:rsidRDefault="00B2372D">
          <w:pPr>
            <w:pStyle w:val="TJ2"/>
            <w:rPr>
              <w:rFonts w:asciiTheme="minorHAnsi" w:eastAsiaTheme="minorEastAsia" w:hAnsiTheme="minorHAnsi" w:cstheme="minorBidi"/>
              <w:smallCaps w:val="0"/>
              <w:snapToGrid/>
              <w:szCs w:val="22"/>
            </w:rPr>
          </w:pPr>
          <w:hyperlink w:anchor="_Toc132629500" w:history="1">
            <w:r w:rsidR="005C578D" w:rsidRPr="00FA71B9">
              <w:rPr>
                <w:rStyle w:val="Hiperhivatkozs"/>
              </w:rPr>
              <w:t>A munkavállalók éves átlagos statisztikai állományi létszáma állománycsoportonként</w:t>
            </w:r>
            <w:r w:rsidR="005C578D">
              <w:rPr>
                <w:webHidden/>
              </w:rPr>
              <w:tab/>
            </w:r>
            <w:r w:rsidR="005C578D">
              <w:rPr>
                <w:webHidden/>
              </w:rPr>
              <w:fldChar w:fldCharType="begin"/>
            </w:r>
            <w:r w:rsidR="005C578D">
              <w:rPr>
                <w:webHidden/>
              </w:rPr>
              <w:instrText xml:space="preserve"> PAGEREF _Toc132629500 \h </w:instrText>
            </w:r>
            <w:r w:rsidR="005C578D">
              <w:rPr>
                <w:webHidden/>
              </w:rPr>
            </w:r>
            <w:r w:rsidR="005C578D">
              <w:rPr>
                <w:webHidden/>
              </w:rPr>
              <w:fldChar w:fldCharType="separate"/>
            </w:r>
            <w:r w:rsidR="006945E1">
              <w:rPr>
                <w:webHidden/>
              </w:rPr>
              <w:t>23</w:t>
            </w:r>
            <w:r w:rsidR="005C578D">
              <w:rPr>
                <w:webHidden/>
              </w:rPr>
              <w:fldChar w:fldCharType="end"/>
            </w:r>
          </w:hyperlink>
        </w:p>
        <w:p w:rsidR="005C578D" w:rsidRDefault="00B2372D">
          <w:pPr>
            <w:pStyle w:val="TJ2"/>
            <w:rPr>
              <w:rFonts w:asciiTheme="minorHAnsi" w:eastAsiaTheme="minorEastAsia" w:hAnsiTheme="minorHAnsi" w:cstheme="minorBidi"/>
              <w:smallCaps w:val="0"/>
              <w:snapToGrid/>
              <w:szCs w:val="22"/>
            </w:rPr>
          </w:pPr>
          <w:hyperlink w:anchor="_Toc132629501" w:history="1">
            <w:r w:rsidR="005C578D" w:rsidRPr="00FA71B9">
              <w:rPr>
                <w:rStyle w:val="Hiperhivatkozs"/>
              </w:rPr>
              <w:t>Bérköltség állománycsoportonként</w:t>
            </w:r>
            <w:r w:rsidR="005C578D">
              <w:rPr>
                <w:webHidden/>
              </w:rPr>
              <w:tab/>
            </w:r>
            <w:r w:rsidR="005C578D">
              <w:rPr>
                <w:webHidden/>
              </w:rPr>
              <w:fldChar w:fldCharType="begin"/>
            </w:r>
            <w:r w:rsidR="005C578D">
              <w:rPr>
                <w:webHidden/>
              </w:rPr>
              <w:instrText xml:space="preserve"> PAGEREF _Toc132629501 \h </w:instrText>
            </w:r>
            <w:r w:rsidR="005C578D">
              <w:rPr>
                <w:webHidden/>
              </w:rPr>
            </w:r>
            <w:r w:rsidR="005C578D">
              <w:rPr>
                <w:webHidden/>
              </w:rPr>
              <w:fldChar w:fldCharType="separate"/>
            </w:r>
            <w:r w:rsidR="006945E1">
              <w:rPr>
                <w:webHidden/>
              </w:rPr>
              <w:t>24</w:t>
            </w:r>
            <w:r w:rsidR="005C578D">
              <w:rPr>
                <w:webHidden/>
              </w:rPr>
              <w:fldChar w:fldCharType="end"/>
            </w:r>
          </w:hyperlink>
        </w:p>
        <w:p w:rsidR="005C578D" w:rsidRDefault="00B2372D">
          <w:pPr>
            <w:pStyle w:val="TJ1"/>
            <w:tabs>
              <w:tab w:val="right" w:leader="dot" w:pos="9805"/>
            </w:tabs>
            <w:rPr>
              <w:rFonts w:asciiTheme="minorHAnsi" w:eastAsiaTheme="minorEastAsia" w:hAnsiTheme="minorHAnsi" w:cstheme="minorBidi"/>
              <w:b w:val="0"/>
              <w:bCs w:val="0"/>
              <w:caps w:val="0"/>
              <w:noProof/>
              <w:sz w:val="22"/>
              <w:szCs w:val="22"/>
            </w:rPr>
          </w:pPr>
          <w:hyperlink w:anchor="_Toc132629502" w:history="1">
            <w:r w:rsidR="005C578D" w:rsidRPr="00FA71B9">
              <w:rPr>
                <w:rStyle w:val="Hiperhivatkozs"/>
                <w:noProof/>
              </w:rPr>
              <w:t>X. Szolgáltatási díjak</w:t>
            </w:r>
            <w:r w:rsidR="005C578D">
              <w:rPr>
                <w:noProof/>
                <w:webHidden/>
              </w:rPr>
              <w:tab/>
            </w:r>
            <w:r w:rsidR="005C578D">
              <w:rPr>
                <w:noProof/>
                <w:webHidden/>
              </w:rPr>
              <w:fldChar w:fldCharType="begin"/>
            </w:r>
            <w:r w:rsidR="005C578D">
              <w:rPr>
                <w:noProof/>
                <w:webHidden/>
              </w:rPr>
              <w:instrText xml:space="preserve"> PAGEREF _Toc132629502 \h </w:instrText>
            </w:r>
            <w:r w:rsidR="005C578D">
              <w:rPr>
                <w:noProof/>
                <w:webHidden/>
              </w:rPr>
            </w:r>
            <w:r w:rsidR="005C578D">
              <w:rPr>
                <w:noProof/>
                <w:webHidden/>
              </w:rPr>
              <w:fldChar w:fldCharType="separate"/>
            </w:r>
            <w:r w:rsidR="006945E1">
              <w:rPr>
                <w:noProof/>
                <w:webHidden/>
              </w:rPr>
              <w:t>25</w:t>
            </w:r>
            <w:r w:rsidR="005C578D">
              <w:rPr>
                <w:noProof/>
                <w:webHidden/>
              </w:rPr>
              <w:fldChar w:fldCharType="end"/>
            </w:r>
          </w:hyperlink>
        </w:p>
        <w:p w:rsidR="005C578D" w:rsidRDefault="00B2372D">
          <w:pPr>
            <w:pStyle w:val="TJ1"/>
            <w:tabs>
              <w:tab w:val="right" w:leader="dot" w:pos="9805"/>
            </w:tabs>
            <w:rPr>
              <w:rFonts w:asciiTheme="minorHAnsi" w:eastAsiaTheme="minorEastAsia" w:hAnsiTheme="minorHAnsi" w:cstheme="minorBidi"/>
              <w:b w:val="0"/>
              <w:bCs w:val="0"/>
              <w:caps w:val="0"/>
              <w:noProof/>
              <w:sz w:val="22"/>
              <w:szCs w:val="22"/>
            </w:rPr>
          </w:pPr>
          <w:hyperlink w:anchor="_Toc132629503" w:history="1">
            <w:r w:rsidR="005C578D" w:rsidRPr="00FA71B9">
              <w:rPr>
                <w:rStyle w:val="Hiperhivatkozs"/>
                <w:noProof/>
              </w:rPr>
              <w:t>X. BEVÉTELEK</w:t>
            </w:r>
            <w:r w:rsidR="005C578D">
              <w:rPr>
                <w:noProof/>
                <w:webHidden/>
              </w:rPr>
              <w:tab/>
            </w:r>
            <w:r w:rsidR="005C578D">
              <w:rPr>
                <w:noProof/>
                <w:webHidden/>
              </w:rPr>
              <w:fldChar w:fldCharType="begin"/>
            </w:r>
            <w:r w:rsidR="005C578D">
              <w:rPr>
                <w:noProof/>
                <w:webHidden/>
              </w:rPr>
              <w:instrText xml:space="preserve"> PAGEREF _Toc132629503 \h </w:instrText>
            </w:r>
            <w:r w:rsidR="005C578D">
              <w:rPr>
                <w:noProof/>
                <w:webHidden/>
              </w:rPr>
            </w:r>
            <w:r w:rsidR="005C578D">
              <w:rPr>
                <w:noProof/>
                <w:webHidden/>
              </w:rPr>
              <w:fldChar w:fldCharType="separate"/>
            </w:r>
            <w:r w:rsidR="006945E1">
              <w:rPr>
                <w:noProof/>
                <w:webHidden/>
              </w:rPr>
              <w:t>25</w:t>
            </w:r>
            <w:r w:rsidR="005C578D">
              <w:rPr>
                <w:noProof/>
                <w:webHidden/>
              </w:rPr>
              <w:fldChar w:fldCharType="end"/>
            </w:r>
          </w:hyperlink>
        </w:p>
        <w:p w:rsidR="005C578D" w:rsidRDefault="00B2372D">
          <w:pPr>
            <w:pStyle w:val="TJ2"/>
            <w:rPr>
              <w:rFonts w:asciiTheme="minorHAnsi" w:eastAsiaTheme="minorEastAsia" w:hAnsiTheme="minorHAnsi" w:cstheme="minorBidi"/>
              <w:smallCaps w:val="0"/>
              <w:snapToGrid/>
              <w:szCs w:val="22"/>
            </w:rPr>
          </w:pPr>
          <w:hyperlink w:anchor="_Toc132629504" w:history="1">
            <w:r w:rsidR="005C578D" w:rsidRPr="00FA71B9">
              <w:rPr>
                <w:rStyle w:val="Hiperhivatkozs"/>
              </w:rPr>
              <w:t>Értékesítés összetétele, bevételek</w:t>
            </w:r>
            <w:r w:rsidR="005C578D">
              <w:rPr>
                <w:webHidden/>
              </w:rPr>
              <w:tab/>
            </w:r>
            <w:r w:rsidR="005C578D">
              <w:rPr>
                <w:webHidden/>
              </w:rPr>
              <w:fldChar w:fldCharType="begin"/>
            </w:r>
            <w:r w:rsidR="005C578D">
              <w:rPr>
                <w:webHidden/>
              </w:rPr>
              <w:instrText xml:space="preserve"> PAGEREF _Toc132629504 \h </w:instrText>
            </w:r>
            <w:r w:rsidR="005C578D">
              <w:rPr>
                <w:webHidden/>
              </w:rPr>
            </w:r>
            <w:r w:rsidR="005C578D">
              <w:rPr>
                <w:webHidden/>
              </w:rPr>
              <w:fldChar w:fldCharType="separate"/>
            </w:r>
            <w:r w:rsidR="006945E1">
              <w:rPr>
                <w:webHidden/>
              </w:rPr>
              <w:t>25</w:t>
            </w:r>
            <w:r w:rsidR="005C578D">
              <w:rPr>
                <w:webHidden/>
              </w:rPr>
              <w:fldChar w:fldCharType="end"/>
            </w:r>
          </w:hyperlink>
        </w:p>
        <w:p w:rsidR="005C578D" w:rsidRDefault="00B2372D">
          <w:pPr>
            <w:pStyle w:val="TJ2"/>
            <w:rPr>
              <w:rFonts w:asciiTheme="minorHAnsi" w:eastAsiaTheme="minorEastAsia" w:hAnsiTheme="minorHAnsi" w:cstheme="minorBidi"/>
              <w:smallCaps w:val="0"/>
              <w:snapToGrid/>
              <w:szCs w:val="22"/>
            </w:rPr>
          </w:pPr>
          <w:hyperlink w:anchor="_Toc132629505" w:history="1">
            <w:r w:rsidR="005C578D" w:rsidRPr="00FA71B9">
              <w:rPr>
                <w:rStyle w:val="Hiperhivatkozs"/>
              </w:rPr>
              <w:t>A bevételek tervtől való eltérésének okai</w:t>
            </w:r>
            <w:r w:rsidR="005C578D">
              <w:rPr>
                <w:webHidden/>
              </w:rPr>
              <w:tab/>
            </w:r>
            <w:r w:rsidR="005C578D">
              <w:rPr>
                <w:webHidden/>
              </w:rPr>
              <w:fldChar w:fldCharType="begin"/>
            </w:r>
            <w:r w:rsidR="005C578D">
              <w:rPr>
                <w:webHidden/>
              </w:rPr>
              <w:instrText xml:space="preserve"> PAGEREF _Toc132629505 \h </w:instrText>
            </w:r>
            <w:r w:rsidR="005C578D">
              <w:rPr>
                <w:webHidden/>
              </w:rPr>
            </w:r>
            <w:r w:rsidR="005C578D">
              <w:rPr>
                <w:webHidden/>
              </w:rPr>
              <w:fldChar w:fldCharType="separate"/>
            </w:r>
            <w:r w:rsidR="006945E1">
              <w:rPr>
                <w:webHidden/>
              </w:rPr>
              <w:t>26</w:t>
            </w:r>
            <w:r w:rsidR="005C578D">
              <w:rPr>
                <w:webHidden/>
              </w:rPr>
              <w:fldChar w:fldCharType="end"/>
            </w:r>
          </w:hyperlink>
        </w:p>
        <w:p w:rsidR="005C578D" w:rsidRDefault="00B2372D">
          <w:pPr>
            <w:pStyle w:val="TJ1"/>
            <w:tabs>
              <w:tab w:val="right" w:leader="dot" w:pos="9805"/>
            </w:tabs>
            <w:rPr>
              <w:rFonts w:asciiTheme="minorHAnsi" w:eastAsiaTheme="minorEastAsia" w:hAnsiTheme="minorHAnsi" w:cstheme="minorBidi"/>
              <w:b w:val="0"/>
              <w:bCs w:val="0"/>
              <w:caps w:val="0"/>
              <w:noProof/>
              <w:sz w:val="22"/>
              <w:szCs w:val="22"/>
            </w:rPr>
          </w:pPr>
          <w:hyperlink w:anchor="_Toc132629506" w:history="1">
            <w:r w:rsidR="005C578D" w:rsidRPr="00FA71B9">
              <w:rPr>
                <w:rStyle w:val="Hiperhivatkozs"/>
                <w:noProof/>
              </w:rPr>
              <w:t>XI. Költségek, ráfordítások</w:t>
            </w:r>
            <w:r w:rsidR="005C578D">
              <w:rPr>
                <w:noProof/>
                <w:webHidden/>
              </w:rPr>
              <w:tab/>
            </w:r>
            <w:r w:rsidR="005C578D">
              <w:rPr>
                <w:noProof/>
                <w:webHidden/>
              </w:rPr>
              <w:fldChar w:fldCharType="begin"/>
            </w:r>
            <w:r w:rsidR="005C578D">
              <w:rPr>
                <w:noProof/>
                <w:webHidden/>
              </w:rPr>
              <w:instrText xml:space="preserve"> PAGEREF _Toc132629506 \h </w:instrText>
            </w:r>
            <w:r w:rsidR="005C578D">
              <w:rPr>
                <w:noProof/>
                <w:webHidden/>
              </w:rPr>
            </w:r>
            <w:r w:rsidR="005C578D">
              <w:rPr>
                <w:noProof/>
                <w:webHidden/>
              </w:rPr>
              <w:fldChar w:fldCharType="separate"/>
            </w:r>
            <w:r w:rsidR="006945E1">
              <w:rPr>
                <w:noProof/>
                <w:webHidden/>
              </w:rPr>
              <w:t>30</w:t>
            </w:r>
            <w:r w:rsidR="005C578D">
              <w:rPr>
                <w:noProof/>
                <w:webHidden/>
              </w:rPr>
              <w:fldChar w:fldCharType="end"/>
            </w:r>
          </w:hyperlink>
        </w:p>
        <w:p w:rsidR="005C578D" w:rsidRDefault="00B2372D">
          <w:pPr>
            <w:pStyle w:val="TJ1"/>
            <w:tabs>
              <w:tab w:val="right" w:leader="dot" w:pos="9805"/>
            </w:tabs>
            <w:rPr>
              <w:rFonts w:asciiTheme="minorHAnsi" w:eastAsiaTheme="minorEastAsia" w:hAnsiTheme="minorHAnsi" w:cstheme="minorBidi"/>
              <w:b w:val="0"/>
              <w:bCs w:val="0"/>
              <w:caps w:val="0"/>
              <w:noProof/>
              <w:sz w:val="22"/>
              <w:szCs w:val="22"/>
            </w:rPr>
          </w:pPr>
          <w:hyperlink w:anchor="_Toc132629507" w:history="1">
            <w:r w:rsidR="005C578D" w:rsidRPr="00FA71B9">
              <w:rPr>
                <w:rStyle w:val="Hiperhivatkozs"/>
                <w:noProof/>
              </w:rPr>
              <w:t>XII. Eredmény alakulása</w:t>
            </w:r>
            <w:r w:rsidR="005C578D">
              <w:rPr>
                <w:noProof/>
                <w:webHidden/>
              </w:rPr>
              <w:tab/>
            </w:r>
            <w:r w:rsidR="005C578D">
              <w:rPr>
                <w:noProof/>
                <w:webHidden/>
              </w:rPr>
              <w:fldChar w:fldCharType="begin"/>
            </w:r>
            <w:r w:rsidR="005C578D">
              <w:rPr>
                <w:noProof/>
                <w:webHidden/>
              </w:rPr>
              <w:instrText xml:space="preserve"> PAGEREF _Toc132629507 \h </w:instrText>
            </w:r>
            <w:r w:rsidR="005C578D">
              <w:rPr>
                <w:noProof/>
                <w:webHidden/>
              </w:rPr>
            </w:r>
            <w:r w:rsidR="005C578D">
              <w:rPr>
                <w:noProof/>
                <w:webHidden/>
              </w:rPr>
              <w:fldChar w:fldCharType="separate"/>
            </w:r>
            <w:r w:rsidR="006945E1">
              <w:rPr>
                <w:noProof/>
                <w:webHidden/>
              </w:rPr>
              <w:t>38</w:t>
            </w:r>
            <w:r w:rsidR="005C578D">
              <w:rPr>
                <w:noProof/>
                <w:webHidden/>
              </w:rPr>
              <w:fldChar w:fldCharType="end"/>
            </w:r>
          </w:hyperlink>
        </w:p>
        <w:p w:rsidR="005C578D" w:rsidRDefault="00B2372D">
          <w:pPr>
            <w:pStyle w:val="TJ1"/>
            <w:tabs>
              <w:tab w:val="right" w:leader="dot" w:pos="9805"/>
            </w:tabs>
            <w:rPr>
              <w:rFonts w:asciiTheme="minorHAnsi" w:eastAsiaTheme="minorEastAsia" w:hAnsiTheme="minorHAnsi" w:cstheme="minorBidi"/>
              <w:b w:val="0"/>
              <w:bCs w:val="0"/>
              <w:caps w:val="0"/>
              <w:noProof/>
              <w:sz w:val="22"/>
              <w:szCs w:val="22"/>
            </w:rPr>
          </w:pPr>
          <w:hyperlink w:anchor="_Toc132629508" w:history="1">
            <w:r w:rsidR="005C578D" w:rsidRPr="00FA71B9">
              <w:rPr>
                <w:rStyle w:val="Hiperhivatkozs"/>
                <w:noProof/>
              </w:rPr>
              <w:t>XIII. Pénzügyi helyzet</w:t>
            </w:r>
            <w:r w:rsidR="005C578D">
              <w:rPr>
                <w:noProof/>
                <w:webHidden/>
              </w:rPr>
              <w:tab/>
            </w:r>
            <w:r w:rsidR="005C578D">
              <w:rPr>
                <w:noProof/>
                <w:webHidden/>
              </w:rPr>
              <w:fldChar w:fldCharType="begin"/>
            </w:r>
            <w:r w:rsidR="005C578D">
              <w:rPr>
                <w:noProof/>
                <w:webHidden/>
              </w:rPr>
              <w:instrText xml:space="preserve"> PAGEREF _Toc132629508 \h </w:instrText>
            </w:r>
            <w:r w:rsidR="005C578D">
              <w:rPr>
                <w:noProof/>
                <w:webHidden/>
              </w:rPr>
            </w:r>
            <w:r w:rsidR="005C578D">
              <w:rPr>
                <w:noProof/>
                <w:webHidden/>
              </w:rPr>
              <w:fldChar w:fldCharType="separate"/>
            </w:r>
            <w:r w:rsidR="006945E1">
              <w:rPr>
                <w:noProof/>
                <w:webHidden/>
              </w:rPr>
              <w:t>40</w:t>
            </w:r>
            <w:r w:rsidR="005C578D">
              <w:rPr>
                <w:noProof/>
                <w:webHidden/>
              </w:rPr>
              <w:fldChar w:fldCharType="end"/>
            </w:r>
          </w:hyperlink>
        </w:p>
        <w:p w:rsidR="005C578D" w:rsidRDefault="00B2372D">
          <w:pPr>
            <w:pStyle w:val="TJ1"/>
            <w:tabs>
              <w:tab w:val="right" w:leader="dot" w:pos="9805"/>
            </w:tabs>
            <w:rPr>
              <w:rFonts w:asciiTheme="minorHAnsi" w:eastAsiaTheme="minorEastAsia" w:hAnsiTheme="minorHAnsi" w:cstheme="minorBidi"/>
              <w:b w:val="0"/>
              <w:bCs w:val="0"/>
              <w:caps w:val="0"/>
              <w:noProof/>
              <w:sz w:val="22"/>
              <w:szCs w:val="22"/>
            </w:rPr>
          </w:pPr>
          <w:hyperlink w:anchor="_Toc132629509" w:history="1">
            <w:r w:rsidR="005C578D" w:rsidRPr="00FA71B9">
              <w:rPr>
                <w:rStyle w:val="Hiperhivatkozs"/>
                <w:noProof/>
              </w:rPr>
              <w:t>XIV. Készletgazdálkodás</w:t>
            </w:r>
            <w:r w:rsidR="005C578D">
              <w:rPr>
                <w:noProof/>
                <w:webHidden/>
              </w:rPr>
              <w:tab/>
            </w:r>
            <w:r w:rsidR="005C578D">
              <w:rPr>
                <w:noProof/>
                <w:webHidden/>
              </w:rPr>
              <w:fldChar w:fldCharType="begin"/>
            </w:r>
            <w:r w:rsidR="005C578D">
              <w:rPr>
                <w:noProof/>
                <w:webHidden/>
              </w:rPr>
              <w:instrText xml:space="preserve"> PAGEREF _Toc132629509 \h </w:instrText>
            </w:r>
            <w:r w:rsidR="005C578D">
              <w:rPr>
                <w:noProof/>
                <w:webHidden/>
              </w:rPr>
            </w:r>
            <w:r w:rsidR="005C578D">
              <w:rPr>
                <w:noProof/>
                <w:webHidden/>
              </w:rPr>
              <w:fldChar w:fldCharType="separate"/>
            </w:r>
            <w:r w:rsidR="006945E1">
              <w:rPr>
                <w:noProof/>
                <w:webHidden/>
              </w:rPr>
              <w:t>43</w:t>
            </w:r>
            <w:r w:rsidR="005C578D">
              <w:rPr>
                <w:noProof/>
                <w:webHidden/>
              </w:rPr>
              <w:fldChar w:fldCharType="end"/>
            </w:r>
          </w:hyperlink>
        </w:p>
        <w:p w:rsidR="005C578D" w:rsidRDefault="00B2372D">
          <w:pPr>
            <w:pStyle w:val="TJ1"/>
            <w:tabs>
              <w:tab w:val="right" w:leader="dot" w:pos="9805"/>
            </w:tabs>
            <w:rPr>
              <w:rFonts w:asciiTheme="minorHAnsi" w:eastAsiaTheme="minorEastAsia" w:hAnsiTheme="minorHAnsi" w:cstheme="minorBidi"/>
              <w:b w:val="0"/>
              <w:bCs w:val="0"/>
              <w:caps w:val="0"/>
              <w:noProof/>
              <w:sz w:val="22"/>
              <w:szCs w:val="22"/>
            </w:rPr>
          </w:pPr>
          <w:hyperlink w:anchor="_Toc132629510" w:history="1">
            <w:r w:rsidR="005C578D" w:rsidRPr="00FA71B9">
              <w:rPr>
                <w:rStyle w:val="Hiperhivatkozs"/>
                <w:noProof/>
              </w:rPr>
              <w:t>XV. Összegzés</w:t>
            </w:r>
            <w:r w:rsidR="005C578D">
              <w:rPr>
                <w:noProof/>
                <w:webHidden/>
              </w:rPr>
              <w:tab/>
            </w:r>
            <w:r w:rsidR="005C578D">
              <w:rPr>
                <w:noProof/>
                <w:webHidden/>
              </w:rPr>
              <w:fldChar w:fldCharType="begin"/>
            </w:r>
            <w:r w:rsidR="005C578D">
              <w:rPr>
                <w:noProof/>
                <w:webHidden/>
              </w:rPr>
              <w:instrText xml:space="preserve"> PAGEREF _Toc132629510 \h </w:instrText>
            </w:r>
            <w:r w:rsidR="005C578D">
              <w:rPr>
                <w:noProof/>
                <w:webHidden/>
              </w:rPr>
            </w:r>
            <w:r w:rsidR="005C578D">
              <w:rPr>
                <w:noProof/>
                <w:webHidden/>
              </w:rPr>
              <w:fldChar w:fldCharType="separate"/>
            </w:r>
            <w:r w:rsidR="006945E1">
              <w:rPr>
                <w:noProof/>
                <w:webHidden/>
              </w:rPr>
              <w:t>43</w:t>
            </w:r>
            <w:r w:rsidR="005C578D">
              <w:rPr>
                <w:noProof/>
                <w:webHidden/>
              </w:rPr>
              <w:fldChar w:fldCharType="end"/>
            </w:r>
          </w:hyperlink>
        </w:p>
        <w:p w:rsidR="0033632B" w:rsidRPr="00DB2665" w:rsidRDefault="0033632B" w:rsidP="003F5883">
          <w:pPr>
            <w:tabs>
              <w:tab w:val="right" w:leader="dot" w:pos="9805"/>
            </w:tabs>
          </w:pPr>
          <w:r w:rsidRPr="00A961D8">
            <w:rPr>
              <w:b/>
              <w:bCs/>
              <w:sz w:val="20"/>
            </w:rPr>
            <w:fldChar w:fldCharType="end"/>
          </w:r>
        </w:p>
      </w:sdtContent>
    </w:sdt>
    <w:p w:rsidR="00D51AA4" w:rsidRPr="00DB2665" w:rsidRDefault="00D51AA4" w:rsidP="003F5883">
      <w:pPr>
        <w:tabs>
          <w:tab w:val="right" w:leader="dot" w:pos="9805"/>
        </w:tabs>
      </w:pPr>
    </w:p>
    <w:p w:rsidR="00D51AA4" w:rsidRPr="00DB2665" w:rsidRDefault="00D51AA4" w:rsidP="003F5883">
      <w:pPr>
        <w:pStyle w:val="TJ1"/>
        <w:tabs>
          <w:tab w:val="right" w:leader="dot" w:pos="9805"/>
        </w:tabs>
        <w:rPr>
          <w:sz w:val="22"/>
        </w:rPr>
      </w:pPr>
    </w:p>
    <w:p w:rsidR="00D51AA4" w:rsidRPr="00DB2665" w:rsidRDefault="00D51AA4" w:rsidP="003F5883">
      <w:pPr>
        <w:tabs>
          <w:tab w:val="right" w:leader="dot" w:pos="9805"/>
        </w:tabs>
        <w:rPr>
          <w:b/>
          <w:sz w:val="22"/>
          <w:u w:val="single"/>
        </w:rPr>
      </w:pPr>
    </w:p>
    <w:p w:rsidR="00D51AA4" w:rsidRPr="00DB2665" w:rsidRDefault="00D51AA4" w:rsidP="003F5883">
      <w:pPr>
        <w:tabs>
          <w:tab w:val="right" w:leader="dot" w:pos="9805"/>
        </w:tabs>
        <w:rPr>
          <w:b/>
          <w:sz w:val="22"/>
          <w:u w:val="single"/>
        </w:rPr>
      </w:pPr>
    </w:p>
    <w:p w:rsidR="00D51AA4" w:rsidRPr="00DB2665" w:rsidRDefault="00D51AA4" w:rsidP="003F5883">
      <w:pPr>
        <w:tabs>
          <w:tab w:val="right" w:leader="dot" w:pos="9805"/>
        </w:tabs>
        <w:rPr>
          <w:b/>
          <w:sz w:val="22"/>
          <w:u w:val="single"/>
        </w:rPr>
      </w:pPr>
      <w:r w:rsidRPr="00DB2665">
        <w:rPr>
          <w:b/>
          <w:sz w:val="22"/>
          <w:u w:val="single"/>
        </w:rPr>
        <w:br w:type="page"/>
      </w:r>
    </w:p>
    <w:p w:rsidR="004328AF" w:rsidRPr="00A86A97" w:rsidRDefault="004328AF" w:rsidP="00A86A97">
      <w:pPr>
        <w:ind w:right="34"/>
        <w:rPr>
          <w:bCs/>
          <w:szCs w:val="24"/>
        </w:rPr>
      </w:pPr>
      <w:bookmarkStart w:id="0" w:name="_Toc311709902"/>
    </w:p>
    <w:p w:rsidR="00D51AA4" w:rsidRPr="007A3439" w:rsidRDefault="0033632B">
      <w:pPr>
        <w:pStyle w:val="Cmsor1"/>
        <w:rPr>
          <w:sz w:val="28"/>
          <w:szCs w:val="28"/>
        </w:rPr>
      </w:pPr>
      <w:bookmarkStart w:id="1" w:name="_Toc132629458"/>
      <w:r w:rsidRPr="007A3439">
        <w:rPr>
          <w:sz w:val="28"/>
          <w:szCs w:val="28"/>
        </w:rPr>
        <w:t xml:space="preserve">I. </w:t>
      </w:r>
      <w:r w:rsidR="00D51AA4" w:rsidRPr="007A3439">
        <w:rPr>
          <w:sz w:val="28"/>
          <w:szCs w:val="28"/>
        </w:rPr>
        <w:t>BEVEZETÉS</w:t>
      </w:r>
      <w:bookmarkEnd w:id="0"/>
      <w:bookmarkEnd w:id="1"/>
    </w:p>
    <w:p w:rsidR="009F6226" w:rsidRPr="00DB2665" w:rsidRDefault="009F6226">
      <w:pPr>
        <w:rPr>
          <w:b/>
          <w:color w:val="0000FF"/>
          <w:sz w:val="16"/>
          <w:szCs w:val="16"/>
        </w:rPr>
      </w:pPr>
    </w:p>
    <w:p w:rsidR="00D51AA4" w:rsidRPr="007A3439" w:rsidRDefault="00D51AA4" w:rsidP="007A3439">
      <w:pPr>
        <w:pStyle w:val="Cmsor2"/>
      </w:pPr>
      <w:bookmarkStart w:id="2" w:name="_Toc132629459"/>
      <w:r w:rsidRPr="007A3439">
        <w:t>A részvénytársaság jogi helyzete és tevékenysége,</w:t>
      </w:r>
      <w:r w:rsidR="007A3439" w:rsidRPr="007A3439">
        <w:t xml:space="preserve"> </w:t>
      </w:r>
      <w:r w:rsidRPr="007A3439">
        <w:t>főbb törvényi előírások és hatásuk a társaság működésére</w:t>
      </w:r>
      <w:bookmarkEnd w:id="2"/>
    </w:p>
    <w:p w:rsidR="007315CA" w:rsidRPr="007A3439" w:rsidRDefault="007315CA" w:rsidP="00EC74F9">
      <w:pPr>
        <w:ind w:right="34"/>
        <w:rPr>
          <w:bCs/>
          <w:szCs w:val="24"/>
        </w:rPr>
      </w:pPr>
    </w:p>
    <w:p w:rsidR="00622C17" w:rsidRPr="007A3439" w:rsidRDefault="00622C17" w:rsidP="00206CF3">
      <w:pPr>
        <w:pStyle w:val="Szvegtrzs"/>
        <w:ind w:right="34"/>
        <w:rPr>
          <w:sz w:val="24"/>
          <w:szCs w:val="24"/>
        </w:rPr>
      </w:pPr>
      <w:r w:rsidRPr="007A3439">
        <w:rPr>
          <w:sz w:val="24"/>
          <w:szCs w:val="24"/>
        </w:rPr>
        <w:t xml:space="preserve">Társaságunk az alaptevékenységét a Magyar Energetikai és Közmű-szabályozási Hivatal (továbbiakban MEKH) által </w:t>
      </w:r>
      <w:r w:rsidR="00E31C36">
        <w:rPr>
          <w:sz w:val="24"/>
          <w:szCs w:val="24"/>
        </w:rPr>
        <w:t xml:space="preserve">a </w:t>
      </w:r>
      <w:r w:rsidRPr="007A3439">
        <w:rPr>
          <w:sz w:val="24"/>
          <w:szCs w:val="24"/>
        </w:rPr>
        <w:t xml:space="preserve">2016. szeptember 16-án a 4058/2016 számon kiadott </w:t>
      </w:r>
      <w:r w:rsidRPr="007A3439">
        <w:rPr>
          <w:b/>
          <w:sz w:val="24"/>
          <w:szCs w:val="24"/>
        </w:rPr>
        <w:t>víziközmű-szolgáltatói engedély és a víziközmű rendszerekre</w:t>
      </w:r>
      <w:r w:rsidRPr="007A3439">
        <w:rPr>
          <w:sz w:val="24"/>
          <w:szCs w:val="24"/>
        </w:rPr>
        <w:t xml:space="preserve"> kiadott </w:t>
      </w:r>
      <w:r w:rsidRPr="007A3439">
        <w:rPr>
          <w:b/>
          <w:sz w:val="24"/>
          <w:szCs w:val="24"/>
        </w:rPr>
        <w:t>működési engedélyek</w:t>
      </w:r>
      <w:r w:rsidRPr="007A3439">
        <w:rPr>
          <w:i/>
          <w:sz w:val="24"/>
          <w:szCs w:val="24"/>
        </w:rPr>
        <w:t xml:space="preserve"> </w:t>
      </w:r>
      <w:r w:rsidRPr="007A3439">
        <w:rPr>
          <w:sz w:val="24"/>
          <w:szCs w:val="24"/>
        </w:rPr>
        <w:t>alapján</w:t>
      </w:r>
      <w:r w:rsidRPr="007A3439">
        <w:rPr>
          <w:i/>
          <w:sz w:val="24"/>
          <w:szCs w:val="24"/>
        </w:rPr>
        <w:t xml:space="preserve"> </w:t>
      </w:r>
      <w:r w:rsidRPr="007A3439">
        <w:rPr>
          <w:sz w:val="24"/>
          <w:szCs w:val="24"/>
        </w:rPr>
        <w:t>végzi.</w:t>
      </w:r>
    </w:p>
    <w:p w:rsidR="001202F1" w:rsidRPr="007A3439" w:rsidRDefault="001202F1" w:rsidP="00206CF3">
      <w:pPr>
        <w:ind w:right="34"/>
        <w:rPr>
          <w:strike/>
          <w:szCs w:val="24"/>
        </w:rPr>
      </w:pPr>
      <w:r w:rsidRPr="007A3439">
        <w:rPr>
          <w:szCs w:val="24"/>
        </w:rPr>
        <w:t>A 2022. évben létesült illetve bővült szennyvízelvezetési és –tisztítási rendszerek új működési engedély illetve módosítás iránti kérelmét az üzemeltetésre történt átvétel napján benyújtottuk a MEKH-nek, amelyeket jóvá is hagytak.</w:t>
      </w:r>
    </w:p>
    <w:p w:rsidR="00470242" w:rsidRPr="007A3439" w:rsidRDefault="00470242" w:rsidP="00206CF3">
      <w:pPr>
        <w:ind w:right="34"/>
        <w:rPr>
          <w:szCs w:val="24"/>
        </w:rPr>
      </w:pPr>
    </w:p>
    <w:p w:rsidR="00470242" w:rsidRPr="007A3439" w:rsidRDefault="00470242" w:rsidP="00206CF3">
      <w:pPr>
        <w:pStyle w:val="Szvegtrzs3"/>
        <w:ind w:right="34"/>
        <w:rPr>
          <w:szCs w:val="24"/>
        </w:rPr>
      </w:pPr>
      <w:r w:rsidRPr="007A3439">
        <w:rPr>
          <w:iCs/>
          <w:szCs w:val="24"/>
        </w:rPr>
        <w:t>2022. évre a MEKH-hez benyújtott felhasználói egyenérték bevallás szerint a 2022. január 1-jén működési engedéllyel rendelkező rendszerekre az</w:t>
      </w:r>
      <w:r w:rsidRPr="007A3439">
        <w:rPr>
          <w:szCs w:val="24"/>
        </w:rPr>
        <w:t xml:space="preserve"> összesített </w:t>
      </w:r>
      <w:r w:rsidRPr="007A3439">
        <w:rPr>
          <w:b/>
          <w:szCs w:val="24"/>
        </w:rPr>
        <w:t>felhasználói egyenérték 280</w:t>
      </w:r>
      <w:r w:rsidR="001202F1" w:rsidRPr="007A3439">
        <w:rPr>
          <w:b/>
          <w:szCs w:val="24"/>
        </w:rPr>
        <w:t> </w:t>
      </w:r>
      <w:r w:rsidRPr="007A3439">
        <w:rPr>
          <w:b/>
          <w:szCs w:val="24"/>
        </w:rPr>
        <w:t>045</w:t>
      </w:r>
      <w:r w:rsidR="001202F1" w:rsidRPr="007A3439">
        <w:rPr>
          <w:i/>
          <w:szCs w:val="24"/>
        </w:rPr>
        <w:t xml:space="preserve"> </w:t>
      </w:r>
      <w:r w:rsidR="001202F1" w:rsidRPr="007A3439">
        <w:rPr>
          <w:szCs w:val="24"/>
        </w:rPr>
        <w:t>volt</w:t>
      </w:r>
      <w:r w:rsidRPr="007A3439">
        <w:rPr>
          <w:szCs w:val="24"/>
        </w:rPr>
        <w:t xml:space="preserve">. </w:t>
      </w:r>
    </w:p>
    <w:p w:rsidR="00470242" w:rsidRPr="007A3439" w:rsidRDefault="00470242" w:rsidP="00206CF3">
      <w:pPr>
        <w:pStyle w:val="Szvegtrzs"/>
        <w:ind w:right="34"/>
        <w:rPr>
          <w:sz w:val="24"/>
          <w:szCs w:val="24"/>
        </w:rPr>
      </w:pPr>
    </w:p>
    <w:p w:rsidR="001202F1" w:rsidRPr="007A3439" w:rsidRDefault="001202F1" w:rsidP="00206CF3">
      <w:pPr>
        <w:ind w:right="34"/>
        <w:rPr>
          <w:szCs w:val="24"/>
        </w:rPr>
      </w:pPr>
      <w:r w:rsidRPr="007A3439">
        <w:rPr>
          <w:szCs w:val="24"/>
        </w:rPr>
        <w:t xml:space="preserve">2022. évben társaságunk 62 ivóvíz ellátási rendszer üzemeltetésével </w:t>
      </w:r>
      <w:r w:rsidR="00445D1B" w:rsidRPr="007A3439">
        <w:rPr>
          <w:szCs w:val="24"/>
        </w:rPr>
        <w:t xml:space="preserve">az </w:t>
      </w:r>
      <w:r w:rsidR="00445D1B" w:rsidRPr="007A3439">
        <w:rPr>
          <w:b/>
          <w:iCs/>
          <w:szCs w:val="24"/>
        </w:rPr>
        <w:t>ivóvíz ellátást</w:t>
      </w:r>
      <w:r w:rsidR="00445D1B" w:rsidRPr="007A3439">
        <w:rPr>
          <w:b/>
          <w:szCs w:val="24"/>
        </w:rPr>
        <w:t xml:space="preserve"> </w:t>
      </w:r>
      <w:r w:rsidRPr="007A3439">
        <w:rPr>
          <w:b/>
          <w:iCs/>
          <w:szCs w:val="24"/>
        </w:rPr>
        <w:t>207 településen</w:t>
      </w:r>
      <w:r w:rsidRPr="007A3439">
        <w:rPr>
          <w:szCs w:val="24"/>
        </w:rPr>
        <w:t xml:space="preserve"> </w:t>
      </w:r>
      <w:r w:rsidR="00445D1B" w:rsidRPr="007A3439">
        <w:rPr>
          <w:szCs w:val="24"/>
        </w:rPr>
        <w:t>biztosította.</w:t>
      </w:r>
    </w:p>
    <w:p w:rsidR="001202F1" w:rsidRPr="007A3439" w:rsidRDefault="001202F1" w:rsidP="00206CF3">
      <w:pPr>
        <w:ind w:right="34"/>
        <w:rPr>
          <w:szCs w:val="24"/>
        </w:rPr>
      </w:pPr>
    </w:p>
    <w:p w:rsidR="001202F1" w:rsidRPr="00E31C36" w:rsidRDefault="001202F1" w:rsidP="00206CF3">
      <w:pPr>
        <w:pStyle w:val="Default"/>
        <w:ind w:right="34"/>
        <w:jc w:val="both"/>
      </w:pPr>
      <w:r w:rsidRPr="00E31C36">
        <w:rPr>
          <w:rFonts w:ascii="Times New Roman" w:hAnsi="Times New Roman" w:cs="Times New Roman"/>
          <w:b/>
          <w:bCs/>
        </w:rPr>
        <w:t>2022. május 12-én</w:t>
      </w:r>
      <w:r w:rsidRPr="00E31C36">
        <w:rPr>
          <w:rFonts w:ascii="Times New Roman" w:hAnsi="Times New Roman" w:cs="Times New Roman"/>
          <w:bCs/>
        </w:rPr>
        <w:t xml:space="preserve"> történt </w:t>
      </w:r>
      <w:r w:rsidRPr="00E31C36">
        <w:rPr>
          <w:rFonts w:ascii="Times New Roman" w:hAnsi="Times New Roman" w:cs="Times New Roman"/>
          <w:b/>
          <w:bCs/>
        </w:rPr>
        <w:t>Magyarszombatfa település újonnan kiépített szennyvíztisztító telepének üzembe helyezése</w:t>
      </w:r>
      <w:r w:rsidRPr="00E31C36">
        <w:rPr>
          <w:rFonts w:ascii="Times New Roman" w:hAnsi="Times New Roman" w:cs="Times New Roman"/>
          <w:bCs/>
        </w:rPr>
        <w:t>, amely a 2006. évben létesített, majd működésképtelenné válása miatt a MEKH által 2016. évben víziközmű-pótló létesítménnyé átminősített rendszer szennyvíztisztító telepének helyén épült fel.</w:t>
      </w:r>
    </w:p>
    <w:p w:rsidR="001202F1" w:rsidRPr="00E31C36" w:rsidRDefault="001202F1" w:rsidP="00206CF3">
      <w:pPr>
        <w:pStyle w:val="Default"/>
        <w:ind w:right="34"/>
        <w:jc w:val="both"/>
        <w:rPr>
          <w:rFonts w:ascii="Times New Roman" w:hAnsi="Times New Roman" w:cs="Times New Roman"/>
          <w:bCs/>
        </w:rPr>
      </w:pPr>
      <w:r w:rsidRPr="00E31C36">
        <w:rPr>
          <w:rFonts w:ascii="Times New Roman" w:hAnsi="Times New Roman" w:cs="Times New Roman"/>
          <w:b/>
          <w:bCs/>
        </w:rPr>
        <w:t>2022. május 30-tól Ispánk és Szalafő település szennyvizének tisztítása Őriszentpéteren történik</w:t>
      </w:r>
      <w:r w:rsidRPr="00E31C36">
        <w:rPr>
          <w:rFonts w:ascii="Times New Roman" w:hAnsi="Times New Roman" w:cs="Times New Roman"/>
          <w:bCs/>
        </w:rPr>
        <w:t>, miután – a Magyarszombatfához hasonló helyzet és eljárás következtében - e két településen is megszűnt a szennyvíztisztítás, a szennyvíz Őriszentpéterre történő átvezetésére új vezetékszakaszok és átemelők létesültek.</w:t>
      </w:r>
    </w:p>
    <w:p w:rsidR="00206CF3" w:rsidRPr="00E31C36" w:rsidRDefault="00206CF3" w:rsidP="00206CF3">
      <w:pPr>
        <w:pStyle w:val="Default"/>
        <w:ind w:right="34"/>
        <w:jc w:val="both"/>
        <w:rPr>
          <w:rFonts w:ascii="Times New Roman" w:hAnsi="Times New Roman" w:cs="Times New Roman"/>
          <w:bCs/>
        </w:rPr>
      </w:pPr>
      <w:r w:rsidRPr="00E31C36">
        <w:rPr>
          <w:rFonts w:ascii="Times New Roman" w:hAnsi="Times New Roman" w:cs="Times New Roman"/>
          <w:b/>
          <w:bCs/>
        </w:rPr>
        <w:t xml:space="preserve">2022. október 25-től üzemelteti társaságunk </w:t>
      </w:r>
      <w:r w:rsidR="00445D1B" w:rsidRPr="00E31C36">
        <w:rPr>
          <w:rFonts w:ascii="Times New Roman" w:hAnsi="Times New Roman" w:cs="Times New Roman"/>
          <w:b/>
          <w:bCs/>
        </w:rPr>
        <w:t xml:space="preserve">az </w:t>
      </w:r>
      <w:r w:rsidRPr="00E31C36">
        <w:rPr>
          <w:rFonts w:ascii="Times New Roman" w:hAnsi="Times New Roman" w:cs="Times New Roman"/>
          <w:b/>
          <w:bCs/>
        </w:rPr>
        <w:t xml:space="preserve">Alsóújlak </w:t>
      </w:r>
      <w:r w:rsidR="00445D1B" w:rsidRPr="00E31C36">
        <w:rPr>
          <w:rFonts w:ascii="Times New Roman" w:hAnsi="Times New Roman" w:cs="Times New Roman"/>
          <w:b/>
          <w:bCs/>
        </w:rPr>
        <w:t xml:space="preserve">településen kiépített </w:t>
      </w:r>
      <w:r w:rsidRPr="00E31C36">
        <w:rPr>
          <w:rFonts w:ascii="Times New Roman" w:hAnsi="Times New Roman" w:cs="Times New Roman"/>
          <w:b/>
          <w:bCs/>
        </w:rPr>
        <w:t>szennyvízelvezető hálózat</w:t>
      </w:r>
      <w:r w:rsidR="00445D1B" w:rsidRPr="00E31C36">
        <w:rPr>
          <w:rFonts w:ascii="Times New Roman" w:hAnsi="Times New Roman" w:cs="Times New Roman"/>
          <w:b/>
          <w:bCs/>
        </w:rPr>
        <w:t>o</w:t>
      </w:r>
      <w:r w:rsidRPr="00E31C36">
        <w:rPr>
          <w:rFonts w:ascii="Times New Roman" w:hAnsi="Times New Roman" w:cs="Times New Roman"/>
          <w:b/>
          <w:bCs/>
        </w:rPr>
        <w:t>t</w:t>
      </w:r>
      <w:r w:rsidRPr="00E31C36">
        <w:rPr>
          <w:rFonts w:ascii="Times New Roman" w:hAnsi="Times New Roman" w:cs="Times New Roman"/>
          <w:bCs/>
        </w:rPr>
        <w:t>, amely Vasvár szennyvíztisztító telepéhez kapcsolódik.</w:t>
      </w:r>
    </w:p>
    <w:p w:rsidR="001202F1" w:rsidRPr="007A3439" w:rsidRDefault="001202F1" w:rsidP="00206CF3">
      <w:pPr>
        <w:pStyle w:val="Default"/>
        <w:ind w:right="34"/>
        <w:jc w:val="both"/>
        <w:rPr>
          <w:b/>
        </w:rPr>
      </w:pPr>
    </w:p>
    <w:p w:rsidR="001202F1" w:rsidRPr="007A3439" w:rsidRDefault="001202F1" w:rsidP="00206CF3">
      <w:pPr>
        <w:ind w:right="34"/>
        <w:rPr>
          <w:szCs w:val="24"/>
        </w:rPr>
      </w:pPr>
      <w:r w:rsidRPr="007A3439">
        <w:rPr>
          <w:szCs w:val="24"/>
        </w:rPr>
        <w:t xml:space="preserve">2022. év végén így </w:t>
      </w:r>
      <w:r w:rsidRPr="007A3439">
        <w:rPr>
          <w:b/>
          <w:szCs w:val="24"/>
        </w:rPr>
        <w:t>13</w:t>
      </w:r>
      <w:r w:rsidR="00445D1B" w:rsidRPr="007A3439">
        <w:rPr>
          <w:b/>
          <w:szCs w:val="24"/>
        </w:rPr>
        <w:t>4</w:t>
      </w:r>
      <w:r w:rsidRPr="007A3439">
        <w:rPr>
          <w:b/>
          <w:szCs w:val="24"/>
        </w:rPr>
        <w:t xml:space="preserve"> </w:t>
      </w:r>
      <w:r w:rsidRPr="007A3439">
        <w:rPr>
          <w:b/>
          <w:iCs/>
          <w:szCs w:val="24"/>
        </w:rPr>
        <w:t>település szennyvízelvezető hálózat</w:t>
      </w:r>
      <w:r w:rsidRPr="007A3439">
        <w:rPr>
          <w:b/>
          <w:szCs w:val="24"/>
        </w:rPr>
        <w:t>át, 4</w:t>
      </w:r>
      <w:r w:rsidR="00445D1B" w:rsidRPr="007A3439">
        <w:rPr>
          <w:b/>
          <w:szCs w:val="24"/>
        </w:rPr>
        <w:t>3</w:t>
      </w:r>
      <w:r w:rsidRPr="007A3439">
        <w:rPr>
          <w:b/>
          <w:szCs w:val="24"/>
        </w:rPr>
        <w:t xml:space="preserve"> </w:t>
      </w:r>
      <w:r w:rsidRPr="007A3439">
        <w:rPr>
          <w:b/>
          <w:iCs/>
          <w:szCs w:val="24"/>
        </w:rPr>
        <w:t>szennyvíztisztító telep</w:t>
      </w:r>
      <w:r w:rsidRPr="007A3439">
        <w:rPr>
          <w:b/>
          <w:szCs w:val="24"/>
        </w:rPr>
        <w:t xml:space="preserve">et, valamint egy üdülőtelep (Hosszúpereszteg-Szajk) részlegesen kiépített szennyvízelvezetését </w:t>
      </w:r>
      <w:r w:rsidRPr="007A3439">
        <w:rPr>
          <w:b/>
          <w:szCs w:val="24"/>
        </w:rPr>
        <w:lastRenderedPageBreak/>
        <w:t>és –tisztítását üzemeltettük</w:t>
      </w:r>
      <w:r w:rsidRPr="007A3439">
        <w:rPr>
          <w:szCs w:val="24"/>
        </w:rPr>
        <w:t>.</w:t>
      </w:r>
      <w:r w:rsidRPr="007A3439">
        <w:rPr>
          <w:i/>
          <w:szCs w:val="24"/>
        </w:rPr>
        <w:t xml:space="preserve"> Szentgotthárd </w:t>
      </w:r>
      <w:r w:rsidRPr="007A3439">
        <w:rPr>
          <w:szCs w:val="24"/>
        </w:rPr>
        <w:t>valamint</w:t>
      </w:r>
      <w:r w:rsidRPr="007A3439">
        <w:rPr>
          <w:i/>
          <w:szCs w:val="24"/>
        </w:rPr>
        <w:t xml:space="preserve"> </w:t>
      </w:r>
      <w:r w:rsidRPr="007A3439">
        <w:rPr>
          <w:i/>
          <w:iCs/>
          <w:szCs w:val="24"/>
        </w:rPr>
        <w:t>Csörötnek és térsége</w:t>
      </w:r>
      <w:r w:rsidRPr="007A3439">
        <w:rPr>
          <w:b/>
          <w:bCs/>
          <w:szCs w:val="24"/>
        </w:rPr>
        <w:t xml:space="preserve"> </w:t>
      </w:r>
      <w:r w:rsidRPr="007A3439">
        <w:rPr>
          <w:szCs w:val="24"/>
        </w:rPr>
        <w:t xml:space="preserve">(9 település) szennyvizének tisztítása Ausztriában, </w:t>
      </w:r>
      <w:r w:rsidRPr="007A3439">
        <w:rPr>
          <w:i/>
          <w:szCs w:val="24"/>
        </w:rPr>
        <w:t>Vát</w:t>
      </w:r>
      <w:r w:rsidRPr="007A3439">
        <w:rPr>
          <w:szCs w:val="24"/>
        </w:rPr>
        <w:t xml:space="preserve"> településé pedig a – Sopronvíz Zrt. szolgáltatási területéhez tartozó – Bükön lévő szennyvíztisztító telepen történik.</w:t>
      </w:r>
    </w:p>
    <w:p w:rsidR="002F6AAB" w:rsidRPr="007A3439" w:rsidRDefault="002F6AAB" w:rsidP="00EC74F9">
      <w:pPr>
        <w:ind w:right="34"/>
        <w:rPr>
          <w:szCs w:val="24"/>
        </w:rPr>
      </w:pPr>
    </w:p>
    <w:p w:rsidR="009F6226" w:rsidRPr="007A3439" w:rsidRDefault="00F22282" w:rsidP="002F6AAB">
      <w:pPr>
        <w:ind w:right="34"/>
        <w:rPr>
          <w:szCs w:val="24"/>
        </w:rPr>
      </w:pPr>
      <w:r w:rsidRPr="007A3439">
        <w:rPr>
          <w:szCs w:val="24"/>
        </w:rPr>
        <w:t xml:space="preserve">Társaságunk működését </w:t>
      </w:r>
      <w:r w:rsidR="002F6AAB" w:rsidRPr="007A3439">
        <w:rPr>
          <w:szCs w:val="24"/>
        </w:rPr>
        <w:t xml:space="preserve">továbbra is </w:t>
      </w:r>
      <w:r w:rsidRPr="007A3439">
        <w:rPr>
          <w:szCs w:val="24"/>
        </w:rPr>
        <w:t xml:space="preserve">nagymértékben </w:t>
      </w:r>
      <w:r w:rsidR="00D51AA4" w:rsidRPr="007A3439">
        <w:rPr>
          <w:szCs w:val="24"/>
        </w:rPr>
        <w:t>határoz</w:t>
      </w:r>
      <w:r w:rsidR="002F6AAB" w:rsidRPr="007A3439">
        <w:rPr>
          <w:szCs w:val="24"/>
        </w:rPr>
        <w:t>t</w:t>
      </w:r>
      <w:r w:rsidR="00D51AA4" w:rsidRPr="007A3439">
        <w:rPr>
          <w:szCs w:val="24"/>
        </w:rPr>
        <w:t>a</w:t>
      </w:r>
      <w:r w:rsidR="002F6AAB" w:rsidRPr="007A3439">
        <w:rPr>
          <w:szCs w:val="24"/>
        </w:rPr>
        <w:t xml:space="preserve"> meg</w:t>
      </w:r>
      <w:r w:rsidR="00D51AA4" w:rsidRPr="007A3439">
        <w:rPr>
          <w:szCs w:val="24"/>
        </w:rPr>
        <w:t xml:space="preserve"> </w:t>
      </w:r>
      <w:r w:rsidR="00D51AA4" w:rsidRPr="007A3439">
        <w:rPr>
          <w:b/>
          <w:szCs w:val="24"/>
        </w:rPr>
        <w:t>a v</w:t>
      </w:r>
      <w:r w:rsidR="007E33ED" w:rsidRPr="007A3439">
        <w:rPr>
          <w:b/>
          <w:szCs w:val="24"/>
        </w:rPr>
        <w:t xml:space="preserve">íziközmű-szolgáltatásról szóló </w:t>
      </w:r>
      <w:r w:rsidR="00D51AA4" w:rsidRPr="007A3439">
        <w:rPr>
          <w:b/>
          <w:szCs w:val="24"/>
        </w:rPr>
        <w:t>2011. évi CCIX. törvény</w:t>
      </w:r>
      <w:r w:rsidR="00D51AA4" w:rsidRPr="007A3439">
        <w:rPr>
          <w:szCs w:val="24"/>
        </w:rPr>
        <w:t xml:space="preserve"> (továbbiakban Vksztv.) és az egyes re</w:t>
      </w:r>
      <w:r w:rsidR="007E33ED" w:rsidRPr="007A3439">
        <w:rPr>
          <w:szCs w:val="24"/>
        </w:rPr>
        <w:t xml:space="preserve">ndelkezéseinek </w:t>
      </w:r>
      <w:r w:rsidR="00D51AA4" w:rsidRPr="007A3439">
        <w:rPr>
          <w:szCs w:val="24"/>
        </w:rPr>
        <w:t xml:space="preserve">végrehajtásáról szóló </w:t>
      </w:r>
      <w:r w:rsidR="00D51AA4" w:rsidRPr="007A3439">
        <w:rPr>
          <w:b/>
          <w:szCs w:val="24"/>
        </w:rPr>
        <w:t>58/2013.</w:t>
      </w:r>
      <w:r w:rsidR="00304307" w:rsidRPr="007A3439">
        <w:rPr>
          <w:b/>
          <w:szCs w:val="24"/>
        </w:rPr>
        <w:t xml:space="preserve"> </w:t>
      </w:r>
      <w:r w:rsidR="00D51AA4" w:rsidRPr="007A3439">
        <w:rPr>
          <w:b/>
          <w:szCs w:val="24"/>
        </w:rPr>
        <w:t xml:space="preserve"> (II. 27.) Korm. rendelet</w:t>
      </w:r>
      <w:r w:rsidR="00D51AA4" w:rsidRPr="007A3439">
        <w:rPr>
          <w:szCs w:val="24"/>
        </w:rPr>
        <w:t>.</w:t>
      </w:r>
    </w:p>
    <w:p w:rsidR="00197711" w:rsidRPr="007A3439" w:rsidRDefault="00E10485" w:rsidP="002F6AAB">
      <w:pPr>
        <w:ind w:right="34"/>
        <w:rPr>
          <w:szCs w:val="24"/>
        </w:rPr>
      </w:pPr>
      <w:r w:rsidRPr="007A3439">
        <w:rPr>
          <w:szCs w:val="24"/>
        </w:rPr>
        <w:t xml:space="preserve">A Vksztv. 5/A. § (1) alapján a víziközmű-szolgáltatás alapelvei, az e törvény és a végrehajtására kiadott jogszabályok, valamint a Hivatal határozataiba foglalt előírások érvényre juttatása érdekében </w:t>
      </w:r>
      <w:r w:rsidRPr="007A3439">
        <w:rPr>
          <w:b/>
          <w:szCs w:val="24"/>
        </w:rPr>
        <w:t>a Hivatal rendszeresen felügyel</w:t>
      </w:r>
      <w:r w:rsidRPr="007A3439">
        <w:rPr>
          <w:szCs w:val="24"/>
        </w:rPr>
        <w:t>i a víziközmű-szolgáltatók tevékenységét. A</w:t>
      </w:r>
      <w:r w:rsidR="002F6AAB" w:rsidRPr="007A3439">
        <w:rPr>
          <w:szCs w:val="24"/>
        </w:rPr>
        <w:t>z</w:t>
      </w:r>
      <w:r w:rsidRPr="007A3439">
        <w:rPr>
          <w:szCs w:val="24"/>
        </w:rPr>
        <w:t xml:space="preserve"> 5/A. § (3) alapján </w:t>
      </w:r>
      <w:r w:rsidRPr="007A3439">
        <w:rPr>
          <w:b/>
          <w:szCs w:val="24"/>
        </w:rPr>
        <w:t>legalább hároméves ciklusonként</w:t>
      </w:r>
      <w:r w:rsidRPr="007A3439">
        <w:rPr>
          <w:szCs w:val="24"/>
        </w:rPr>
        <w:t xml:space="preserve"> a működési területre kiterjedő törvényességi, szakszerűségi és hatékonysági átfogó ellenőrzést</w:t>
      </w:r>
      <w:r w:rsidR="00C04C29" w:rsidRPr="007A3439">
        <w:rPr>
          <w:szCs w:val="24"/>
        </w:rPr>
        <w:t xml:space="preserve"> végez.</w:t>
      </w:r>
      <w:r w:rsidR="00197711" w:rsidRPr="007A3439">
        <w:rPr>
          <w:szCs w:val="24"/>
        </w:rPr>
        <w:t xml:space="preserve"> Társaságunkat 2016. évben a 2014-2015. éveket illetően, 2020. évben a </w:t>
      </w:r>
      <w:r w:rsidR="00187BFF" w:rsidRPr="007A3439">
        <w:rPr>
          <w:szCs w:val="24"/>
        </w:rPr>
        <w:br/>
      </w:r>
      <w:r w:rsidR="00197711" w:rsidRPr="007A3439">
        <w:rPr>
          <w:szCs w:val="24"/>
        </w:rPr>
        <w:t>2018-2019. éveket illetően ellenőrizték.</w:t>
      </w:r>
    </w:p>
    <w:p w:rsidR="002F6AAB" w:rsidRPr="007A3439" w:rsidRDefault="002F6AAB" w:rsidP="002F6AAB">
      <w:pPr>
        <w:ind w:right="34"/>
        <w:rPr>
          <w:b/>
          <w:szCs w:val="24"/>
        </w:rPr>
      </w:pPr>
      <w:r w:rsidRPr="007A3439">
        <w:rPr>
          <w:b/>
          <w:szCs w:val="24"/>
        </w:rPr>
        <w:t>2023. február 6-án indult a 2021-2022. évek ellenőrzése</w:t>
      </w:r>
      <w:r w:rsidRPr="007A3439">
        <w:rPr>
          <w:szCs w:val="24"/>
        </w:rPr>
        <w:t>. 15 napon belül kellett megtenni elektronikus úton a kért nyilatkozatokat, illetve csatolni a kért iratokat. Helyszí</w:t>
      </w:r>
      <w:r w:rsidR="001C0D81" w:rsidRPr="007A3439">
        <w:rPr>
          <w:szCs w:val="24"/>
        </w:rPr>
        <w:t xml:space="preserve">ni ellenőrzésre </w:t>
      </w:r>
      <w:r w:rsidR="001C0D81" w:rsidRPr="00CA36D0">
        <w:rPr>
          <w:szCs w:val="24"/>
        </w:rPr>
        <w:t xml:space="preserve">2023. április 18- </w:t>
      </w:r>
      <w:r w:rsidR="001C0D81" w:rsidRPr="00983C62">
        <w:rPr>
          <w:szCs w:val="24"/>
        </w:rPr>
        <w:t>20-ig</w:t>
      </w:r>
      <w:r w:rsidRPr="00983C62">
        <w:rPr>
          <w:szCs w:val="24"/>
        </w:rPr>
        <w:t xml:space="preserve"> kerül sor.</w:t>
      </w:r>
      <w:r w:rsidRPr="00CA36D0">
        <w:rPr>
          <w:b/>
          <w:szCs w:val="24"/>
        </w:rPr>
        <w:t xml:space="preserve"> Az ügyintézési határidő 135 nap.</w:t>
      </w:r>
    </w:p>
    <w:p w:rsidR="00A54F90" w:rsidRDefault="00A54F90">
      <w:pPr>
        <w:jc w:val="left"/>
        <w:rPr>
          <w:b/>
          <w:bCs/>
          <w:szCs w:val="24"/>
        </w:rPr>
      </w:pPr>
      <w:r>
        <w:rPr>
          <w:b/>
          <w:bCs/>
          <w:szCs w:val="24"/>
        </w:rPr>
        <w:br w:type="page"/>
      </w:r>
    </w:p>
    <w:p w:rsidR="00917C00" w:rsidRPr="007A3439" w:rsidRDefault="00917C00" w:rsidP="00EC74F9">
      <w:pPr>
        <w:pStyle w:val="Szvegtrzs3"/>
        <w:ind w:right="34"/>
        <w:rPr>
          <w:b/>
          <w:bCs/>
          <w:szCs w:val="24"/>
        </w:rPr>
      </w:pPr>
    </w:p>
    <w:p w:rsidR="00B0659E" w:rsidRPr="007A3439" w:rsidRDefault="00D51AA4" w:rsidP="00EC74F9">
      <w:pPr>
        <w:ind w:right="34"/>
        <w:rPr>
          <w:szCs w:val="24"/>
        </w:rPr>
      </w:pPr>
      <w:r w:rsidRPr="007A3439">
        <w:rPr>
          <w:b/>
          <w:iCs/>
          <w:szCs w:val="24"/>
        </w:rPr>
        <w:t>Másodlagos tevékenységek</w:t>
      </w:r>
      <w:r w:rsidRPr="007A3439">
        <w:rPr>
          <w:szCs w:val="24"/>
        </w:rPr>
        <w:t xml:space="preserve">: ipari víz termelés és -szolgáltatás, fürdőszolgáltatás (Szombathelyi </w:t>
      </w:r>
      <w:r w:rsidR="00EC74F9" w:rsidRPr="007A3439">
        <w:rPr>
          <w:szCs w:val="24"/>
        </w:rPr>
        <w:br/>
      </w:r>
      <w:r w:rsidR="00B0659E" w:rsidRPr="007A3439">
        <w:rPr>
          <w:szCs w:val="24"/>
        </w:rPr>
        <w:t>Fürdőkomplexum</w:t>
      </w:r>
      <w:r w:rsidRPr="007A3439">
        <w:rPr>
          <w:szCs w:val="24"/>
        </w:rPr>
        <w:t xml:space="preserve"> üzemeltetése), ipari szolgáltatás</w:t>
      </w:r>
      <w:r w:rsidR="00166C6D" w:rsidRPr="007A3439">
        <w:rPr>
          <w:szCs w:val="24"/>
        </w:rPr>
        <w:t xml:space="preserve"> (víz- és szennyvíz szivattyúk javítása)</w:t>
      </w:r>
      <w:r w:rsidRPr="007A3439">
        <w:rPr>
          <w:szCs w:val="24"/>
        </w:rPr>
        <w:t>, építőipari tevékenység (víz- és csatornahálózat bővítések, hálózati rekonstru</w:t>
      </w:r>
      <w:r w:rsidR="00166C6D" w:rsidRPr="007A3439">
        <w:rPr>
          <w:szCs w:val="24"/>
        </w:rPr>
        <w:t>kciók, víz- és csatornabekötések</w:t>
      </w:r>
      <w:r w:rsidRPr="007A3439">
        <w:rPr>
          <w:szCs w:val="24"/>
        </w:rPr>
        <w:t xml:space="preserve">), az alaptevékenységhez kapcsolódó egyéb szolgáltatások </w:t>
      </w:r>
      <w:r w:rsidR="00166C6D" w:rsidRPr="007A3439">
        <w:rPr>
          <w:szCs w:val="24"/>
        </w:rPr>
        <w:t>(laboratóriumi vizsgálatok, csapadékcsatorna karbantartás, csatorna tisztítás, csatorna kamerázás, szippantott szennyvizek fogadása, komposzt értékesítés)</w:t>
      </w:r>
      <w:r w:rsidRPr="007A3439">
        <w:rPr>
          <w:szCs w:val="24"/>
        </w:rPr>
        <w:t>, valamint alaptevékenysé</w:t>
      </w:r>
      <w:r w:rsidR="00166C6D" w:rsidRPr="007A3439">
        <w:rPr>
          <w:szCs w:val="24"/>
        </w:rPr>
        <w:t>gen kívüli egyéb tevékenységek (bérbeadás, anyagértékesítés).</w:t>
      </w:r>
    </w:p>
    <w:p w:rsidR="00EE3254" w:rsidRDefault="00EE3254" w:rsidP="00EC74F9">
      <w:pPr>
        <w:ind w:right="34"/>
        <w:jc w:val="left"/>
        <w:rPr>
          <w:szCs w:val="24"/>
        </w:rPr>
      </w:pPr>
    </w:p>
    <w:p w:rsidR="008449BD" w:rsidRPr="007A3439" w:rsidRDefault="008449BD" w:rsidP="007958E9">
      <w:pPr>
        <w:autoSpaceDE w:val="0"/>
        <w:autoSpaceDN w:val="0"/>
        <w:adjustRightInd w:val="0"/>
        <w:ind w:right="34"/>
        <w:rPr>
          <w:i/>
          <w:iCs/>
          <w:strike/>
          <w:szCs w:val="24"/>
        </w:rPr>
      </w:pPr>
      <w:r w:rsidRPr="007A3439">
        <w:rPr>
          <w:szCs w:val="24"/>
        </w:rPr>
        <w:t xml:space="preserve">A Vksztv. 1.§ (1) k) rögzíti a </w:t>
      </w:r>
      <w:r w:rsidRPr="007A3439">
        <w:rPr>
          <w:b/>
          <w:bCs/>
          <w:szCs w:val="24"/>
        </w:rPr>
        <w:t>keresztfinanszírozás tilalmának alapelvét</w:t>
      </w:r>
      <w:r w:rsidRPr="007A3439">
        <w:rPr>
          <w:szCs w:val="24"/>
        </w:rPr>
        <w:t>:</w:t>
      </w:r>
    </w:p>
    <w:p w:rsidR="008449BD" w:rsidRPr="007A3439" w:rsidRDefault="008449BD" w:rsidP="007958E9">
      <w:pPr>
        <w:autoSpaceDE w:val="0"/>
        <w:autoSpaceDN w:val="0"/>
        <w:adjustRightInd w:val="0"/>
        <w:ind w:right="34"/>
        <w:rPr>
          <w:szCs w:val="24"/>
        </w:rPr>
      </w:pPr>
      <w:r w:rsidRPr="007A3439">
        <w:rPr>
          <w:szCs w:val="24"/>
        </w:rPr>
        <w:t xml:space="preserve">A törvény előírásai alapján nem finanszírozhatók az elsődleges víziközmű-szolgáltatási tevékenységek eredményéből a másodlagos tevékenységek, sőt elsődleges tevékenységek között is érvényes ez az előírás. </w:t>
      </w:r>
    </w:p>
    <w:p w:rsidR="000C2DFE" w:rsidRPr="007A3439" w:rsidRDefault="000C2DFE" w:rsidP="007958E9">
      <w:pPr>
        <w:ind w:right="34"/>
        <w:rPr>
          <w:szCs w:val="24"/>
        </w:rPr>
      </w:pPr>
    </w:p>
    <w:p w:rsidR="00660671" w:rsidRPr="007A3439" w:rsidRDefault="00660671" w:rsidP="007958E9">
      <w:pPr>
        <w:ind w:right="34"/>
        <w:rPr>
          <w:b/>
          <w:iCs/>
          <w:szCs w:val="24"/>
        </w:rPr>
      </w:pPr>
      <w:r w:rsidRPr="007A3439">
        <w:rPr>
          <w:b/>
          <w:szCs w:val="24"/>
        </w:rPr>
        <w:t>Társaságunk</w:t>
      </w:r>
      <w:r w:rsidRPr="007A3439">
        <w:rPr>
          <w:szCs w:val="24"/>
        </w:rPr>
        <w:t xml:space="preserve"> "Működtetési és támogatási szerződés" keretében </w:t>
      </w:r>
      <w:r w:rsidRPr="007A3439">
        <w:rPr>
          <w:b/>
          <w:szCs w:val="24"/>
        </w:rPr>
        <w:t>üzemelteti</w:t>
      </w:r>
      <w:r w:rsidRPr="007A3439">
        <w:rPr>
          <w:szCs w:val="24"/>
        </w:rPr>
        <w:t xml:space="preserve"> a Szombathely MJV Önkormányzata tulajdonában lévő </w:t>
      </w:r>
      <w:r w:rsidRPr="007A3439">
        <w:rPr>
          <w:b/>
          <w:szCs w:val="24"/>
        </w:rPr>
        <w:t>fedett uszodát és termálfürdőt</w:t>
      </w:r>
      <w:r w:rsidRPr="007A3439">
        <w:rPr>
          <w:szCs w:val="24"/>
        </w:rPr>
        <w:t xml:space="preserve">, </w:t>
      </w:r>
      <w:r w:rsidRPr="007A3439">
        <w:rPr>
          <w:b/>
          <w:iCs/>
          <w:szCs w:val="24"/>
        </w:rPr>
        <w:t>valamint a TAO beruházás során létrejött új létesítményt.</w:t>
      </w:r>
    </w:p>
    <w:p w:rsidR="00660671" w:rsidRPr="007A3439" w:rsidRDefault="00660671" w:rsidP="007958E9">
      <w:pPr>
        <w:ind w:right="34"/>
        <w:rPr>
          <w:iCs/>
          <w:szCs w:val="24"/>
        </w:rPr>
      </w:pPr>
      <w:r w:rsidRPr="007A3439">
        <w:rPr>
          <w:iCs/>
          <w:szCs w:val="24"/>
        </w:rPr>
        <w:t>A fürdőszolgáltatási tevékenység a korábbi években is veszteséges volt, de az energiaválság következtében kialakult magas energiaárak miatt szükségessé vált a létesítmény részleges bezárása.</w:t>
      </w:r>
    </w:p>
    <w:p w:rsidR="00660671" w:rsidRPr="007A3439" w:rsidRDefault="00660671" w:rsidP="00A44E37">
      <w:pPr>
        <w:ind w:right="34"/>
        <w:rPr>
          <w:szCs w:val="24"/>
        </w:rPr>
      </w:pPr>
      <w:r w:rsidRPr="007A3439">
        <w:rPr>
          <w:szCs w:val="24"/>
        </w:rPr>
        <w:t>Szombathely MJV Önkormányzata döntése értelmében 2022. október 3-tól az energetikai megtakarítások érdekében, hasonlóan a COVID-járvánnyal kapcsolatos működéshez, csak az AVUS-épületben található 33 m-es medence és a kiszolgáló egységek működ</w:t>
      </w:r>
      <w:r w:rsidR="00D92469" w:rsidRPr="007A3439">
        <w:rPr>
          <w:szCs w:val="24"/>
        </w:rPr>
        <w:t>t</w:t>
      </w:r>
      <w:r w:rsidR="00A44E37" w:rsidRPr="007A3439">
        <w:rPr>
          <w:szCs w:val="24"/>
        </w:rPr>
        <w:t>ek.</w:t>
      </w:r>
    </w:p>
    <w:p w:rsidR="002E62B9" w:rsidRPr="007A3439" w:rsidRDefault="002E62B9" w:rsidP="00874BE4">
      <w:pPr>
        <w:ind w:right="34"/>
        <w:rPr>
          <w:szCs w:val="24"/>
        </w:rPr>
      </w:pPr>
    </w:p>
    <w:p w:rsidR="003F5A9B" w:rsidRPr="007A3439" w:rsidRDefault="00D51AA4" w:rsidP="004F56D6">
      <w:pPr>
        <w:ind w:right="34"/>
        <w:rPr>
          <w:color w:val="000000"/>
          <w:szCs w:val="24"/>
        </w:rPr>
      </w:pPr>
      <w:bookmarkStart w:id="3" w:name="_Toc311706810"/>
      <w:r w:rsidRPr="007A3439">
        <w:rPr>
          <w:color w:val="000000"/>
          <w:szCs w:val="24"/>
        </w:rPr>
        <w:t xml:space="preserve">Társaságunk kiemelt feladata </w:t>
      </w:r>
      <w:r w:rsidRPr="007A3439">
        <w:rPr>
          <w:i/>
          <w:color w:val="000000"/>
          <w:szCs w:val="24"/>
        </w:rPr>
        <w:t>az önkormányzati tulajdonú víziközmű-vagyon és a</w:t>
      </w:r>
      <w:r w:rsidR="007958E9" w:rsidRPr="007A3439">
        <w:rPr>
          <w:i/>
          <w:color w:val="000000"/>
          <w:szCs w:val="24"/>
        </w:rPr>
        <w:t xml:space="preserve"> zr</w:t>
      </w:r>
      <w:r w:rsidRPr="007A3439">
        <w:rPr>
          <w:i/>
          <w:color w:val="000000"/>
          <w:szCs w:val="24"/>
        </w:rPr>
        <w:t>t. tulajdonában maradt rendszer</w:t>
      </w:r>
      <w:r w:rsidR="007E33ED" w:rsidRPr="007A3439">
        <w:rPr>
          <w:i/>
          <w:color w:val="000000"/>
          <w:szCs w:val="24"/>
        </w:rPr>
        <w:t xml:space="preserve">független víziközmű-, valamint </w:t>
      </w:r>
      <w:r w:rsidRPr="007A3439">
        <w:rPr>
          <w:i/>
          <w:color w:val="000000"/>
          <w:szCs w:val="24"/>
        </w:rPr>
        <w:t xml:space="preserve">a működtető vagyon </w:t>
      </w:r>
      <w:r w:rsidRPr="007A3439">
        <w:rPr>
          <w:color w:val="000000"/>
          <w:szCs w:val="24"/>
        </w:rPr>
        <w:t>kezelése, fenntarthatóságának</w:t>
      </w:r>
      <w:r w:rsidR="004F56D6" w:rsidRPr="007A3439">
        <w:rPr>
          <w:color w:val="000000"/>
          <w:szCs w:val="24"/>
        </w:rPr>
        <w:t xml:space="preserve"> </w:t>
      </w:r>
      <w:r w:rsidRPr="007A3439">
        <w:rPr>
          <w:color w:val="000000"/>
          <w:szCs w:val="24"/>
        </w:rPr>
        <w:t>biztosítása.</w:t>
      </w:r>
      <w:bookmarkEnd w:id="3"/>
    </w:p>
    <w:p w:rsidR="00FA40B3" w:rsidRPr="007A3439" w:rsidRDefault="00FA40B3" w:rsidP="006A7D7A">
      <w:pPr>
        <w:ind w:right="176"/>
        <w:rPr>
          <w:color w:val="000000"/>
          <w:szCs w:val="24"/>
        </w:rPr>
      </w:pPr>
    </w:p>
    <w:p w:rsidR="00004203" w:rsidRPr="007A3439" w:rsidRDefault="00D51AA4" w:rsidP="006A7D7A">
      <w:pPr>
        <w:ind w:right="459"/>
        <w:rPr>
          <w:iCs/>
          <w:color w:val="000000"/>
          <w:szCs w:val="24"/>
        </w:rPr>
      </w:pPr>
      <w:r w:rsidRPr="007A3439">
        <w:rPr>
          <w:iCs/>
          <w:color w:val="000000"/>
          <w:szCs w:val="24"/>
        </w:rPr>
        <w:t>A részvénytársaság által üzemeltetett víziközmű és egyéb vagyontárgyak tulajdoni összetétele 20</w:t>
      </w:r>
      <w:r w:rsidR="00AB2F6E" w:rsidRPr="007A3439">
        <w:rPr>
          <w:iCs/>
          <w:color w:val="000000"/>
          <w:szCs w:val="24"/>
        </w:rPr>
        <w:t>2</w:t>
      </w:r>
      <w:r w:rsidR="007958E9" w:rsidRPr="007A3439">
        <w:rPr>
          <w:iCs/>
          <w:color w:val="000000"/>
          <w:szCs w:val="24"/>
        </w:rPr>
        <w:t>2</w:t>
      </w:r>
      <w:r w:rsidRPr="007A3439">
        <w:rPr>
          <w:iCs/>
          <w:color w:val="000000"/>
          <w:szCs w:val="24"/>
        </w:rPr>
        <w:t>. évben:</w:t>
      </w:r>
    </w:p>
    <w:p w:rsidR="00D51AA4" w:rsidRPr="007A3439" w:rsidRDefault="00D51AA4" w:rsidP="00060883">
      <w:pPr>
        <w:numPr>
          <w:ilvl w:val="0"/>
          <w:numId w:val="4"/>
        </w:numPr>
        <w:tabs>
          <w:tab w:val="clear" w:pos="460"/>
        </w:tabs>
        <w:ind w:left="300" w:right="601" w:hanging="200"/>
        <w:rPr>
          <w:iCs/>
          <w:color w:val="000000"/>
          <w:szCs w:val="24"/>
        </w:rPr>
      </w:pPr>
      <w:r w:rsidRPr="007A3439">
        <w:rPr>
          <w:iCs/>
          <w:color w:val="000000"/>
          <w:szCs w:val="24"/>
        </w:rPr>
        <w:t>önkormányzati tulajdonú vagyontárgyak, amelyek korábban sem voltak a</w:t>
      </w:r>
      <w:r w:rsidR="00060883" w:rsidRPr="007A3439">
        <w:rPr>
          <w:iCs/>
          <w:color w:val="000000"/>
          <w:szCs w:val="24"/>
        </w:rPr>
        <w:t xml:space="preserve"> társaság</w:t>
      </w:r>
      <w:r w:rsidRPr="007A3439">
        <w:rPr>
          <w:iCs/>
          <w:color w:val="000000"/>
          <w:szCs w:val="24"/>
        </w:rPr>
        <w:t xml:space="preserve"> tulajdonában (1992. január 1. után a tulajdonos önkormányzatok által létesített víziközmű vagyontárgyak, amelyek egy vagy több település ellátását szolgálják, egy vagy több önkormányzat tulajdonát képezik)</w:t>
      </w:r>
      <w:r w:rsidR="00FB0A3D">
        <w:rPr>
          <w:iCs/>
          <w:color w:val="000000"/>
          <w:szCs w:val="24"/>
        </w:rPr>
        <w:t>,</w:t>
      </w:r>
    </w:p>
    <w:p w:rsidR="00B0659E" w:rsidRPr="007A3439" w:rsidRDefault="00D51AA4" w:rsidP="00060883">
      <w:pPr>
        <w:numPr>
          <w:ilvl w:val="0"/>
          <w:numId w:val="4"/>
        </w:numPr>
        <w:tabs>
          <w:tab w:val="clear" w:pos="460"/>
        </w:tabs>
        <w:ind w:left="300" w:right="601" w:hanging="200"/>
        <w:rPr>
          <w:iCs/>
          <w:color w:val="000000"/>
          <w:szCs w:val="24"/>
        </w:rPr>
      </w:pPr>
      <w:r w:rsidRPr="007A3439">
        <w:rPr>
          <w:iCs/>
          <w:color w:val="000000"/>
          <w:szCs w:val="24"/>
        </w:rPr>
        <w:lastRenderedPageBreak/>
        <w:t>önkormányzati tulajdonú vagyontárgyak, amelyek a vagyonátszállás</w:t>
      </w:r>
      <w:r w:rsidR="000D5DFE" w:rsidRPr="007A3439">
        <w:rPr>
          <w:iCs/>
          <w:color w:val="000000"/>
          <w:szCs w:val="24"/>
        </w:rPr>
        <w:t xml:space="preserve"> (2013.01.01.)</w:t>
      </w:r>
      <w:r w:rsidRPr="007A3439">
        <w:rPr>
          <w:iCs/>
          <w:color w:val="000000"/>
          <w:szCs w:val="24"/>
        </w:rPr>
        <w:t xml:space="preserve"> következtében kerültek a</w:t>
      </w:r>
      <w:r w:rsidR="00060883" w:rsidRPr="007A3439">
        <w:rPr>
          <w:iCs/>
          <w:color w:val="000000"/>
          <w:szCs w:val="24"/>
        </w:rPr>
        <w:t xml:space="preserve"> zr</w:t>
      </w:r>
      <w:r w:rsidRPr="007A3439">
        <w:rPr>
          <w:iCs/>
          <w:color w:val="000000"/>
          <w:szCs w:val="24"/>
        </w:rPr>
        <w:t>t-től az önkormányzatok tulajdonába</w:t>
      </w:r>
      <w:r w:rsidR="00FB0A3D">
        <w:rPr>
          <w:iCs/>
          <w:color w:val="000000"/>
          <w:szCs w:val="24"/>
        </w:rPr>
        <w:t>,</w:t>
      </w:r>
    </w:p>
    <w:p w:rsidR="00D51AA4" w:rsidRPr="007A3439" w:rsidRDefault="00D51AA4" w:rsidP="00060883">
      <w:pPr>
        <w:numPr>
          <w:ilvl w:val="0"/>
          <w:numId w:val="4"/>
        </w:numPr>
        <w:tabs>
          <w:tab w:val="clear" w:pos="460"/>
        </w:tabs>
        <w:ind w:left="300" w:right="601" w:hanging="200"/>
        <w:rPr>
          <w:iCs/>
          <w:color w:val="000000"/>
          <w:szCs w:val="24"/>
        </w:rPr>
      </w:pPr>
      <w:r w:rsidRPr="007A3439">
        <w:rPr>
          <w:iCs/>
          <w:color w:val="000000"/>
          <w:szCs w:val="24"/>
        </w:rPr>
        <w:t>önkormányzati tulajdonú vagyontárgyak, amelyek a vagyonátszállás óta kerültek az önkormányzatok tulajdonába: az önkormányzatok saját forrásból megvalósított beruházásaiból, valamint társaságunk forrásaiból megvalósított, az önkormányzatoknak térítésmentesen átadott víziközmű vagyontárgyak</w:t>
      </w:r>
      <w:r w:rsidR="00FB0A3D">
        <w:rPr>
          <w:iCs/>
          <w:color w:val="000000"/>
          <w:szCs w:val="24"/>
        </w:rPr>
        <w:t>,</w:t>
      </w:r>
    </w:p>
    <w:p w:rsidR="00060883" w:rsidRPr="007A3439" w:rsidRDefault="00FB0A3D" w:rsidP="00E00858">
      <w:pPr>
        <w:numPr>
          <w:ilvl w:val="0"/>
          <w:numId w:val="3"/>
        </w:numPr>
        <w:tabs>
          <w:tab w:val="clear" w:pos="460"/>
        </w:tabs>
        <w:ind w:left="300" w:right="601" w:hanging="200"/>
        <w:jc w:val="left"/>
        <w:rPr>
          <w:color w:val="000000"/>
          <w:szCs w:val="24"/>
        </w:rPr>
      </w:pPr>
      <w:r>
        <w:rPr>
          <w:iCs/>
          <w:color w:val="000000"/>
          <w:szCs w:val="24"/>
        </w:rPr>
        <w:t xml:space="preserve">a </w:t>
      </w:r>
      <w:r w:rsidR="00025408">
        <w:rPr>
          <w:iCs/>
          <w:color w:val="000000"/>
          <w:szCs w:val="24"/>
        </w:rPr>
        <w:t>zr</w:t>
      </w:r>
      <w:r w:rsidR="00FA060E" w:rsidRPr="007A3439">
        <w:rPr>
          <w:iCs/>
          <w:color w:val="000000"/>
          <w:szCs w:val="24"/>
        </w:rPr>
        <w:t>t.</w:t>
      </w:r>
      <w:r w:rsidR="00D51AA4" w:rsidRPr="007A3439">
        <w:rPr>
          <w:iCs/>
          <w:color w:val="000000"/>
          <w:szCs w:val="24"/>
        </w:rPr>
        <w:t xml:space="preserve"> tulajdonában lévő/maradt </w:t>
      </w:r>
      <w:r w:rsidR="00D51AA4" w:rsidRPr="007A3439">
        <w:rPr>
          <w:color w:val="000000"/>
          <w:szCs w:val="24"/>
        </w:rPr>
        <w:t>rendszer</w:t>
      </w:r>
      <w:r w:rsidR="007E33ED" w:rsidRPr="007A3439">
        <w:rPr>
          <w:color w:val="000000"/>
          <w:szCs w:val="24"/>
        </w:rPr>
        <w:t xml:space="preserve">független víziközmű-, valamint </w:t>
      </w:r>
      <w:r w:rsidR="00D51AA4" w:rsidRPr="007A3439">
        <w:rPr>
          <w:color w:val="000000"/>
          <w:szCs w:val="24"/>
        </w:rPr>
        <w:t>működtető vagyon.</w:t>
      </w:r>
    </w:p>
    <w:p w:rsidR="00A54F90" w:rsidRDefault="00A54F90">
      <w:pPr>
        <w:jc w:val="left"/>
        <w:rPr>
          <w:color w:val="000000"/>
          <w:sz w:val="28"/>
          <w:szCs w:val="28"/>
        </w:rPr>
      </w:pPr>
      <w:r>
        <w:rPr>
          <w:color w:val="000000"/>
          <w:sz w:val="28"/>
          <w:szCs w:val="28"/>
        </w:rPr>
        <w:br w:type="page"/>
      </w:r>
    </w:p>
    <w:p w:rsidR="00AB4739" w:rsidRPr="00A54F90" w:rsidRDefault="00AB4739" w:rsidP="007A3439">
      <w:pPr>
        <w:rPr>
          <w:color w:val="000000"/>
          <w:sz w:val="16"/>
          <w:szCs w:val="16"/>
        </w:rPr>
      </w:pPr>
    </w:p>
    <w:p w:rsidR="00AB4739" w:rsidRPr="00DB2665" w:rsidRDefault="00AB4739" w:rsidP="00AB4739">
      <w:pPr>
        <w:jc w:val="center"/>
        <w:rPr>
          <w:color w:val="000000"/>
          <w:sz w:val="28"/>
          <w:szCs w:val="28"/>
        </w:rPr>
      </w:pPr>
      <w:r w:rsidRPr="00DB2665">
        <w:rPr>
          <w:noProof/>
        </w:rPr>
        <w:drawing>
          <wp:inline distT="0" distB="0" distL="0" distR="0" wp14:anchorId="10C7E660" wp14:editId="3B991523">
            <wp:extent cx="5457139" cy="3555187"/>
            <wp:effectExtent l="0" t="0" r="10795" b="7620"/>
            <wp:docPr id="16" name="Diagram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AB4739" w:rsidRPr="00DB2665" w:rsidRDefault="00AB4739">
      <w:pPr>
        <w:jc w:val="left"/>
        <w:rPr>
          <w:color w:val="000000"/>
          <w:sz w:val="28"/>
          <w:szCs w:val="28"/>
        </w:rPr>
      </w:pPr>
    </w:p>
    <w:p w:rsidR="00D51AA4" w:rsidRPr="00DB2665" w:rsidRDefault="00D2709B" w:rsidP="004F56D6">
      <w:pPr>
        <w:pStyle w:val="Cmsor2"/>
        <w:jc w:val="center"/>
        <w:rPr>
          <w:rFonts w:ascii="Times New Roman" w:hAnsi="Times New Roman"/>
          <w:iCs w:val="0"/>
          <w:sz w:val="24"/>
        </w:rPr>
      </w:pPr>
      <w:bookmarkStart w:id="4" w:name="_Toc132629460"/>
      <w:r w:rsidRPr="00DB2665">
        <w:rPr>
          <w:rFonts w:ascii="Times New Roman" w:hAnsi="Times New Roman"/>
          <w:iCs w:val="0"/>
          <w:sz w:val="24"/>
        </w:rPr>
        <w:t>T</w:t>
      </w:r>
      <w:r w:rsidR="00D51AA4" w:rsidRPr="00DB2665">
        <w:rPr>
          <w:rFonts w:ascii="Times New Roman" w:hAnsi="Times New Roman"/>
          <w:iCs w:val="0"/>
          <w:sz w:val="24"/>
        </w:rPr>
        <w:t>ulajdonosi szerkezet</w:t>
      </w:r>
      <w:bookmarkEnd w:id="4"/>
    </w:p>
    <w:p w:rsidR="007B765F" w:rsidRPr="00DB2665" w:rsidRDefault="007B765F" w:rsidP="004F56D6">
      <w:pPr>
        <w:jc w:val="center"/>
        <w:rPr>
          <w:sz w:val="12"/>
          <w:szCs w:val="12"/>
        </w:rPr>
      </w:pPr>
    </w:p>
    <w:p w:rsidR="00BC1892" w:rsidRPr="00DB2665" w:rsidRDefault="008310AD" w:rsidP="004F56D6">
      <w:pPr>
        <w:jc w:val="center"/>
        <w:rPr>
          <w:iCs/>
          <w:sz w:val="22"/>
        </w:rPr>
      </w:pPr>
      <w:bookmarkStart w:id="5" w:name="_Toc447526906"/>
      <w:r w:rsidRPr="00DB2665">
        <w:rPr>
          <w:noProof/>
          <w:bdr w:val="single" w:sz="4" w:space="0" w:color="auto"/>
        </w:rPr>
        <w:drawing>
          <wp:inline distT="0" distB="0" distL="0" distR="0" wp14:anchorId="4FE3D785" wp14:editId="72CFF369">
            <wp:extent cx="4276725" cy="2581275"/>
            <wp:effectExtent l="0" t="0" r="9525" b="9525"/>
            <wp:docPr id="9" name="Diagram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bookmarkEnd w:id="5"/>
    </w:p>
    <w:p w:rsidR="00BC1892" w:rsidRPr="004341CD" w:rsidRDefault="00BC1892">
      <w:pPr>
        <w:jc w:val="left"/>
        <w:rPr>
          <w:iCs/>
          <w:sz w:val="16"/>
          <w:szCs w:val="16"/>
        </w:rPr>
      </w:pPr>
    </w:p>
    <w:p w:rsidR="00D51AA4" w:rsidRPr="007A3439" w:rsidRDefault="00D51AA4" w:rsidP="00386A71">
      <w:pPr>
        <w:pStyle w:val="Cmsor2"/>
        <w:tabs>
          <w:tab w:val="left" w:pos="5529"/>
        </w:tabs>
        <w:ind w:left="142"/>
        <w:jc w:val="left"/>
        <w:rPr>
          <w:rFonts w:ascii="Times New Roman" w:hAnsi="Times New Roman"/>
          <w:iCs w:val="0"/>
          <w:sz w:val="24"/>
          <w:szCs w:val="24"/>
        </w:rPr>
      </w:pPr>
      <w:bookmarkStart w:id="6" w:name="_Toc132629461"/>
      <w:r w:rsidRPr="007A3439">
        <w:rPr>
          <w:rFonts w:ascii="Times New Roman" w:hAnsi="Times New Roman"/>
          <w:iCs w:val="0"/>
          <w:sz w:val="24"/>
          <w:szCs w:val="24"/>
        </w:rPr>
        <w:t>Igazgatóság</w:t>
      </w:r>
      <w:r w:rsidR="0043584C" w:rsidRPr="007A3439">
        <w:rPr>
          <w:rFonts w:ascii="Times New Roman" w:hAnsi="Times New Roman"/>
          <w:iCs w:val="0"/>
          <w:color w:val="FFFFFF"/>
          <w:sz w:val="24"/>
          <w:szCs w:val="24"/>
        </w:rPr>
        <w:t>.</w:t>
      </w:r>
      <w:r w:rsidRPr="007A3439">
        <w:rPr>
          <w:rFonts w:ascii="Times New Roman" w:hAnsi="Times New Roman"/>
          <w:iCs w:val="0"/>
          <w:sz w:val="24"/>
          <w:szCs w:val="24"/>
        </w:rPr>
        <w:tab/>
        <w:t>Felügyelő Bizottság</w:t>
      </w:r>
      <w:bookmarkEnd w:id="6"/>
    </w:p>
    <w:p w:rsidR="00BD7BC6" w:rsidRPr="00340828" w:rsidRDefault="00BD7BC6" w:rsidP="00BD7BC6">
      <w:pPr>
        <w:rPr>
          <w:sz w:val="12"/>
          <w:szCs w:val="12"/>
        </w:rPr>
      </w:pPr>
    </w:p>
    <w:tbl>
      <w:tblPr>
        <w:tblW w:w="10891" w:type="dxa"/>
        <w:tblCellMar>
          <w:left w:w="70" w:type="dxa"/>
          <w:right w:w="70" w:type="dxa"/>
        </w:tblCellMar>
        <w:tblLook w:val="04A0" w:firstRow="1" w:lastRow="0" w:firstColumn="1" w:lastColumn="0" w:noHBand="0" w:noVBand="1"/>
      </w:tblPr>
      <w:tblGrid>
        <w:gridCol w:w="2268"/>
        <w:gridCol w:w="2893"/>
        <w:gridCol w:w="142"/>
        <w:gridCol w:w="226"/>
        <w:gridCol w:w="2126"/>
        <w:gridCol w:w="3236"/>
      </w:tblGrid>
      <w:tr w:rsidR="00480149" w:rsidRPr="00340828" w:rsidTr="00FB0A3D">
        <w:trPr>
          <w:trHeight w:val="300"/>
        </w:trPr>
        <w:tc>
          <w:tcPr>
            <w:tcW w:w="2268" w:type="dxa"/>
            <w:tcBorders>
              <w:top w:val="nil"/>
              <w:left w:val="nil"/>
              <w:bottom w:val="nil"/>
              <w:right w:val="nil"/>
            </w:tcBorders>
            <w:shd w:val="clear" w:color="auto" w:fill="auto"/>
            <w:vAlign w:val="bottom"/>
            <w:hideMark/>
          </w:tcPr>
          <w:p w:rsidR="00480149" w:rsidRPr="00340828" w:rsidRDefault="00480149" w:rsidP="00480149">
            <w:pPr>
              <w:jc w:val="left"/>
              <w:rPr>
                <w:sz w:val="23"/>
                <w:szCs w:val="23"/>
              </w:rPr>
            </w:pPr>
            <w:r w:rsidRPr="00340828">
              <w:rPr>
                <w:sz w:val="23"/>
                <w:szCs w:val="23"/>
              </w:rPr>
              <w:t>Dr. Ipkovich György</w:t>
            </w:r>
          </w:p>
        </w:tc>
        <w:tc>
          <w:tcPr>
            <w:tcW w:w="3035" w:type="dxa"/>
            <w:gridSpan w:val="2"/>
            <w:tcBorders>
              <w:top w:val="nil"/>
              <w:left w:val="nil"/>
              <w:bottom w:val="nil"/>
              <w:right w:val="nil"/>
            </w:tcBorders>
            <w:shd w:val="clear" w:color="auto" w:fill="auto"/>
            <w:noWrap/>
            <w:vAlign w:val="bottom"/>
            <w:hideMark/>
          </w:tcPr>
          <w:p w:rsidR="00480149" w:rsidRPr="00340828" w:rsidRDefault="00480149" w:rsidP="00480149">
            <w:pPr>
              <w:jc w:val="left"/>
              <w:rPr>
                <w:sz w:val="23"/>
                <w:szCs w:val="23"/>
              </w:rPr>
            </w:pPr>
            <w:r w:rsidRPr="00340828">
              <w:rPr>
                <w:sz w:val="23"/>
                <w:szCs w:val="23"/>
              </w:rPr>
              <w:t>2019. december 17-től</w:t>
            </w:r>
          </w:p>
        </w:tc>
        <w:tc>
          <w:tcPr>
            <w:tcW w:w="226" w:type="dxa"/>
            <w:tcBorders>
              <w:top w:val="nil"/>
              <w:left w:val="nil"/>
              <w:bottom w:val="nil"/>
              <w:right w:val="nil"/>
            </w:tcBorders>
            <w:shd w:val="clear" w:color="auto" w:fill="auto"/>
            <w:vAlign w:val="bottom"/>
            <w:hideMark/>
          </w:tcPr>
          <w:p w:rsidR="00480149" w:rsidRPr="00340828" w:rsidRDefault="00480149" w:rsidP="00480149">
            <w:pPr>
              <w:jc w:val="left"/>
              <w:rPr>
                <w:sz w:val="23"/>
                <w:szCs w:val="23"/>
              </w:rPr>
            </w:pPr>
          </w:p>
        </w:tc>
        <w:tc>
          <w:tcPr>
            <w:tcW w:w="2126" w:type="dxa"/>
            <w:tcBorders>
              <w:top w:val="nil"/>
              <w:left w:val="nil"/>
              <w:bottom w:val="nil"/>
              <w:right w:val="nil"/>
            </w:tcBorders>
            <w:shd w:val="clear" w:color="auto" w:fill="auto"/>
            <w:noWrap/>
            <w:vAlign w:val="bottom"/>
            <w:hideMark/>
          </w:tcPr>
          <w:p w:rsidR="00480149" w:rsidRPr="00340828" w:rsidRDefault="00480149" w:rsidP="00480149">
            <w:pPr>
              <w:jc w:val="left"/>
              <w:rPr>
                <w:sz w:val="23"/>
                <w:szCs w:val="23"/>
              </w:rPr>
            </w:pPr>
            <w:r w:rsidRPr="00340828">
              <w:rPr>
                <w:sz w:val="23"/>
                <w:szCs w:val="23"/>
              </w:rPr>
              <w:t>Bebes István</w:t>
            </w:r>
          </w:p>
        </w:tc>
        <w:tc>
          <w:tcPr>
            <w:tcW w:w="3236" w:type="dxa"/>
            <w:tcBorders>
              <w:top w:val="nil"/>
              <w:left w:val="nil"/>
              <w:bottom w:val="nil"/>
              <w:right w:val="nil"/>
            </w:tcBorders>
            <w:shd w:val="clear" w:color="auto" w:fill="auto"/>
            <w:noWrap/>
            <w:vAlign w:val="bottom"/>
            <w:hideMark/>
          </w:tcPr>
          <w:p w:rsidR="00480149" w:rsidRPr="00340828" w:rsidRDefault="00480149" w:rsidP="00480149">
            <w:pPr>
              <w:jc w:val="left"/>
              <w:rPr>
                <w:sz w:val="23"/>
                <w:szCs w:val="23"/>
              </w:rPr>
            </w:pPr>
            <w:r w:rsidRPr="00340828">
              <w:rPr>
                <w:sz w:val="23"/>
                <w:szCs w:val="23"/>
              </w:rPr>
              <w:t>2020. szeptember 10-től</w:t>
            </w:r>
          </w:p>
        </w:tc>
      </w:tr>
      <w:tr w:rsidR="00480149" w:rsidRPr="00340828" w:rsidTr="00FB0A3D">
        <w:trPr>
          <w:trHeight w:val="206"/>
        </w:trPr>
        <w:tc>
          <w:tcPr>
            <w:tcW w:w="2268" w:type="dxa"/>
            <w:tcBorders>
              <w:top w:val="nil"/>
              <w:left w:val="nil"/>
              <w:bottom w:val="nil"/>
              <w:right w:val="nil"/>
            </w:tcBorders>
            <w:shd w:val="clear" w:color="auto" w:fill="auto"/>
            <w:vAlign w:val="bottom"/>
            <w:hideMark/>
          </w:tcPr>
          <w:p w:rsidR="00480149" w:rsidRPr="00340828" w:rsidRDefault="00480149" w:rsidP="00480149">
            <w:pPr>
              <w:jc w:val="left"/>
              <w:rPr>
                <w:sz w:val="23"/>
                <w:szCs w:val="23"/>
              </w:rPr>
            </w:pPr>
            <w:r w:rsidRPr="00340828">
              <w:rPr>
                <w:sz w:val="23"/>
                <w:szCs w:val="23"/>
              </w:rPr>
              <w:t>Huber László</w:t>
            </w:r>
          </w:p>
        </w:tc>
        <w:tc>
          <w:tcPr>
            <w:tcW w:w="3035" w:type="dxa"/>
            <w:gridSpan w:val="2"/>
            <w:tcBorders>
              <w:top w:val="nil"/>
              <w:left w:val="nil"/>
              <w:bottom w:val="nil"/>
              <w:right w:val="nil"/>
            </w:tcBorders>
            <w:shd w:val="clear" w:color="auto" w:fill="auto"/>
            <w:noWrap/>
            <w:vAlign w:val="bottom"/>
            <w:hideMark/>
          </w:tcPr>
          <w:p w:rsidR="00480149" w:rsidRPr="00340828" w:rsidRDefault="00480149" w:rsidP="00480149">
            <w:pPr>
              <w:jc w:val="left"/>
              <w:rPr>
                <w:sz w:val="23"/>
                <w:szCs w:val="23"/>
              </w:rPr>
            </w:pPr>
            <w:r w:rsidRPr="00340828">
              <w:rPr>
                <w:sz w:val="23"/>
                <w:szCs w:val="23"/>
              </w:rPr>
              <w:t>2019. december 17-től</w:t>
            </w:r>
          </w:p>
        </w:tc>
        <w:tc>
          <w:tcPr>
            <w:tcW w:w="226" w:type="dxa"/>
            <w:tcBorders>
              <w:top w:val="nil"/>
              <w:left w:val="nil"/>
              <w:bottom w:val="nil"/>
              <w:right w:val="nil"/>
            </w:tcBorders>
            <w:shd w:val="clear" w:color="auto" w:fill="auto"/>
            <w:noWrap/>
            <w:vAlign w:val="bottom"/>
            <w:hideMark/>
          </w:tcPr>
          <w:p w:rsidR="00480149" w:rsidRPr="00340828" w:rsidRDefault="00480149" w:rsidP="00480149">
            <w:pPr>
              <w:jc w:val="left"/>
              <w:rPr>
                <w:sz w:val="23"/>
                <w:szCs w:val="23"/>
              </w:rPr>
            </w:pPr>
          </w:p>
        </w:tc>
        <w:tc>
          <w:tcPr>
            <w:tcW w:w="2126" w:type="dxa"/>
            <w:tcBorders>
              <w:top w:val="nil"/>
              <w:left w:val="nil"/>
              <w:bottom w:val="nil"/>
              <w:right w:val="nil"/>
            </w:tcBorders>
            <w:shd w:val="clear" w:color="auto" w:fill="auto"/>
            <w:noWrap/>
            <w:vAlign w:val="bottom"/>
            <w:hideMark/>
          </w:tcPr>
          <w:p w:rsidR="00480149" w:rsidRPr="00340828" w:rsidRDefault="00480149" w:rsidP="00480149">
            <w:pPr>
              <w:jc w:val="left"/>
              <w:rPr>
                <w:sz w:val="23"/>
                <w:szCs w:val="23"/>
              </w:rPr>
            </w:pPr>
            <w:r w:rsidRPr="00340828">
              <w:rPr>
                <w:sz w:val="23"/>
                <w:szCs w:val="23"/>
              </w:rPr>
              <w:t>Horváth Róbert</w:t>
            </w:r>
          </w:p>
        </w:tc>
        <w:tc>
          <w:tcPr>
            <w:tcW w:w="3236" w:type="dxa"/>
            <w:tcBorders>
              <w:top w:val="nil"/>
              <w:left w:val="nil"/>
              <w:bottom w:val="nil"/>
              <w:right w:val="nil"/>
            </w:tcBorders>
            <w:shd w:val="clear" w:color="auto" w:fill="auto"/>
            <w:vAlign w:val="bottom"/>
            <w:hideMark/>
          </w:tcPr>
          <w:p w:rsidR="00480149" w:rsidRPr="00340828" w:rsidRDefault="00480149" w:rsidP="00480149">
            <w:pPr>
              <w:jc w:val="left"/>
              <w:rPr>
                <w:sz w:val="23"/>
                <w:szCs w:val="23"/>
              </w:rPr>
            </w:pPr>
            <w:r w:rsidRPr="00340828">
              <w:rPr>
                <w:sz w:val="23"/>
                <w:szCs w:val="23"/>
              </w:rPr>
              <w:t>2018. július 1-től</w:t>
            </w:r>
          </w:p>
        </w:tc>
      </w:tr>
      <w:tr w:rsidR="00480149" w:rsidRPr="00340828" w:rsidTr="00FB0A3D">
        <w:trPr>
          <w:trHeight w:val="238"/>
        </w:trPr>
        <w:tc>
          <w:tcPr>
            <w:tcW w:w="2268" w:type="dxa"/>
            <w:tcBorders>
              <w:top w:val="nil"/>
              <w:left w:val="nil"/>
              <w:bottom w:val="nil"/>
              <w:right w:val="nil"/>
            </w:tcBorders>
            <w:shd w:val="clear" w:color="auto" w:fill="auto"/>
            <w:noWrap/>
            <w:vAlign w:val="bottom"/>
            <w:hideMark/>
          </w:tcPr>
          <w:p w:rsidR="00480149" w:rsidRPr="00340828" w:rsidRDefault="00480149" w:rsidP="00480149">
            <w:pPr>
              <w:jc w:val="left"/>
              <w:rPr>
                <w:sz w:val="23"/>
                <w:szCs w:val="23"/>
              </w:rPr>
            </w:pPr>
            <w:r w:rsidRPr="00340828">
              <w:rPr>
                <w:sz w:val="23"/>
                <w:szCs w:val="23"/>
              </w:rPr>
              <w:t>Kovács László</w:t>
            </w:r>
          </w:p>
        </w:tc>
        <w:tc>
          <w:tcPr>
            <w:tcW w:w="3035" w:type="dxa"/>
            <w:gridSpan w:val="2"/>
            <w:tcBorders>
              <w:top w:val="nil"/>
              <w:left w:val="nil"/>
              <w:bottom w:val="nil"/>
              <w:right w:val="nil"/>
            </w:tcBorders>
            <w:shd w:val="clear" w:color="auto" w:fill="auto"/>
            <w:noWrap/>
            <w:vAlign w:val="bottom"/>
            <w:hideMark/>
          </w:tcPr>
          <w:p w:rsidR="00480149" w:rsidRPr="00340828" w:rsidRDefault="00480149" w:rsidP="00480149">
            <w:pPr>
              <w:jc w:val="left"/>
              <w:rPr>
                <w:sz w:val="23"/>
                <w:szCs w:val="23"/>
              </w:rPr>
            </w:pPr>
            <w:r w:rsidRPr="00340828">
              <w:rPr>
                <w:sz w:val="23"/>
                <w:szCs w:val="23"/>
              </w:rPr>
              <w:t>2019. december 17-től</w:t>
            </w:r>
          </w:p>
        </w:tc>
        <w:tc>
          <w:tcPr>
            <w:tcW w:w="226" w:type="dxa"/>
            <w:tcBorders>
              <w:top w:val="nil"/>
              <w:left w:val="nil"/>
              <w:bottom w:val="nil"/>
              <w:right w:val="nil"/>
            </w:tcBorders>
            <w:shd w:val="clear" w:color="auto" w:fill="auto"/>
            <w:noWrap/>
            <w:vAlign w:val="bottom"/>
            <w:hideMark/>
          </w:tcPr>
          <w:p w:rsidR="00480149" w:rsidRPr="00340828" w:rsidRDefault="00480149" w:rsidP="00480149">
            <w:pPr>
              <w:jc w:val="left"/>
              <w:rPr>
                <w:sz w:val="23"/>
                <w:szCs w:val="23"/>
              </w:rPr>
            </w:pPr>
          </w:p>
        </w:tc>
        <w:tc>
          <w:tcPr>
            <w:tcW w:w="2126" w:type="dxa"/>
            <w:tcBorders>
              <w:top w:val="nil"/>
              <w:left w:val="nil"/>
              <w:bottom w:val="nil"/>
              <w:right w:val="nil"/>
            </w:tcBorders>
            <w:shd w:val="clear" w:color="auto" w:fill="auto"/>
            <w:noWrap/>
            <w:vAlign w:val="bottom"/>
            <w:hideMark/>
          </w:tcPr>
          <w:p w:rsidR="00480149" w:rsidRPr="00340828" w:rsidRDefault="00480149" w:rsidP="00480149">
            <w:pPr>
              <w:jc w:val="left"/>
              <w:rPr>
                <w:sz w:val="23"/>
                <w:szCs w:val="23"/>
              </w:rPr>
            </w:pPr>
            <w:r w:rsidRPr="00340828">
              <w:rPr>
                <w:sz w:val="23"/>
                <w:szCs w:val="23"/>
              </w:rPr>
              <w:t>Horváth Zoltán</w:t>
            </w:r>
          </w:p>
        </w:tc>
        <w:tc>
          <w:tcPr>
            <w:tcW w:w="3236" w:type="dxa"/>
            <w:tcBorders>
              <w:top w:val="nil"/>
              <w:left w:val="nil"/>
              <w:bottom w:val="nil"/>
              <w:right w:val="nil"/>
            </w:tcBorders>
            <w:shd w:val="clear" w:color="auto" w:fill="auto"/>
            <w:noWrap/>
            <w:vAlign w:val="bottom"/>
            <w:hideMark/>
          </w:tcPr>
          <w:p w:rsidR="00480149" w:rsidRPr="00340828" w:rsidRDefault="00480149" w:rsidP="00480149">
            <w:pPr>
              <w:jc w:val="left"/>
              <w:rPr>
                <w:sz w:val="23"/>
                <w:szCs w:val="23"/>
              </w:rPr>
            </w:pPr>
            <w:r w:rsidRPr="00340828">
              <w:rPr>
                <w:sz w:val="23"/>
                <w:szCs w:val="23"/>
              </w:rPr>
              <w:t>2019. december 17-től</w:t>
            </w:r>
          </w:p>
        </w:tc>
      </w:tr>
      <w:tr w:rsidR="00746AFA" w:rsidRPr="00340828" w:rsidTr="00FB0A3D">
        <w:trPr>
          <w:trHeight w:val="270"/>
        </w:trPr>
        <w:tc>
          <w:tcPr>
            <w:tcW w:w="2268" w:type="dxa"/>
            <w:tcBorders>
              <w:top w:val="nil"/>
              <w:left w:val="nil"/>
              <w:bottom w:val="nil"/>
              <w:right w:val="nil"/>
            </w:tcBorders>
            <w:shd w:val="clear" w:color="auto" w:fill="auto"/>
            <w:noWrap/>
            <w:vAlign w:val="bottom"/>
            <w:hideMark/>
          </w:tcPr>
          <w:p w:rsidR="00746AFA" w:rsidRPr="00340828" w:rsidRDefault="00746AFA" w:rsidP="00746AFA">
            <w:pPr>
              <w:jc w:val="left"/>
              <w:rPr>
                <w:sz w:val="23"/>
                <w:szCs w:val="23"/>
              </w:rPr>
            </w:pPr>
            <w:r w:rsidRPr="00340828">
              <w:rPr>
                <w:sz w:val="23"/>
                <w:szCs w:val="23"/>
              </w:rPr>
              <w:t xml:space="preserve">Kovács Márta </w:t>
            </w:r>
          </w:p>
        </w:tc>
        <w:tc>
          <w:tcPr>
            <w:tcW w:w="3035" w:type="dxa"/>
            <w:gridSpan w:val="2"/>
            <w:tcBorders>
              <w:top w:val="nil"/>
              <w:left w:val="nil"/>
              <w:bottom w:val="nil"/>
              <w:right w:val="nil"/>
            </w:tcBorders>
            <w:shd w:val="clear" w:color="auto" w:fill="auto"/>
            <w:noWrap/>
            <w:vAlign w:val="bottom"/>
            <w:hideMark/>
          </w:tcPr>
          <w:p w:rsidR="00746AFA" w:rsidRPr="00340828" w:rsidRDefault="00746AFA" w:rsidP="00746AFA">
            <w:pPr>
              <w:jc w:val="left"/>
              <w:rPr>
                <w:sz w:val="23"/>
                <w:szCs w:val="23"/>
              </w:rPr>
            </w:pPr>
            <w:r w:rsidRPr="00340828">
              <w:rPr>
                <w:sz w:val="23"/>
                <w:szCs w:val="23"/>
              </w:rPr>
              <w:t>2020. szeptember 10-től</w:t>
            </w:r>
          </w:p>
        </w:tc>
        <w:tc>
          <w:tcPr>
            <w:tcW w:w="226" w:type="dxa"/>
            <w:tcBorders>
              <w:top w:val="nil"/>
              <w:left w:val="nil"/>
              <w:bottom w:val="nil"/>
              <w:right w:val="nil"/>
            </w:tcBorders>
            <w:shd w:val="clear" w:color="auto" w:fill="auto"/>
            <w:noWrap/>
            <w:vAlign w:val="bottom"/>
            <w:hideMark/>
          </w:tcPr>
          <w:p w:rsidR="00746AFA" w:rsidRPr="00340828" w:rsidRDefault="00746AFA" w:rsidP="00746AFA">
            <w:pPr>
              <w:jc w:val="left"/>
              <w:rPr>
                <w:sz w:val="23"/>
                <w:szCs w:val="23"/>
              </w:rPr>
            </w:pPr>
          </w:p>
        </w:tc>
        <w:tc>
          <w:tcPr>
            <w:tcW w:w="2126" w:type="dxa"/>
            <w:tcBorders>
              <w:top w:val="nil"/>
              <w:left w:val="nil"/>
              <w:bottom w:val="nil"/>
              <w:right w:val="nil"/>
            </w:tcBorders>
            <w:shd w:val="clear" w:color="auto" w:fill="auto"/>
            <w:noWrap/>
            <w:vAlign w:val="bottom"/>
          </w:tcPr>
          <w:p w:rsidR="00746AFA" w:rsidRPr="00340828" w:rsidRDefault="00746AFA" w:rsidP="00746AFA">
            <w:pPr>
              <w:jc w:val="left"/>
              <w:rPr>
                <w:sz w:val="23"/>
                <w:szCs w:val="23"/>
              </w:rPr>
            </w:pPr>
            <w:r w:rsidRPr="00340828">
              <w:rPr>
                <w:sz w:val="23"/>
                <w:szCs w:val="23"/>
              </w:rPr>
              <w:t>Kovács László</w:t>
            </w:r>
          </w:p>
        </w:tc>
        <w:tc>
          <w:tcPr>
            <w:tcW w:w="3236" w:type="dxa"/>
            <w:tcBorders>
              <w:top w:val="nil"/>
              <w:left w:val="nil"/>
              <w:bottom w:val="nil"/>
              <w:right w:val="nil"/>
            </w:tcBorders>
            <w:shd w:val="clear" w:color="auto" w:fill="auto"/>
            <w:vAlign w:val="bottom"/>
          </w:tcPr>
          <w:p w:rsidR="00746AFA" w:rsidRPr="00340828" w:rsidRDefault="00746AFA" w:rsidP="00746AFA">
            <w:pPr>
              <w:jc w:val="left"/>
              <w:rPr>
                <w:sz w:val="23"/>
                <w:szCs w:val="23"/>
              </w:rPr>
            </w:pPr>
            <w:r w:rsidRPr="00340828">
              <w:rPr>
                <w:sz w:val="23"/>
                <w:szCs w:val="23"/>
              </w:rPr>
              <w:t>2015. június 1-től</w:t>
            </w:r>
          </w:p>
        </w:tc>
      </w:tr>
      <w:tr w:rsidR="00746AFA" w:rsidRPr="00340828" w:rsidTr="00FB0A3D">
        <w:trPr>
          <w:trHeight w:val="132"/>
        </w:trPr>
        <w:tc>
          <w:tcPr>
            <w:tcW w:w="2268" w:type="dxa"/>
            <w:tcBorders>
              <w:top w:val="nil"/>
              <w:left w:val="nil"/>
              <w:bottom w:val="nil"/>
              <w:right w:val="nil"/>
            </w:tcBorders>
            <w:shd w:val="clear" w:color="auto" w:fill="auto"/>
            <w:noWrap/>
            <w:vAlign w:val="bottom"/>
            <w:hideMark/>
          </w:tcPr>
          <w:p w:rsidR="00746AFA" w:rsidRPr="00340828" w:rsidRDefault="00746AFA" w:rsidP="00746AFA">
            <w:pPr>
              <w:jc w:val="left"/>
              <w:rPr>
                <w:sz w:val="23"/>
                <w:szCs w:val="23"/>
              </w:rPr>
            </w:pPr>
            <w:r w:rsidRPr="00340828">
              <w:rPr>
                <w:sz w:val="23"/>
                <w:szCs w:val="23"/>
              </w:rPr>
              <w:t>Máhr Tivadar</w:t>
            </w:r>
          </w:p>
        </w:tc>
        <w:tc>
          <w:tcPr>
            <w:tcW w:w="3035" w:type="dxa"/>
            <w:gridSpan w:val="2"/>
            <w:tcBorders>
              <w:top w:val="nil"/>
              <w:left w:val="nil"/>
              <w:bottom w:val="nil"/>
              <w:right w:val="nil"/>
            </w:tcBorders>
            <w:shd w:val="clear" w:color="auto" w:fill="auto"/>
            <w:noWrap/>
            <w:vAlign w:val="bottom"/>
            <w:hideMark/>
          </w:tcPr>
          <w:p w:rsidR="000E0844" w:rsidRPr="00340828" w:rsidRDefault="00746AFA" w:rsidP="000E0844">
            <w:pPr>
              <w:jc w:val="left"/>
              <w:rPr>
                <w:sz w:val="23"/>
                <w:szCs w:val="23"/>
              </w:rPr>
            </w:pPr>
            <w:r w:rsidRPr="00340828">
              <w:rPr>
                <w:sz w:val="23"/>
                <w:szCs w:val="23"/>
              </w:rPr>
              <w:t>2020. szept</w:t>
            </w:r>
            <w:r w:rsidR="000E0844" w:rsidRPr="00340828">
              <w:rPr>
                <w:sz w:val="23"/>
                <w:szCs w:val="23"/>
              </w:rPr>
              <w:t>.10-2022.febr.10.</w:t>
            </w:r>
          </w:p>
        </w:tc>
        <w:tc>
          <w:tcPr>
            <w:tcW w:w="226" w:type="dxa"/>
            <w:tcBorders>
              <w:top w:val="nil"/>
              <w:left w:val="nil"/>
              <w:bottom w:val="nil"/>
              <w:right w:val="nil"/>
            </w:tcBorders>
            <w:shd w:val="clear" w:color="auto" w:fill="auto"/>
            <w:noWrap/>
            <w:vAlign w:val="bottom"/>
            <w:hideMark/>
          </w:tcPr>
          <w:p w:rsidR="00746AFA" w:rsidRPr="00340828" w:rsidRDefault="00746AFA" w:rsidP="00746AFA">
            <w:pPr>
              <w:jc w:val="left"/>
              <w:rPr>
                <w:sz w:val="23"/>
                <w:szCs w:val="23"/>
              </w:rPr>
            </w:pPr>
          </w:p>
        </w:tc>
        <w:tc>
          <w:tcPr>
            <w:tcW w:w="2126" w:type="dxa"/>
            <w:tcBorders>
              <w:top w:val="nil"/>
              <w:left w:val="nil"/>
              <w:bottom w:val="nil"/>
              <w:right w:val="nil"/>
            </w:tcBorders>
            <w:shd w:val="clear" w:color="auto" w:fill="auto"/>
            <w:noWrap/>
            <w:vAlign w:val="bottom"/>
          </w:tcPr>
          <w:p w:rsidR="00746AFA" w:rsidRPr="00340828" w:rsidRDefault="00746AFA" w:rsidP="00746AFA">
            <w:pPr>
              <w:jc w:val="left"/>
              <w:rPr>
                <w:sz w:val="23"/>
                <w:szCs w:val="23"/>
              </w:rPr>
            </w:pPr>
            <w:r w:rsidRPr="00340828">
              <w:rPr>
                <w:sz w:val="23"/>
                <w:szCs w:val="23"/>
              </w:rPr>
              <w:t>Kovács Tilda Matild</w:t>
            </w:r>
          </w:p>
        </w:tc>
        <w:tc>
          <w:tcPr>
            <w:tcW w:w="3236" w:type="dxa"/>
            <w:tcBorders>
              <w:top w:val="nil"/>
              <w:left w:val="nil"/>
              <w:bottom w:val="nil"/>
              <w:right w:val="nil"/>
            </w:tcBorders>
            <w:shd w:val="clear" w:color="auto" w:fill="auto"/>
            <w:vAlign w:val="bottom"/>
          </w:tcPr>
          <w:p w:rsidR="00746AFA" w:rsidRPr="00340828" w:rsidRDefault="00746AFA" w:rsidP="00746AFA">
            <w:pPr>
              <w:jc w:val="left"/>
              <w:rPr>
                <w:sz w:val="23"/>
                <w:szCs w:val="23"/>
              </w:rPr>
            </w:pPr>
            <w:r w:rsidRPr="00340828">
              <w:rPr>
                <w:sz w:val="23"/>
                <w:szCs w:val="23"/>
              </w:rPr>
              <w:t>2015. június 1-től</w:t>
            </w:r>
          </w:p>
        </w:tc>
      </w:tr>
      <w:tr w:rsidR="00746AFA" w:rsidRPr="00340828" w:rsidTr="00FB0A3D">
        <w:trPr>
          <w:trHeight w:val="164"/>
        </w:trPr>
        <w:tc>
          <w:tcPr>
            <w:tcW w:w="2268" w:type="dxa"/>
            <w:tcBorders>
              <w:top w:val="nil"/>
              <w:left w:val="nil"/>
              <w:bottom w:val="nil"/>
              <w:right w:val="nil"/>
            </w:tcBorders>
            <w:shd w:val="clear" w:color="auto" w:fill="auto"/>
            <w:vAlign w:val="bottom"/>
          </w:tcPr>
          <w:p w:rsidR="00746AFA" w:rsidRPr="00340828" w:rsidRDefault="000E0844" w:rsidP="000E0844">
            <w:pPr>
              <w:jc w:val="left"/>
              <w:rPr>
                <w:sz w:val="23"/>
                <w:szCs w:val="23"/>
              </w:rPr>
            </w:pPr>
            <w:r w:rsidRPr="00340828">
              <w:rPr>
                <w:sz w:val="23"/>
                <w:szCs w:val="23"/>
              </w:rPr>
              <w:lastRenderedPageBreak/>
              <w:t>Gerencsér Gábor</w:t>
            </w:r>
            <w:r w:rsidR="00340828" w:rsidRPr="00340828">
              <w:rPr>
                <w:sz w:val="23"/>
                <w:szCs w:val="23"/>
              </w:rPr>
              <w:t xml:space="preserve"> </w:t>
            </w:r>
            <w:r w:rsidR="00340828" w:rsidRPr="00340828">
              <w:rPr>
                <w:sz w:val="23"/>
                <w:szCs w:val="23"/>
                <w:u w:val="single"/>
              </w:rPr>
              <w:t>Zsolt</w:t>
            </w:r>
          </w:p>
        </w:tc>
        <w:tc>
          <w:tcPr>
            <w:tcW w:w="2893" w:type="dxa"/>
            <w:tcBorders>
              <w:top w:val="nil"/>
              <w:left w:val="nil"/>
              <w:bottom w:val="nil"/>
              <w:right w:val="nil"/>
            </w:tcBorders>
            <w:shd w:val="clear" w:color="auto" w:fill="auto"/>
            <w:noWrap/>
            <w:vAlign w:val="bottom"/>
          </w:tcPr>
          <w:p w:rsidR="00746AFA" w:rsidRPr="00340828" w:rsidRDefault="000E0844" w:rsidP="00746AFA">
            <w:pPr>
              <w:jc w:val="left"/>
              <w:rPr>
                <w:sz w:val="23"/>
                <w:szCs w:val="23"/>
              </w:rPr>
            </w:pPr>
            <w:r w:rsidRPr="00340828">
              <w:rPr>
                <w:sz w:val="23"/>
                <w:szCs w:val="23"/>
              </w:rPr>
              <w:t>2022. május 27-től</w:t>
            </w:r>
          </w:p>
        </w:tc>
        <w:tc>
          <w:tcPr>
            <w:tcW w:w="368" w:type="dxa"/>
            <w:gridSpan w:val="2"/>
            <w:tcBorders>
              <w:top w:val="nil"/>
              <w:left w:val="nil"/>
              <w:bottom w:val="nil"/>
              <w:right w:val="nil"/>
            </w:tcBorders>
            <w:shd w:val="clear" w:color="auto" w:fill="auto"/>
            <w:noWrap/>
            <w:vAlign w:val="bottom"/>
            <w:hideMark/>
          </w:tcPr>
          <w:p w:rsidR="00746AFA" w:rsidRPr="00340828" w:rsidRDefault="00746AFA" w:rsidP="00746AFA">
            <w:pPr>
              <w:jc w:val="left"/>
              <w:rPr>
                <w:sz w:val="23"/>
                <w:szCs w:val="23"/>
              </w:rPr>
            </w:pPr>
          </w:p>
        </w:tc>
        <w:tc>
          <w:tcPr>
            <w:tcW w:w="2126" w:type="dxa"/>
            <w:tcBorders>
              <w:top w:val="nil"/>
              <w:left w:val="nil"/>
              <w:bottom w:val="nil"/>
              <w:right w:val="nil"/>
            </w:tcBorders>
            <w:shd w:val="clear" w:color="auto" w:fill="auto"/>
            <w:noWrap/>
            <w:vAlign w:val="bottom"/>
          </w:tcPr>
          <w:p w:rsidR="00746AFA" w:rsidRPr="00340828" w:rsidRDefault="00746AFA" w:rsidP="00746AFA">
            <w:pPr>
              <w:jc w:val="left"/>
              <w:rPr>
                <w:sz w:val="23"/>
                <w:szCs w:val="23"/>
              </w:rPr>
            </w:pPr>
            <w:r w:rsidRPr="00340828">
              <w:rPr>
                <w:sz w:val="23"/>
                <w:szCs w:val="23"/>
              </w:rPr>
              <w:t>Németh Ákos</w:t>
            </w:r>
          </w:p>
        </w:tc>
        <w:tc>
          <w:tcPr>
            <w:tcW w:w="3236" w:type="dxa"/>
            <w:tcBorders>
              <w:top w:val="nil"/>
              <w:left w:val="nil"/>
              <w:bottom w:val="nil"/>
              <w:right w:val="nil"/>
            </w:tcBorders>
            <w:shd w:val="clear" w:color="auto" w:fill="auto"/>
            <w:vAlign w:val="bottom"/>
          </w:tcPr>
          <w:p w:rsidR="00746AFA" w:rsidRPr="00340828" w:rsidRDefault="00746AFA" w:rsidP="00746AFA">
            <w:pPr>
              <w:jc w:val="left"/>
              <w:rPr>
                <w:sz w:val="23"/>
                <w:szCs w:val="23"/>
              </w:rPr>
            </w:pPr>
            <w:r w:rsidRPr="00340828">
              <w:rPr>
                <w:sz w:val="23"/>
                <w:szCs w:val="23"/>
              </w:rPr>
              <w:t>2020. január 1-től</w:t>
            </w:r>
          </w:p>
        </w:tc>
      </w:tr>
    </w:tbl>
    <w:p w:rsidR="007A3439" w:rsidRPr="004341CD" w:rsidRDefault="007A3439" w:rsidP="007A3439">
      <w:pPr>
        <w:rPr>
          <w:sz w:val="20"/>
        </w:rPr>
      </w:pPr>
    </w:p>
    <w:p w:rsidR="00D51AA4" w:rsidRPr="007A3439" w:rsidRDefault="00D51AA4">
      <w:pPr>
        <w:pStyle w:val="Cmsor2"/>
        <w:rPr>
          <w:rFonts w:ascii="Times New Roman" w:hAnsi="Times New Roman"/>
          <w:iCs w:val="0"/>
          <w:sz w:val="24"/>
          <w:szCs w:val="24"/>
        </w:rPr>
      </w:pPr>
      <w:bookmarkStart w:id="7" w:name="_Toc132629462"/>
      <w:r w:rsidRPr="007A3439">
        <w:rPr>
          <w:rFonts w:ascii="Times New Roman" w:hAnsi="Times New Roman"/>
          <w:iCs w:val="0"/>
          <w:sz w:val="24"/>
          <w:szCs w:val="24"/>
        </w:rPr>
        <w:t>Könyvvizsgáló</w:t>
      </w:r>
      <w:bookmarkEnd w:id="7"/>
    </w:p>
    <w:p w:rsidR="00F84AA8" w:rsidRPr="00340828" w:rsidRDefault="00F84AA8" w:rsidP="00F84AA8">
      <w:pPr>
        <w:rPr>
          <w:sz w:val="12"/>
          <w:szCs w:val="12"/>
        </w:rPr>
      </w:pPr>
    </w:p>
    <w:p w:rsidR="00D51AA4" w:rsidRPr="007A3439" w:rsidRDefault="00D51AA4">
      <w:pPr>
        <w:tabs>
          <w:tab w:val="left" w:pos="5103"/>
        </w:tabs>
        <w:rPr>
          <w:bCs/>
          <w:szCs w:val="24"/>
        </w:rPr>
      </w:pPr>
      <w:r w:rsidRPr="007A3439">
        <w:rPr>
          <w:bCs/>
          <w:szCs w:val="24"/>
        </w:rPr>
        <w:t>AUDIKONT</w:t>
      </w:r>
    </w:p>
    <w:p w:rsidR="00D51AA4" w:rsidRPr="007A3439" w:rsidRDefault="00D51AA4">
      <w:pPr>
        <w:tabs>
          <w:tab w:val="left" w:pos="5103"/>
        </w:tabs>
        <w:rPr>
          <w:bCs/>
          <w:szCs w:val="24"/>
        </w:rPr>
      </w:pPr>
      <w:r w:rsidRPr="007A3439">
        <w:rPr>
          <w:bCs/>
          <w:szCs w:val="24"/>
        </w:rPr>
        <w:t>Könyvvizsgáló és Tanácsadó Kft.</w:t>
      </w:r>
    </w:p>
    <w:p w:rsidR="00A54F90" w:rsidRDefault="00D51AA4">
      <w:pPr>
        <w:tabs>
          <w:tab w:val="left" w:pos="5103"/>
        </w:tabs>
        <w:rPr>
          <w:bCs/>
          <w:szCs w:val="24"/>
        </w:rPr>
      </w:pPr>
      <w:r w:rsidRPr="007A3439">
        <w:rPr>
          <w:bCs/>
          <w:szCs w:val="24"/>
        </w:rPr>
        <w:t>Németh Tamás bejegyzett könyvvizsgáló</w:t>
      </w:r>
    </w:p>
    <w:p w:rsidR="00A54F90" w:rsidRDefault="00A54F90">
      <w:pPr>
        <w:jc w:val="left"/>
        <w:rPr>
          <w:bCs/>
          <w:szCs w:val="24"/>
        </w:rPr>
      </w:pPr>
      <w:r>
        <w:rPr>
          <w:bCs/>
          <w:szCs w:val="24"/>
        </w:rPr>
        <w:br w:type="page"/>
      </w:r>
    </w:p>
    <w:p w:rsidR="002D5852" w:rsidRPr="003C1650" w:rsidRDefault="002D5852">
      <w:pPr>
        <w:tabs>
          <w:tab w:val="left" w:pos="5103"/>
        </w:tabs>
        <w:rPr>
          <w:bCs/>
          <w:sz w:val="20"/>
        </w:rPr>
      </w:pPr>
    </w:p>
    <w:p w:rsidR="002D5852" w:rsidRPr="003C1650" w:rsidRDefault="002D5852">
      <w:pPr>
        <w:jc w:val="left"/>
        <w:rPr>
          <w:bCs/>
          <w:sz w:val="16"/>
          <w:szCs w:val="16"/>
        </w:rPr>
      </w:pPr>
    </w:p>
    <w:p w:rsidR="00D51AA4" w:rsidRPr="003C1650" w:rsidRDefault="00D51AA4">
      <w:pPr>
        <w:pStyle w:val="Cmsor2"/>
        <w:rPr>
          <w:rFonts w:ascii="Times New Roman" w:hAnsi="Times New Roman"/>
          <w:iCs w:val="0"/>
          <w:szCs w:val="23"/>
        </w:rPr>
      </w:pPr>
      <w:bookmarkStart w:id="8" w:name="_Toc132629463"/>
      <w:r w:rsidRPr="003C1650">
        <w:rPr>
          <w:rFonts w:ascii="Times New Roman" w:hAnsi="Times New Roman"/>
          <w:iCs w:val="0"/>
          <w:szCs w:val="23"/>
        </w:rPr>
        <w:t>Cégvezetés</w:t>
      </w:r>
      <w:bookmarkEnd w:id="8"/>
    </w:p>
    <w:p w:rsidR="00F84AA8" w:rsidRPr="003C1650" w:rsidRDefault="00F84AA8" w:rsidP="00F84AA8">
      <w:pPr>
        <w:rPr>
          <w:sz w:val="12"/>
          <w:szCs w:val="12"/>
        </w:rPr>
      </w:pPr>
    </w:p>
    <w:p w:rsidR="00D2709B" w:rsidRPr="003C1650" w:rsidRDefault="00D2709B">
      <w:pPr>
        <w:pStyle w:val="llb"/>
        <w:tabs>
          <w:tab w:val="clear" w:pos="4536"/>
          <w:tab w:val="clear" w:pos="9072"/>
          <w:tab w:val="left" w:pos="5103"/>
        </w:tabs>
        <w:rPr>
          <w:bCs/>
          <w:sz w:val="23"/>
          <w:szCs w:val="23"/>
        </w:rPr>
      </w:pPr>
      <w:r w:rsidRPr="003C1650">
        <w:rPr>
          <w:bCs/>
          <w:sz w:val="23"/>
          <w:szCs w:val="23"/>
        </w:rPr>
        <w:t xml:space="preserve">vezérigazgató </w:t>
      </w:r>
      <w:r w:rsidRPr="003C1650">
        <w:rPr>
          <w:bCs/>
          <w:sz w:val="23"/>
          <w:szCs w:val="23"/>
        </w:rPr>
        <w:tab/>
        <w:t>műszaki igazgató</w:t>
      </w:r>
    </w:p>
    <w:p w:rsidR="00D2709B" w:rsidRPr="003C1650" w:rsidRDefault="00746AFA">
      <w:pPr>
        <w:pStyle w:val="llb"/>
        <w:tabs>
          <w:tab w:val="clear" w:pos="4536"/>
          <w:tab w:val="clear" w:pos="9072"/>
          <w:tab w:val="left" w:pos="5103"/>
        </w:tabs>
        <w:rPr>
          <w:bCs/>
          <w:sz w:val="23"/>
          <w:szCs w:val="23"/>
        </w:rPr>
      </w:pPr>
      <w:r w:rsidRPr="003C1650">
        <w:rPr>
          <w:bCs/>
          <w:sz w:val="23"/>
          <w:szCs w:val="23"/>
        </w:rPr>
        <w:t>Krenner Róbert</w:t>
      </w:r>
      <w:r w:rsidRPr="003C1650">
        <w:rPr>
          <w:bCs/>
          <w:sz w:val="23"/>
          <w:szCs w:val="23"/>
        </w:rPr>
        <w:tab/>
        <w:t>Szalai Róbert</w:t>
      </w:r>
    </w:p>
    <w:p w:rsidR="00D51AA4" w:rsidRPr="003C1650" w:rsidRDefault="00D51AA4">
      <w:pPr>
        <w:tabs>
          <w:tab w:val="left" w:pos="5103"/>
        </w:tabs>
        <w:rPr>
          <w:sz w:val="12"/>
          <w:szCs w:val="12"/>
        </w:rPr>
      </w:pPr>
    </w:p>
    <w:p w:rsidR="00D51AA4" w:rsidRPr="003C1650" w:rsidRDefault="00D2709B">
      <w:pPr>
        <w:tabs>
          <w:tab w:val="left" w:pos="5103"/>
        </w:tabs>
        <w:rPr>
          <w:bCs/>
          <w:sz w:val="23"/>
          <w:szCs w:val="23"/>
        </w:rPr>
      </w:pPr>
      <w:r w:rsidRPr="003C1650">
        <w:rPr>
          <w:bCs/>
          <w:sz w:val="23"/>
          <w:szCs w:val="23"/>
        </w:rPr>
        <w:t>gazdasági igazgató</w:t>
      </w:r>
      <w:r w:rsidRPr="003C1650">
        <w:rPr>
          <w:bCs/>
          <w:sz w:val="23"/>
          <w:szCs w:val="23"/>
        </w:rPr>
        <w:tab/>
      </w:r>
      <w:r w:rsidR="000246C0" w:rsidRPr="003C1650">
        <w:rPr>
          <w:sz w:val="23"/>
          <w:szCs w:val="23"/>
        </w:rPr>
        <w:t>beruházási és fejlesztési igazgató</w:t>
      </w:r>
    </w:p>
    <w:p w:rsidR="00D51AA4" w:rsidRPr="003C1650" w:rsidRDefault="00D51AA4">
      <w:pPr>
        <w:pStyle w:val="xl91"/>
        <w:tabs>
          <w:tab w:val="left" w:pos="5100"/>
        </w:tabs>
        <w:spacing w:before="0" w:beforeAutospacing="0" w:after="0" w:afterAutospacing="0"/>
        <w:rPr>
          <w:bCs/>
          <w:color w:val="auto"/>
          <w:sz w:val="23"/>
          <w:szCs w:val="23"/>
        </w:rPr>
      </w:pPr>
      <w:r w:rsidRPr="003C1650">
        <w:rPr>
          <w:rFonts w:eastAsia="Times New Roman"/>
          <w:bCs/>
          <w:color w:val="auto"/>
          <w:sz w:val="23"/>
          <w:szCs w:val="23"/>
        </w:rPr>
        <w:t>Kovácsné Nyári Gizella</w:t>
      </w:r>
      <w:r w:rsidRPr="003C1650">
        <w:rPr>
          <w:rFonts w:eastAsia="Times New Roman"/>
          <w:bCs/>
          <w:color w:val="auto"/>
          <w:sz w:val="23"/>
          <w:szCs w:val="23"/>
        </w:rPr>
        <w:tab/>
      </w:r>
      <w:r w:rsidR="000246C0" w:rsidRPr="003C1650">
        <w:rPr>
          <w:bCs/>
          <w:color w:val="auto"/>
          <w:sz w:val="23"/>
          <w:szCs w:val="23"/>
        </w:rPr>
        <w:t xml:space="preserve">Németh Gábor </w:t>
      </w:r>
    </w:p>
    <w:p w:rsidR="00D2709B" w:rsidRPr="003C1650" w:rsidRDefault="00D2709B">
      <w:pPr>
        <w:pStyle w:val="xl91"/>
        <w:tabs>
          <w:tab w:val="left" w:pos="5100"/>
        </w:tabs>
        <w:spacing w:before="0" w:beforeAutospacing="0" w:after="0" w:afterAutospacing="0"/>
        <w:rPr>
          <w:bCs/>
          <w:color w:val="auto"/>
          <w:sz w:val="28"/>
          <w:szCs w:val="28"/>
        </w:rPr>
      </w:pPr>
    </w:p>
    <w:p w:rsidR="00D51AA4" w:rsidRPr="007A3439" w:rsidRDefault="00D51AA4">
      <w:pPr>
        <w:pStyle w:val="Cmsor2"/>
        <w:rPr>
          <w:rFonts w:ascii="Times New Roman" w:hAnsi="Times New Roman"/>
          <w:iCs w:val="0"/>
          <w:sz w:val="24"/>
          <w:szCs w:val="24"/>
        </w:rPr>
      </w:pPr>
      <w:bookmarkStart w:id="9" w:name="_Toc132629464"/>
      <w:r w:rsidRPr="007A3439">
        <w:rPr>
          <w:rFonts w:ascii="Times New Roman" w:hAnsi="Times New Roman"/>
          <w:iCs w:val="0"/>
          <w:sz w:val="24"/>
          <w:szCs w:val="24"/>
        </w:rPr>
        <w:t>Szervezeti felépítés</w:t>
      </w:r>
      <w:bookmarkEnd w:id="9"/>
    </w:p>
    <w:p w:rsidR="00D51AA4" w:rsidRPr="00DB2665" w:rsidRDefault="00D51AA4">
      <w:pPr>
        <w:pStyle w:val="Szvegtrzs3"/>
        <w:tabs>
          <w:tab w:val="center" w:pos="2410"/>
          <w:tab w:val="right" w:pos="2694"/>
          <w:tab w:val="center" w:pos="3686"/>
          <w:tab w:val="center" w:pos="5529"/>
          <w:tab w:val="center" w:pos="6663"/>
          <w:tab w:val="center" w:pos="8080"/>
          <w:tab w:val="center" w:pos="9214"/>
        </w:tabs>
        <w:rPr>
          <w:sz w:val="12"/>
          <w:szCs w:val="12"/>
        </w:rPr>
      </w:pPr>
    </w:p>
    <w:p w:rsidR="000E519D" w:rsidRPr="00DB2665" w:rsidRDefault="00CE1E7B" w:rsidP="002D5852">
      <w:pPr>
        <w:rPr>
          <w:sz w:val="22"/>
        </w:rPr>
      </w:pPr>
      <w:r w:rsidRPr="00DB2665">
        <w:rPr>
          <w:noProof/>
        </w:rPr>
        <w:drawing>
          <wp:inline distT="0" distB="0" distL="0" distR="0" wp14:anchorId="2780768F" wp14:editId="19ED2350">
            <wp:extent cx="6067164" cy="3870251"/>
            <wp:effectExtent l="0" t="0" r="0" b="0"/>
            <wp:docPr id="4"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070192" cy="3872182"/>
                    </a:xfrm>
                    <a:prstGeom prst="rect">
                      <a:avLst/>
                    </a:prstGeom>
                    <a:effectLst>
                      <a:softEdge rad="0"/>
                    </a:effectLst>
                  </pic:spPr>
                </pic:pic>
              </a:graphicData>
            </a:graphic>
          </wp:inline>
        </w:drawing>
      </w:r>
    </w:p>
    <w:p w:rsidR="009F6226" w:rsidRPr="007A3439" w:rsidRDefault="009F6226" w:rsidP="00124401">
      <w:pPr>
        <w:rPr>
          <w:sz w:val="22"/>
          <w:szCs w:val="22"/>
        </w:rPr>
      </w:pPr>
    </w:p>
    <w:p w:rsidR="00D51AA4" w:rsidRPr="007A3439" w:rsidRDefault="00D51AA4">
      <w:pPr>
        <w:pStyle w:val="Cmsor2"/>
        <w:rPr>
          <w:rFonts w:ascii="Times New Roman" w:hAnsi="Times New Roman"/>
          <w:iCs w:val="0"/>
          <w:sz w:val="24"/>
          <w:szCs w:val="24"/>
        </w:rPr>
      </w:pPr>
      <w:bookmarkStart w:id="10" w:name="_Toc132629465"/>
      <w:r w:rsidRPr="007A3439">
        <w:rPr>
          <w:rFonts w:ascii="Times New Roman" w:hAnsi="Times New Roman"/>
          <w:iCs w:val="0"/>
          <w:sz w:val="24"/>
          <w:szCs w:val="24"/>
        </w:rPr>
        <w:t>Székhely</w:t>
      </w:r>
      <w:bookmarkEnd w:id="10"/>
    </w:p>
    <w:p w:rsidR="00D51AA4" w:rsidRPr="007A3439" w:rsidRDefault="00D51AA4">
      <w:pPr>
        <w:rPr>
          <w:szCs w:val="24"/>
        </w:rPr>
      </w:pPr>
      <w:r w:rsidRPr="007A3439">
        <w:rPr>
          <w:szCs w:val="24"/>
        </w:rPr>
        <w:t>Szombathely Rákó</w:t>
      </w:r>
      <w:r w:rsidR="007E33ED" w:rsidRPr="007A3439">
        <w:rPr>
          <w:szCs w:val="24"/>
        </w:rPr>
        <w:t>czi F</w:t>
      </w:r>
      <w:r w:rsidR="00791F39" w:rsidRPr="007A3439">
        <w:rPr>
          <w:szCs w:val="24"/>
        </w:rPr>
        <w:t>.</w:t>
      </w:r>
      <w:r w:rsidR="007E33ED" w:rsidRPr="007A3439">
        <w:rPr>
          <w:szCs w:val="24"/>
        </w:rPr>
        <w:t xml:space="preserve"> u</w:t>
      </w:r>
      <w:r w:rsidR="00791F39" w:rsidRPr="007A3439">
        <w:rPr>
          <w:szCs w:val="24"/>
        </w:rPr>
        <w:t>tca</w:t>
      </w:r>
      <w:r w:rsidR="007E33ED" w:rsidRPr="007A3439">
        <w:rPr>
          <w:szCs w:val="24"/>
        </w:rPr>
        <w:t xml:space="preserve"> </w:t>
      </w:r>
      <w:r w:rsidRPr="007A3439">
        <w:rPr>
          <w:szCs w:val="24"/>
        </w:rPr>
        <w:t>19.</w:t>
      </w:r>
    </w:p>
    <w:p w:rsidR="006F1824" w:rsidRPr="003C1650" w:rsidRDefault="006F1824">
      <w:pPr>
        <w:rPr>
          <w:sz w:val="16"/>
          <w:szCs w:val="16"/>
        </w:rPr>
      </w:pPr>
    </w:p>
    <w:p w:rsidR="00D51AA4" w:rsidRPr="007A3439" w:rsidRDefault="00D51AA4">
      <w:pPr>
        <w:pStyle w:val="Cmsor2"/>
        <w:rPr>
          <w:rFonts w:ascii="Times New Roman" w:hAnsi="Times New Roman"/>
          <w:iCs w:val="0"/>
          <w:sz w:val="24"/>
          <w:szCs w:val="24"/>
        </w:rPr>
      </w:pPr>
      <w:bookmarkStart w:id="11" w:name="_Toc311706811"/>
      <w:bookmarkStart w:id="12" w:name="_Toc132629466"/>
      <w:r w:rsidRPr="007A3439">
        <w:rPr>
          <w:rFonts w:ascii="Times New Roman" w:hAnsi="Times New Roman"/>
          <w:iCs w:val="0"/>
          <w:sz w:val="24"/>
          <w:szCs w:val="24"/>
        </w:rPr>
        <w:t>Telephelyek</w:t>
      </w:r>
      <w:bookmarkEnd w:id="11"/>
      <w:bookmarkEnd w:id="12"/>
    </w:p>
    <w:p w:rsidR="00D51AA4" w:rsidRPr="003C1650" w:rsidRDefault="00D51AA4">
      <w:pPr>
        <w:rPr>
          <w:sz w:val="16"/>
          <w:szCs w:val="16"/>
        </w:rPr>
      </w:pPr>
    </w:p>
    <w:p w:rsidR="00D51AA4" w:rsidRPr="003C1650" w:rsidRDefault="00D51AA4">
      <w:pPr>
        <w:rPr>
          <w:i/>
          <w:sz w:val="23"/>
          <w:szCs w:val="23"/>
        </w:rPr>
      </w:pPr>
      <w:r w:rsidRPr="003C1650">
        <w:rPr>
          <w:i/>
          <w:sz w:val="23"/>
          <w:szCs w:val="23"/>
        </w:rPr>
        <w:t>1.  Szombathely Vépi út 8.</w:t>
      </w:r>
    </w:p>
    <w:p w:rsidR="002E0375" w:rsidRPr="003C1650" w:rsidRDefault="002E0375">
      <w:pPr>
        <w:rPr>
          <w:i/>
          <w:sz w:val="12"/>
          <w:szCs w:val="12"/>
        </w:rPr>
      </w:pPr>
    </w:p>
    <w:p w:rsidR="00D51AA4" w:rsidRPr="003C1650" w:rsidRDefault="00D51AA4">
      <w:pPr>
        <w:ind w:left="284"/>
        <w:rPr>
          <w:i/>
          <w:sz w:val="23"/>
          <w:szCs w:val="23"/>
        </w:rPr>
      </w:pPr>
      <w:r w:rsidRPr="003C1650">
        <w:rPr>
          <w:i/>
          <w:sz w:val="23"/>
          <w:szCs w:val="23"/>
        </w:rPr>
        <w:t xml:space="preserve">Szombathelyi Vízszolgáltatási Üzemmérnökség </w:t>
      </w:r>
    </w:p>
    <w:p w:rsidR="00BC498F" w:rsidRPr="003C1650" w:rsidRDefault="00910A7C" w:rsidP="00910A7C">
      <w:pPr>
        <w:pStyle w:val="font5"/>
        <w:spacing w:before="0" w:beforeAutospacing="0" w:after="0" w:afterAutospacing="0"/>
        <w:ind w:left="284"/>
        <w:jc w:val="left"/>
        <w:rPr>
          <w:sz w:val="23"/>
          <w:szCs w:val="23"/>
        </w:rPr>
      </w:pPr>
      <w:r w:rsidRPr="003C1650">
        <w:rPr>
          <w:sz w:val="23"/>
          <w:szCs w:val="23"/>
        </w:rPr>
        <w:t>Szombathely-Kőszeg regionális ivóvíz ellátási rendszer (3</w:t>
      </w:r>
      <w:r w:rsidR="0081051F" w:rsidRPr="003C1650">
        <w:rPr>
          <w:sz w:val="23"/>
          <w:szCs w:val="23"/>
        </w:rPr>
        <w:t>6</w:t>
      </w:r>
      <w:r w:rsidRPr="003C1650">
        <w:rPr>
          <w:sz w:val="23"/>
          <w:szCs w:val="23"/>
        </w:rPr>
        <w:t xml:space="preserve"> település)</w:t>
      </w:r>
      <w:r w:rsidR="00BC498F" w:rsidRPr="003C1650">
        <w:rPr>
          <w:sz w:val="23"/>
          <w:szCs w:val="23"/>
        </w:rPr>
        <w:t xml:space="preserve"> és további </w:t>
      </w:r>
    </w:p>
    <w:p w:rsidR="00D51AA4" w:rsidRPr="003C1650" w:rsidRDefault="00BC498F" w:rsidP="00910A7C">
      <w:pPr>
        <w:pStyle w:val="font5"/>
        <w:spacing w:before="0" w:beforeAutospacing="0" w:after="0" w:afterAutospacing="0"/>
        <w:ind w:left="284"/>
        <w:jc w:val="left"/>
        <w:rPr>
          <w:rFonts w:eastAsia="Times New Roman"/>
          <w:sz w:val="23"/>
          <w:szCs w:val="23"/>
        </w:rPr>
      </w:pPr>
      <w:r w:rsidRPr="003C1650">
        <w:rPr>
          <w:sz w:val="23"/>
          <w:szCs w:val="23"/>
        </w:rPr>
        <w:lastRenderedPageBreak/>
        <w:t>9 ivóvíz ellátási rendszer</w:t>
      </w:r>
      <w:r w:rsidR="00D51AA4" w:rsidRPr="003C1650">
        <w:rPr>
          <w:rFonts w:eastAsia="Times New Roman"/>
          <w:sz w:val="23"/>
          <w:szCs w:val="23"/>
        </w:rPr>
        <w:t xml:space="preserve"> </w:t>
      </w:r>
      <w:r w:rsidRPr="003C1650">
        <w:rPr>
          <w:rFonts w:eastAsia="Times New Roman"/>
          <w:sz w:val="23"/>
          <w:szCs w:val="23"/>
        </w:rPr>
        <w:t>2</w:t>
      </w:r>
      <w:r w:rsidR="003478CC" w:rsidRPr="003C1650">
        <w:rPr>
          <w:rFonts w:eastAsia="Times New Roman"/>
          <w:sz w:val="23"/>
          <w:szCs w:val="23"/>
        </w:rPr>
        <w:t>5</w:t>
      </w:r>
      <w:r w:rsidR="00D51AA4" w:rsidRPr="003C1650">
        <w:rPr>
          <w:rFonts w:eastAsia="Times New Roman"/>
          <w:sz w:val="23"/>
          <w:szCs w:val="23"/>
        </w:rPr>
        <w:t xml:space="preserve"> település</w:t>
      </w:r>
      <w:r w:rsidRPr="003C1650">
        <w:rPr>
          <w:rFonts w:eastAsia="Times New Roman"/>
          <w:sz w:val="23"/>
          <w:szCs w:val="23"/>
        </w:rPr>
        <w:t>.</w:t>
      </w:r>
    </w:p>
    <w:p w:rsidR="00910A7C" w:rsidRPr="003C1650" w:rsidRDefault="00D51AA4">
      <w:pPr>
        <w:ind w:left="284"/>
        <w:rPr>
          <w:sz w:val="23"/>
          <w:szCs w:val="23"/>
        </w:rPr>
      </w:pPr>
      <w:r w:rsidRPr="003C1650">
        <w:rPr>
          <w:sz w:val="23"/>
          <w:szCs w:val="23"/>
        </w:rPr>
        <w:t>További tevékenysége saját részre és megrendelésre végzett építés.</w:t>
      </w:r>
      <w:r w:rsidR="00910A7C" w:rsidRPr="003C1650">
        <w:rPr>
          <w:sz w:val="23"/>
          <w:szCs w:val="23"/>
        </w:rPr>
        <w:t xml:space="preserve"> </w:t>
      </w:r>
    </w:p>
    <w:p w:rsidR="00BC498F" w:rsidRPr="003C1650" w:rsidRDefault="00BC498F">
      <w:pPr>
        <w:ind w:left="284"/>
        <w:rPr>
          <w:sz w:val="12"/>
          <w:szCs w:val="12"/>
        </w:rPr>
      </w:pPr>
    </w:p>
    <w:p w:rsidR="00D51AA4" w:rsidRPr="003C1650" w:rsidRDefault="00910A7C">
      <w:pPr>
        <w:ind w:left="284"/>
        <w:rPr>
          <w:i/>
          <w:sz w:val="23"/>
          <w:szCs w:val="23"/>
        </w:rPr>
      </w:pPr>
      <w:r w:rsidRPr="003C1650">
        <w:rPr>
          <w:i/>
          <w:sz w:val="23"/>
          <w:szCs w:val="23"/>
        </w:rPr>
        <w:t>Logisztika, Építés</w:t>
      </w:r>
      <w:r w:rsidR="00B92423" w:rsidRPr="003C1650">
        <w:rPr>
          <w:i/>
          <w:sz w:val="23"/>
          <w:szCs w:val="23"/>
        </w:rPr>
        <w:t xml:space="preserve"> és Vállalkozás</w:t>
      </w:r>
      <w:r w:rsidR="00750DB2" w:rsidRPr="003C1650">
        <w:rPr>
          <w:i/>
          <w:sz w:val="23"/>
          <w:szCs w:val="23"/>
        </w:rPr>
        <w:t>, Üzemvitel</w:t>
      </w:r>
    </w:p>
    <w:p w:rsidR="00D51AA4" w:rsidRPr="003C1650" w:rsidRDefault="00D51AA4">
      <w:pPr>
        <w:rPr>
          <w:i/>
          <w:sz w:val="12"/>
          <w:szCs w:val="12"/>
        </w:rPr>
      </w:pPr>
    </w:p>
    <w:p w:rsidR="00D51AA4" w:rsidRPr="003C1650" w:rsidRDefault="00D51AA4">
      <w:pPr>
        <w:rPr>
          <w:i/>
          <w:sz w:val="23"/>
          <w:szCs w:val="23"/>
        </w:rPr>
      </w:pPr>
      <w:r w:rsidRPr="003C1650">
        <w:rPr>
          <w:i/>
          <w:sz w:val="23"/>
          <w:szCs w:val="23"/>
        </w:rPr>
        <w:t>2.  Szombathely Újvilág u.</w:t>
      </w:r>
    </w:p>
    <w:p w:rsidR="00791F39" w:rsidRPr="003C1650" w:rsidRDefault="00791F39">
      <w:pPr>
        <w:rPr>
          <w:i/>
          <w:sz w:val="12"/>
          <w:szCs w:val="12"/>
        </w:rPr>
      </w:pPr>
    </w:p>
    <w:p w:rsidR="00D51AA4" w:rsidRPr="003C1650" w:rsidRDefault="00D51AA4">
      <w:pPr>
        <w:ind w:left="284"/>
        <w:rPr>
          <w:i/>
          <w:sz w:val="23"/>
          <w:szCs w:val="23"/>
        </w:rPr>
      </w:pPr>
      <w:r w:rsidRPr="003C1650">
        <w:rPr>
          <w:i/>
          <w:sz w:val="23"/>
          <w:szCs w:val="23"/>
        </w:rPr>
        <w:t>Szombathelyi Szenny</w:t>
      </w:r>
      <w:r w:rsidR="007F1B44" w:rsidRPr="003C1650">
        <w:rPr>
          <w:i/>
          <w:sz w:val="23"/>
          <w:szCs w:val="23"/>
        </w:rPr>
        <w:t>víz-szolgáltatási Üzemmérnökség</w:t>
      </w:r>
      <w:r w:rsidRPr="003C1650">
        <w:rPr>
          <w:i/>
          <w:sz w:val="23"/>
          <w:szCs w:val="23"/>
        </w:rPr>
        <w:t xml:space="preserve"> </w:t>
      </w:r>
    </w:p>
    <w:p w:rsidR="006F1824" w:rsidRPr="003C1650" w:rsidRDefault="00D51AA4">
      <w:pPr>
        <w:ind w:left="284"/>
        <w:jc w:val="left"/>
        <w:rPr>
          <w:sz w:val="23"/>
          <w:szCs w:val="23"/>
        </w:rPr>
      </w:pPr>
      <w:r w:rsidRPr="003C1650">
        <w:rPr>
          <w:sz w:val="23"/>
          <w:szCs w:val="23"/>
        </w:rPr>
        <w:t>Szombathely-Kőszeg regionális szennyvíz elvezetési rendszer (3</w:t>
      </w:r>
      <w:r w:rsidR="005703AD" w:rsidRPr="003C1650">
        <w:rPr>
          <w:sz w:val="23"/>
          <w:szCs w:val="23"/>
        </w:rPr>
        <w:t>5</w:t>
      </w:r>
      <w:r w:rsidRPr="003C1650">
        <w:rPr>
          <w:sz w:val="23"/>
          <w:szCs w:val="23"/>
        </w:rPr>
        <w:t xml:space="preserve"> település)</w:t>
      </w:r>
      <w:r w:rsidR="006F1824" w:rsidRPr="003C1650">
        <w:rPr>
          <w:sz w:val="23"/>
          <w:szCs w:val="23"/>
        </w:rPr>
        <w:t xml:space="preserve"> </w:t>
      </w:r>
      <w:r w:rsidRPr="003C1650">
        <w:rPr>
          <w:sz w:val="23"/>
          <w:szCs w:val="23"/>
        </w:rPr>
        <w:t xml:space="preserve">szennyvíztisztító </w:t>
      </w:r>
    </w:p>
    <w:p w:rsidR="00830D86" w:rsidRDefault="00D51AA4" w:rsidP="00830D86">
      <w:pPr>
        <w:ind w:left="284"/>
        <w:jc w:val="left"/>
        <w:rPr>
          <w:sz w:val="23"/>
          <w:szCs w:val="23"/>
        </w:rPr>
      </w:pPr>
      <w:r w:rsidRPr="003C1650">
        <w:rPr>
          <w:sz w:val="23"/>
          <w:szCs w:val="23"/>
        </w:rPr>
        <w:t>és komposztáló telepe</w:t>
      </w:r>
    </w:p>
    <w:p w:rsidR="003C1650" w:rsidRDefault="00D51AA4" w:rsidP="003478CC">
      <w:pPr>
        <w:ind w:left="284"/>
        <w:jc w:val="left"/>
        <w:rPr>
          <w:sz w:val="23"/>
          <w:szCs w:val="23"/>
        </w:rPr>
      </w:pPr>
      <w:r w:rsidRPr="003C1650">
        <w:rPr>
          <w:sz w:val="23"/>
          <w:szCs w:val="23"/>
        </w:rPr>
        <w:t xml:space="preserve">További </w:t>
      </w:r>
      <w:r w:rsidR="00746AFA" w:rsidRPr="003C1650">
        <w:rPr>
          <w:sz w:val="23"/>
          <w:szCs w:val="23"/>
        </w:rPr>
        <w:t>8</w:t>
      </w:r>
      <w:r w:rsidRPr="003C1650">
        <w:rPr>
          <w:sz w:val="23"/>
          <w:szCs w:val="23"/>
        </w:rPr>
        <w:t xml:space="preserve"> szennyvízelvezető rendszer </w:t>
      </w:r>
      <w:r w:rsidR="00BC498F" w:rsidRPr="003C1650">
        <w:rPr>
          <w:sz w:val="23"/>
          <w:szCs w:val="23"/>
        </w:rPr>
        <w:t>2</w:t>
      </w:r>
      <w:r w:rsidR="00746AFA" w:rsidRPr="003C1650">
        <w:rPr>
          <w:sz w:val="23"/>
          <w:szCs w:val="23"/>
        </w:rPr>
        <w:t>2</w:t>
      </w:r>
      <w:r w:rsidRPr="003C1650">
        <w:rPr>
          <w:sz w:val="23"/>
          <w:szCs w:val="23"/>
        </w:rPr>
        <w:t xml:space="preserve"> településéről elveze</w:t>
      </w:r>
      <w:r w:rsidR="00905E7B" w:rsidRPr="003C1650">
        <w:rPr>
          <w:sz w:val="23"/>
          <w:szCs w:val="23"/>
        </w:rPr>
        <w:t>te</w:t>
      </w:r>
      <w:r w:rsidRPr="003C1650">
        <w:rPr>
          <w:sz w:val="23"/>
          <w:szCs w:val="23"/>
        </w:rPr>
        <w:t xml:space="preserve">tt szennyvíz tisztítása </w:t>
      </w:r>
      <w:r w:rsidR="00BC498F" w:rsidRPr="003C1650">
        <w:rPr>
          <w:sz w:val="23"/>
          <w:szCs w:val="23"/>
        </w:rPr>
        <w:t>7</w:t>
      </w:r>
      <w:r w:rsidRPr="003C1650">
        <w:rPr>
          <w:sz w:val="23"/>
          <w:szCs w:val="23"/>
        </w:rPr>
        <w:t xml:space="preserve"> szennyvíztisztító telepen.</w:t>
      </w:r>
      <w:r w:rsidR="003478CC" w:rsidRPr="003C1650">
        <w:rPr>
          <w:sz w:val="23"/>
          <w:szCs w:val="23"/>
        </w:rPr>
        <w:t xml:space="preserve"> </w:t>
      </w:r>
      <w:r w:rsidR="007C1A3E" w:rsidRPr="003C1650">
        <w:rPr>
          <w:sz w:val="23"/>
          <w:szCs w:val="23"/>
        </w:rPr>
        <w:t xml:space="preserve">Vát </w:t>
      </w:r>
      <w:r w:rsidR="003478CC" w:rsidRPr="003C1650">
        <w:rPr>
          <w:sz w:val="23"/>
          <w:szCs w:val="23"/>
        </w:rPr>
        <w:t xml:space="preserve">településen a </w:t>
      </w:r>
      <w:r w:rsidR="007C1A3E" w:rsidRPr="003C1650">
        <w:rPr>
          <w:sz w:val="23"/>
          <w:szCs w:val="23"/>
        </w:rPr>
        <w:t xml:space="preserve">szennyvízhálózat üzemeltetése, a szennyvíz tisztítása </w:t>
      </w:r>
      <w:r w:rsidR="007C1A3E" w:rsidRPr="003C1650">
        <w:rPr>
          <w:bCs/>
          <w:sz w:val="23"/>
          <w:szCs w:val="23"/>
        </w:rPr>
        <w:t xml:space="preserve">a Sopronvíz Zrt. által üzemeltetett, Bükön lévő szennyvíztisztító telepen </w:t>
      </w:r>
      <w:r w:rsidR="007C1A3E" w:rsidRPr="003C1650">
        <w:rPr>
          <w:sz w:val="23"/>
          <w:szCs w:val="23"/>
        </w:rPr>
        <w:t>történik.</w:t>
      </w:r>
    </w:p>
    <w:p w:rsidR="003C1650" w:rsidRDefault="003C1650">
      <w:pPr>
        <w:jc w:val="left"/>
        <w:rPr>
          <w:sz w:val="23"/>
          <w:szCs w:val="23"/>
        </w:rPr>
      </w:pPr>
      <w:r>
        <w:rPr>
          <w:sz w:val="23"/>
          <w:szCs w:val="23"/>
        </w:rPr>
        <w:br w:type="page"/>
      </w:r>
    </w:p>
    <w:p w:rsidR="00124401" w:rsidRDefault="00124401">
      <w:pPr>
        <w:jc w:val="left"/>
        <w:rPr>
          <w:sz w:val="23"/>
          <w:szCs w:val="23"/>
        </w:rPr>
      </w:pPr>
    </w:p>
    <w:p w:rsidR="003C1650" w:rsidRPr="003C1650" w:rsidRDefault="003C1650">
      <w:pPr>
        <w:jc w:val="left"/>
        <w:rPr>
          <w:sz w:val="23"/>
          <w:szCs w:val="23"/>
        </w:rPr>
      </w:pPr>
    </w:p>
    <w:p w:rsidR="00D51AA4" w:rsidRPr="003C1650" w:rsidRDefault="00D5121E" w:rsidP="00074598">
      <w:pPr>
        <w:ind w:left="284" w:right="176"/>
        <w:rPr>
          <w:sz w:val="23"/>
          <w:szCs w:val="23"/>
        </w:rPr>
      </w:pPr>
      <w:r w:rsidRPr="003C1650">
        <w:rPr>
          <w:sz w:val="23"/>
          <w:szCs w:val="23"/>
        </w:rPr>
        <w:t>Csepregen a</w:t>
      </w:r>
      <w:r w:rsidR="00D51AA4" w:rsidRPr="003C1650">
        <w:rPr>
          <w:sz w:val="23"/>
          <w:szCs w:val="23"/>
        </w:rPr>
        <w:t xml:space="preserve"> működési területen kívülről</w:t>
      </w:r>
      <w:r w:rsidRPr="003C1650">
        <w:rPr>
          <w:sz w:val="23"/>
          <w:szCs w:val="23"/>
        </w:rPr>
        <w:t>,</w:t>
      </w:r>
      <w:r w:rsidR="00D51AA4" w:rsidRPr="003C1650">
        <w:rPr>
          <w:sz w:val="23"/>
          <w:szCs w:val="23"/>
        </w:rPr>
        <w:t xml:space="preserve"> </w:t>
      </w:r>
      <w:r w:rsidR="00074598" w:rsidRPr="003C1650">
        <w:rPr>
          <w:sz w:val="23"/>
          <w:szCs w:val="23"/>
        </w:rPr>
        <w:t>a Soproni Vízmű Zrt</w:t>
      </w:r>
      <w:r w:rsidRPr="003C1650">
        <w:rPr>
          <w:sz w:val="23"/>
          <w:szCs w:val="23"/>
        </w:rPr>
        <w:t>.</w:t>
      </w:r>
      <w:r w:rsidR="00074598" w:rsidRPr="003C1650">
        <w:rPr>
          <w:sz w:val="23"/>
          <w:szCs w:val="23"/>
        </w:rPr>
        <w:t xml:space="preserve"> </w:t>
      </w:r>
      <w:r w:rsidR="00D51AA4" w:rsidRPr="003C1650">
        <w:rPr>
          <w:sz w:val="23"/>
          <w:szCs w:val="23"/>
        </w:rPr>
        <w:t>4 település</w:t>
      </w:r>
      <w:r w:rsidR="00074598" w:rsidRPr="003C1650">
        <w:rPr>
          <w:sz w:val="23"/>
          <w:szCs w:val="23"/>
        </w:rPr>
        <w:t>é</w:t>
      </w:r>
      <w:r w:rsidR="00D51AA4" w:rsidRPr="003C1650">
        <w:rPr>
          <w:sz w:val="23"/>
          <w:szCs w:val="23"/>
        </w:rPr>
        <w:t>ről fogad szennyvizet tisztításra</w:t>
      </w:r>
      <w:r w:rsidR="00A06717" w:rsidRPr="003C1650">
        <w:rPr>
          <w:sz w:val="23"/>
          <w:szCs w:val="23"/>
        </w:rPr>
        <w:t>, Szentpéterfán a szennyvíztisztító telepen határ menti ausztriai települések szennyvizét is tisztítják</w:t>
      </w:r>
      <w:r w:rsidR="00D51AA4" w:rsidRPr="003C1650">
        <w:rPr>
          <w:sz w:val="23"/>
          <w:szCs w:val="23"/>
        </w:rPr>
        <w:t>.</w:t>
      </w:r>
    </w:p>
    <w:p w:rsidR="00D51AA4" w:rsidRPr="003C1650" w:rsidRDefault="00D51AA4">
      <w:pPr>
        <w:ind w:left="284"/>
        <w:rPr>
          <w:sz w:val="23"/>
          <w:szCs w:val="23"/>
        </w:rPr>
      </w:pPr>
      <w:r w:rsidRPr="003C1650">
        <w:rPr>
          <w:sz w:val="23"/>
          <w:szCs w:val="23"/>
        </w:rPr>
        <w:t xml:space="preserve">A szombathelyi szennyvíztisztító telepen fogad szippantott szennyvizet. </w:t>
      </w:r>
    </w:p>
    <w:p w:rsidR="00D51AA4" w:rsidRPr="003C1650" w:rsidRDefault="00D51AA4" w:rsidP="003C1650">
      <w:pPr>
        <w:ind w:left="284" w:right="176"/>
        <w:rPr>
          <w:sz w:val="23"/>
          <w:szCs w:val="23"/>
        </w:rPr>
      </w:pPr>
      <w:r w:rsidRPr="003C1650">
        <w:rPr>
          <w:sz w:val="23"/>
          <w:szCs w:val="23"/>
        </w:rPr>
        <w:t>Speciális gépjárművei a</w:t>
      </w:r>
      <w:r w:rsidR="00750DB2" w:rsidRPr="003C1650">
        <w:rPr>
          <w:sz w:val="23"/>
          <w:szCs w:val="23"/>
        </w:rPr>
        <w:t xml:space="preserve"> szolgáltatási terület</w:t>
      </w:r>
      <w:r w:rsidRPr="003C1650">
        <w:rPr>
          <w:sz w:val="23"/>
          <w:szCs w:val="23"/>
        </w:rPr>
        <w:t xml:space="preserve"> összes csatornázott településén végzik a karbantartási munkákat.</w:t>
      </w:r>
    </w:p>
    <w:p w:rsidR="00D51AA4" w:rsidRPr="003C1650" w:rsidRDefault="00D51AA4">
      <w:pPr>
        <w:ind w:left="284"/>
        <w:rPr>
          <w:sz w:val="23"/>
          <w:szCs w:val="23"/>
        </w:rPr>
      </w:pPr>
      <w:r w:rsidRPr="003C1650">
        <w:rPr>
          <w:sz w:val="23"/>
          <w:szCs w:val="23"/>
        </w:rPr>
        <w:t>Szabad kapacitásában megrendelésre végez csatornatisztítást, csatornakamerázást.</w:t>
      </w:r>
    </w:p>
    <w:p w:rsidR="002E0375" w:rsidRPr="003C1650" w:rsidRDefault="002E0375">
      <w:pPr>
        <w:ind w:left="284"/>
        <w:rPr>
          <w:sz w:val="16"/>
          <w:szCs w:val="16"/>
        </w:rPr>
      </w:pPr>
    </w:p>
    <w:p w:rsidR="00791F39" w:rsidRPr="003C1650" w:rsidRDefault="00791F39" w:rsidP="00DB2665">
      <w:pPr>
        <w:jc w:val="left"/>
        <w:rPr>
          <w:i/>
          <w:sz w:val="23"/>
          <w:szCs w:val="23"/>
        </w:rPr>
      </w:pPr>
      <w:r w:rsidRPr="003C1650">
        <w:rPr>
          <w:i/>
          <w:sz w:val="23"/>
          <w:szCs w:val="23"/>
        </w:rPr>
        <w:t xml:space="preserve">Laboratórium </w:t>
      </w:r>
    </w:p>
    <w:p w:rsidR="006B02E3" w:rsidRPr="003C1650" w:rsidRDefault="00D51AA4">
      <w:pPr>
        <w:ind w:left="284" w:right="1100"/>
        <w:rPr>
          <w:sz w:val="23"/>
          <w:szCs w:val="23"/>
        </w:rPr>
      </w:pPr>
      <w:r w:rsidRPr="003C1650">
        <w:rPr>
          <w:sz w:val="23"/>
          <w:szCs w:val="23"/>
        </w:rPr>
        <w:t xml:space="preserve">A vízellátáshoz és szennyvíztisztításhoz kapcsolódó vizsgálatokon kívül szabad kapacitásban </w:t>
      </w:r>
      <w:r w:rsidR="006F1824" w:rsidRPr="003C1650">
        <w:rPr>
          <w:sz w:val="23"/>
          <w:szCs w:val="23"/>
        </w:rPr>
        <w:t>külső megrendelésre</w:t>
      </w:r>
      <w:r w:rsidRPr="003C1650">
        <w:rPr>
          <w:sz w:val="23"/>
          <w:szCs w:val="23"/>
        </w:rPr>
        <w:t xml:space="preserve"> is végez</w:t>
      </w:r>
      <w:r w:rsidR="006F1824" w:rsidRPr="003C1650">
        <w:rPr>
          <w:sz w:val="23"/>
          <w:szCs w:val="23"/>
        </w:rPr>
        <w:t xml:space="preserve"> vizsgálatokat</w:t>
      </w:r>
      <w:r w:rsidRPr="003C1650">
        <w:rPr>
          <w:sz w:val="23"/>
          <w:szCs w:val="23"/>
        </w:rPr>
        <w:t>.</w:t>
      </w:r>
    </w:p>
    <w:p w:rsidR="000A400D" w:rsidRPr="003C1650" w:rsidRDefault="000A400D">
      <w:pPr>
        <w:ind w:left="284" w:right="1100"/>
        <w:rPr>
          <w:sz w:val="16"/>
          <w:szCs w:val="16"/>
        </w:rPr>
      </w:pPr>
    </w:p>
    <w:p w:rsidR="00D51AA4" w:rsidRPr="003C1650" w:rsidRDefault="00D51AA4">
      <w:pPr>
        <w:pStyle w:val="xl36"/>
        <w:pBdr>
          <w:bottom w:val="none" w:sz="0" w:space="0" w:color="auto"/>
        </w:pBdr>
        <w:spacing w:before="0" w:beforeAutospacing="0" w:after="0" w:afterAutospacing="0"/>
        <w:rPr>
          <w:rFonts w:eastAsia="Times New Roman" w:cs="Times New Roman"/>
          <w:iCs w:val="0"/>
          <w:sz w:val="23"/>
          <w:szCs w:val="23"/>
        </w:rPr>
      </w:pPr>
      <w:r w:rsidRPr="003C1650">
        <w:rPr>
          <w:rFonts w:eastAsia="Times New Roman" w:cs="Times New Roman"/>
          <w:iCs w:val="0"/>
          <w:sz w:val="23"/>
          <w:szCs w:val="23"/>
        </w:rPr>
        <w:t xml:space="preserve">3.  Szombathely, Bartók Béla krt. 4. </w:t>
      </w:r>
    </w:p>
    <w:p w:rsidR="00D51AA4" w:rsidRPr="003C1650" w:rsidRDefault="00D51AA4">
      <w:pPr>
        <w:pStyle w:val="Szvegtrzs3"/>
        <w:tabs>
          <w:tab w:val="clear" w:pos="567"/>
          <w:tab w:val="clear" w:pos="7938"/>
        </w:tabs>
        <w:ind w:left="284"/>
        <w:rPr>
          <w:i/>
          <w:sz w:val="23"/>
          <w:szCs w:val="23"/>
        </w:rPr>
      </w:pPr>
      <w:r w:rsidRPr="003C1650">
        <w:rPr>
          <w:i/>
          <w:sz w:val="23"/>
          <w:szCs w:val="23"/>
        </w:rPr>
        <w:t>Uszoda és Termálfürdő</w:t>
      </w:r>
    </w:p>
    <w:p w:rsidR="009B684E" w:rsidRPr="003C1650" w:rsidRDefault="00D51AA4">
      <w:pPr>
        <w:ind w:left="284"/>
        <w:jc w:val="left"/>
        <w:rPr>
          <w:sz w:val="23"/>
          <w:szCs w:val="23"/>
        </w:rPr>
      </w:pPr>
      <w:r w:rsidRPr="003C1650">
        <w:rPr>
          <w:sz w:val="23"/>
          <w:szCs w:val="23"/>
        </w:rPr>
        <w:t>Fedett uszoda</w:t>
      </w:r>
      <w:r w:rsidR="00D5121E" w:rsidRPr="003C1650">
        <w:rPr>
          <w:sz w:val="23"/>
          <w:szCs w:val="23"/>
        </w:rPr>
        <w:t xml:space="preserve"> (50 m-es </w:t>
      </w:r>
      <w:r w:rsidR="006B493A" w:rsidRPr="003C1650">
        <w:rPr>
          <w:sz w:val="23"/>
          <w:szCs w:val="23"/>
        </w:rPr>
        <w:t>és 33 m-es medence)</w:t>
      </w:r>
      <w:r w:rsidRPr="003C1650">
        <w:rPr>
          <w:sz w:val="23"/>
          <w:szCs w:val="23"/>
        </w:rPr>
        <w:t xml:space="preserve"> és az idényjelleggel üzemel</w:t>
      </w:r>
      <w:r w:rsidR="006F1824" w:rsidRPr="003C1650">
        <w:rPr>
          <w:sz w:val="23"/>
          <w:szCs w:val="23"/>
        </w:rPr>
        <w:t>tetett termálfürdő.</w:t>
      </w:r>
    </w:p>
    <w:p w:rsidR="006F1824" w:rsidRPr="003C1650" w:rsidRDefault="006F1824">
      <w:pPr>
        <w:ind w:left="284"/>
        <w:jc w:val="left"/>
        <w:rPr>
          <w:sz w:val="16"/>
          <w:szCs w:val="16"/>
        </w:rPr>
      </w:pPr>
    </w:p>
    <w:p w:rsidR="00BC498F" w:rsidRPr="003C1650" w:rsidRDefault="00BC498F" w:rsidP="00BC498F">
      <w:pPr>
        <w:pStyle w:val="xl36"/>
        <w:pBdr>
          <w:bottom w:val="none" w:sz="0" w:space="0" w:color="auto"/>
        </w:pBdr>
        <w:spacing w:before="0" w:beforeAutospacing="0" w:after="0" w:afterAutospacing="0"/>
        <w:rPr>
          <w:rFonts w:eastAsia="Times New Roman" w:cs="Times New Roman"/>
          <w:iCs w:val="0"/>
          <w:sz w:val="23"/>
          <w:szCs w:val="23"/>
        </w:rPr>
      </w:pPr>
      <w:r w:rsidRPr="003C1650">
        <w:rPr>
          <w:rFonts w:eastAsia="Times New Roman" w:cs="Times New Roman"/>
          <w:iCs w:val="0"/>
          <w:sz w:val="23"/>
          <w:szCs w:val="23"/>
        </w:rPr>
        <w:t>4.  Sz</w:t>
      </w:r>
      <w:r w:rsidR="007E33ED" w:rsidRPr="003C1650">
        <w:rPr>
          <w:rFonts w:eastAsia="Times New Roman" w:cs="Times New Roman"/>
          <w:iCs w:val="0"/>
          <w:sz w:val="23"/>
          <w:szCs w:val="23"/>
        </w:rPr>
        <w:t>ombathely, Légszeszgyár u. 15.</w:t>
      </w:r>
    </w:p>
    <w:p w:rsidR="00BC498F" w:rsidRPr="003C1650" w:rsidRDefault="00BC498F" w:rsidP="00BC498F">
      <w:pPr>
        <w:pStyle w:val="Szvegtrzs3"/>
        <w:tabs>
          <w:tab w:val="clear" w:pos="567"/>
          <w:tab w:val="clear" w:pos="7938"/>
        </w:tabs>
        <w:ind w:left="284"/>
        <w:rPr>
          <w:i/>
          <w:sz w:val="23"/>
          <w:szCs w:val="23"/>
        </w:rPr>
      </w:pPr>
      <w:r w:rsidRPr="003C1650">
        <w:rPr>
          <w:i/>
          <w:sz w:val="23"/>
          <w:szCs w:val="23"/>
        </w:rPr>
        <w:t>Ügyfélszolgálat</w:t>
      </w:r>
    </w:p>
    <w:p w:rsidR="00D51AA4" w:rsidRPr="003C1650" w:rsidRDefault="00D51AA4">
      <w:pPr>
        <w:ind w:right="100"/>
        <w:rPr>
          <w:sz w:val="23"/>
          <w:szCs w:val="23"/>
        </w:rPr>
      </w:pPr>
    </w:p>
    <w:p w:rsidR="00D51AA4" w:rsidRPr="003C1650" w:rsidRDefault="00D51AA4">
      <w:pPr>
        <w:pStyle w:val="Cmsor2"/>
        <w:rPr>
          <w:rFonts w:ascii="Times New Roman" w:hAnsi="Times New Roman"/>
          <w:iCs w:val="0"/>
          <w:sz w:val="24"/>
          <w:szCs w:val="24"/>
        </w:rPr>
      </w:pPr>
      <w:bookmarkStart w:id="13" w:name="_Toc311706812"/>
      <w:bookmarkStart w:id="14" w:name="_Toc132629467"/>
      <w:r w:rsidRPr="003C1650">
        <w:rPr>
          <w:rFonts w:ascii="Times New Roman" w:hAnsi="Times New Roman"/>
          <w:iCs w:val="0"/>
          <w:sz w:val="24"/>
          <w:szCs w:val="24"/>
        </w:rPr>
        <w:t>Fióktelepek</w:t>
      </w:r>
      <w:bookmarkEnd w:id="13"/>
      <w:bookmarkEnd w:id="14"/>
    </w:p>
    <w:p w:rsidR="00D51AA4" w:rsidRPr="003C1650" w:rsidRDefault="00D51AA4">
      <w:pPr>
        <w:pStyle w:val="xl86"/>
        <w:spacing w:before="0" w:beforeAutospacing="0" w:after="0" w:afterAutospacing="0"/>
        <w:rPr>
          <w:rFonts w:eastAsia="Times New Roman" w:cs="Times New Roman"/>
        </w:rPr>
      </w:pPr>
    </w:p>
    <w:p w:rsidR="00D51AA4" w:rsidRPr="003C1650" w:rsidRDefault="00D51AA4">
      <w:pPr>
        <w:rPr>
          <w:i/>
          <w:sz w:val="23"/>
          <w:szCs w:val="23"/>
        </w:rPr>
      </w:pPr>
      <w:r w:rsidRPr="003C1650">
        <w:rPr>
          <w:i/>
          <w:sz w:val="23"/>
          <w:szCs w:val="23"/>
        </w:rPr>
        <w:t xml:space="preserve">1. Körmend Hunyadi u. 92. </w:t>
      </w:r>
    </w:p>
    <w:p w:rsidR="00FA40B3" w:rsidRPr="003C1650" w:rsidRDefault="00FA40B3">
      <w:pPr>
        <w:rPr>
          <w:i/>
          <w:sz w:val="12"/>
          <w:szCs w:val="12"/>
        </w:rPr>
      </w:pPr>
    </w:p>
    <w:p w:rsidR="00D51AA4" w:rsidRPr="003C1650" w:rsidRDefault="00D51AA4">
      <w:pPr>
        <w:ind w:left="300"/>
        <w:rPr>
          <w:i/>
          <w:sz w:val="23"/>
          <w:szCs w:val="23"/>
        </w:rPr>
      </w:pPr>
      <w:r w:rsidRPr="003C1650">
        <w:rPr>
          <w:i/>
          <w:sz w:val="23"/>
          <w:szCs w:val="23"/>
        </w:rPr>
        <w:t>Körmendi</w:t>
      </w:r>
      <w:r w:rsidR="00753872" w:rsidRPr="003C1650">
        <w:rPr>
          <w:i/>
          <w:sz w:val="23"/>
          <w:szCs w:val="23"/>
        </w:rPr>
        <w:t xml:space="preserve"> Vízszolgáltatási Üzemmérnökség központja</w:t>
      </w:r>
    </w:p>
    <w:p w:rsidR="00D51AA4" w:rsidRPr="003C1650" w:rsidRDefault="000D6D89">
      <w:pPr>
        <w:ind w:left="300"/>
        <w:rPr>
          <w:sz w:val="23"/>
          <w:szCs w:val="23"/>
        </w:rPr>
      </w:pPr>
      <w:r w:rsidRPr="003C1650">
        <w:rPr>
          <w:sz w:val="23"/>
          <w:szCs w:val="23"/>
        </w:rPr>
        <w:t>13</w:t>
      </w:r>
      <w:r w:rsidR="00D51AA4" w:rsidRPr="003C1650">
        <w:rPr>
          <w:sz w:val="23"/>
          <w:szCs w:val="23"/>
        </w:rPr>
        <w:t xml:space="preserve"> vízellátási rendszeren keresztül 3</w:t>
      </w:r>
      <w:r w:rsidR="007C1A3E" w:rsidRPr="003C1650">
        <w:rPr>
          <w:sz w:val="23"/>
          <w:szCs w:val="23"/>
        </w:rPr>
        <w:t>8</w:t>
      </w:r>
      <w:r w:rsidR="00D51AA4" w:rsidRPr="003C1650">
        <w:rPr>
          <w:sz w:val="23"/>
          <w:szCs w:val="23"/>
        </w:rPr>
        <w:t xml:space="preserve"> település ivóvíz ellátása.</w:t>
      </w:r>
    </w:p>
    <w:p w:rsidR="00D51AA4" w:rsidRPr="003C1650" w:rsidRDefault="00D51AA4">
      <w:pPr>
        <w:ind w:left="300"/>
        <w:rPr>
          <w:sz w:val="23"/>
          <w:szCs w:val="23"/>
        </w:rPr>
      </w:pPr>
      <w:r w:rsidRPr="003C1650">
        <w:rPr>
          <w:sz w:val="23"/>
          <w:szCs w:val="23"/>
        </w:rPr>
        <w:t>További tevékenysége saját részre és megrendelésre végzett építés.</w:t>
      </w:r>
    </w:p>
    <w:p w:rsidR="00D51AA4" w:rsidRPr="003C1650" w:rsidRDefault="00D51AA4">
      <w:pPr>
        <w:ind w:left="300"/>
        <w:rPr>
          <w:sz w:val="12"/>
          <w:szCs w:val="12"/>
        </w:rPr>
      </w:pPr>
    </w:p>
    <w:p w:rsidR="00D51AA4" w:rsidRPr="003C1650" w:rsidRDefault="00D51AA4">
      <w:pPr>
        <w:ind w:left="300"/>
        <w:rPr>
          <w:i/>
          <w:sz w:val="23"/>
          <w:szCs w:val="23"/>
        </w:rPr>
      </w:pPr>
      <w:r w:rsidRPr="003C1650">
        <w:rPr>
          <w:i/>
          <w:sz w:val="23"/>
          <w:szCs w:val="23"/>
        </w:rPr>
        <w:t>Körmendi Szennyvíz-szolgáltatási Üzemmérnökség</w:t>
      </w:r>
      <w:r w:rsidR="006B493A" w:rsidRPr="003C1650">
        <w:rPr>
          <w:i/>
          <w:sz w:val="23"/>
          <w:szCs w:val="23"/>
        </w:rPr>
        <w:t xml:space="preserve"> </w:t>
      </w:r>
    </w:p>
    <w:p w:rsidR="00D51AA4" w:rsidRPr="003C1650" w:rsidRDefault="001E68CA" w:rsidP="003C1650">
      <w:pPr>
        <w:ind w:left="300" w:right="176"/>
        <w:rPr>
          <w:sz w:val="23"/>
          <w:szCs w:val="23"/>
        </w:rPr>
      </w:pPr>
      <w:r w:rsidRPr="003C1650">
        <w:rPr>
          <w:sz w:val="23"/>
          <w:szCs w:val="23"/>
        </w:rPr>
        <w:t>1</w:t>
      </w:r>
      <w:r w:rsidR="005703AD" w:rsidRPr="003C1650">
        <w:rPr>
          <w:sz w:val="23"/>
          <w:szCs w:val="23"/>
        </w:rPr>
        <w:t>7</w:t>
      </w:r>
      <w:r w:rsidR="00D51AA4" w:rsidRPr="003C1650">
        <w:rPr>
          <w:sz w:val="23"/>
          <w:szCs w:val="23"/>
        </w:rPr>
        <w:t xml:space="preserve"> szennyvízelvezető rendszer </w:t>
      </w:r>
      <w:r w:rsidR="005703AD" w:rsidRPr="003C1650">
        <w:rPr>
          <w:sz w:val="23"/>
          <w:szCs w:val="23"/>
        </w:rPr>
        <w:t>32</w:t>
      </w:r>
      <w:r w:rsidR="00D51AA4" w:rsidRPr="003C1650">
        <w:rPr>
          <w:sz w:val="23"/>
          <w:szCs w:val="23"/>
        </w:rPr>
        <w:t xml:space="preserve"> településéről elveze</w:t>
      </w:r>
      <w:r w:rsidR="00747188" w:rsidRPr="003C1650">
        <w:rPr>
          <w:sz w:val="23"/>
          <w:szCs w:val="23"/>
        </w:rPr>
        <w:t>te</w:t>
      </w:r>
      <w:r w:rsidR="00D51AA4" w:rsidRPr="003C1650">
        <w:rPr>
          <w:sz w:val="23"/>
          <w:szCs w:val="23"/>
        </w:rPr>
        <w:t xml:space="preserve">tt szennyvíz tisztítása </w:t>
      </w:r>
      <w:r w:rsidR="00CE455F" w:rsidRPr="003C1650">
        <w:rPr>
          <w:sz w:val="23"/>
          <w:szCs w:val="23"/>
        </w:rPr>
        <w:t>1</w:t>
      </w:r>
      <w:r w:rsidR="005703AD" w:rsidRPr="003C1650">
        <w:rPr>
          <w:sz w:val="23"/>
          <w:szCs w:val="23"/>
        </w:rPr>
        <w:t>7</w:t>
      </w:r>
      <w:r w:rsidRPr="003C1650">
        <w:rPr>
          <w:sz w:val="23"/>
          <w:szCs w:val="23"/>
        </w:rPr>
        <w:t xml:space="preserve"> szennyvíztisztító telepen.</w:t>
      </w:r>
      <w:r w:rsidR="00D51AA4" w:rsidRPr="003C1650">
        <w:rPr>
          <w:sz w:val="23"/>
          <w:szCs w:val="23"/>
        </w:rPr>
        <w:t xml:space="preserve"> </w:t>
      </w:r>
      <w:r w:rsidR="00901169" w:rsidRPr="003C1650">
        <w:rPr>
          <w:sz w:val="23"/>
          <w:szCs w:val="23"/>
        </w:rPr>
        <w:t xml:space="preserve">Ezen felül </w:t>
      </w:r>
      <w:r w:rsidR="00747188" w:rsidRPr="003C1650">
        <w:rPr>
          <w:sz w:val="23"/>
          <w:szCs w:val="23"/>
        </w:rPr>
        <w:t>3 szennyvízelvezető rendszer</w:t>
      </w:r>
      <w:r w:rsidR="00335760" w:rsidRPr="003C1650">
        <w:rPr>
          <w:sz w:val="23"/>
          <w:szCs w:val="23"/>
        </w:rPr>
        <w:t xml:space="preserve"> - </w:t>
      </w:r>
      <w:r w:rsidR="00D51AA4" w:rsidRPr="003C1650">
        <w:rPr>
          <w:sz w:val="23"/>
          <w:szCs w:val="23"/>
        </w:rPr>
        <w:t xml:space="preserve">Szentgotthárd </w:t>
      </w:r>
      <w:r w:rsidRPr="003C1650">
        <w:rPr>
          <w:sz w:val="23"/>
          <w:szCs w:val="23"/>
        </w:rPr>
        <w:t xml:space="preserve">valamint </w:t>
      </w:r>
      <w:r w:rsidR="00D51AA4" w:rsidRPr="003C1650">
        <w:rPr>
          <w:sz w:val="23"/>
          <w:szCs w:val="23"/>
        </w:rPr>
        <w:t>Csörötnek és térség</w:t>
      </w:r>
      <w:r w:rsidRPr="003C1650">
        <w:rPr>
          <w:sz w:val="23"/>
          <w:szCs w:val="23"/>
        </w:rPr>
        <w:t>e (9 település</w:t>
      </w:r>
      <w:r w:rsidR="003559EF" w:rsidRPr="003C1650">
        <w:rPr>
          <w:sz w:val="23"/>
          <w:szCs w:val="23"/>
        </w:rPr>
        <w:t>, 2 szennyvízelvezető rendszer</w:t>
      </w:r>
      <w:r w:rsidRPr="003C1650">
        <w:rPr>
          <w:sz w:val="23"/>
          <w:szCs w:val="23"/>
        </w:rPr>
        <w:t>)</w:t>
      </w:r>
      <w:r w:rsidR="00D51AA4" w:rsidRPr="003C1650">
        <w:rPr>
          <w:sz w:val="23"/>
          <w:szCs w:val="23"/>
        </w:rPr>
        <w:t xml:space="preserve"> </w:t>
      </w:r>
      <w:r w:rsidR="00335760" w:rsidRPr="003C1650">
        <w:rPr>
          <w:sz w:val="23"/>
          <w:szCs w:val="23"/>
        </w:rPr>
        <w:t>-</w:t>
      </w:r>
      <w:r w:rsidR="00901169" w:rsidRPr="003C1650">
        <w:rPr>
          <w:sz w:val="23"/>
          <w:szCs w:val="23"/>
        </w:rPr>
        <w:t>, amelyeknek</w:t>
      </w:r>
      <w:r w:rsidR="00335760" w:rsidRPr="003C1650">
        <w:rPr>
          <w:sz w:val="23"/>
          <w:szCs w:val="23"/>
        </w:rPr>
        <w:t xml:space="preserve"> </w:t>
      </w:r>
      <w:r w:rsidRPr="003C1650">
        <w:rPr>
          <w:sz w:val="23"/>
          <w:szCs w:val="23"/>
        </w:rPr>
        <w:t>szennyv</w:t>
      </w:r>
      <w:r w:rsidR="00901169" w:rsidRPr="003C1650">
        <w:rPr>
          <w:sz w:val="23"/>
          <w:szCs w:val="23"/>
        </w:rPr>
        <w:t>íz</w:t>
      </w:r>
      <w:r w:rsidRPr="003C1650">
        <w:rPr>
          <w:sz w:val="23"/>
          <w:szCs w:val="23"/>
        </w:rPr>
        <w:t xml:space="preserve">tisztítása </w:t>
      </w:r>
      <w:r w:rsidR="00D51AA4" w:rsidRPr="003C1650">
        <w:rPr>
          <w:sz w:val="23"/>
          <w:szCs w:val="23"/>
        </w:rPr>
        <w:t>Ausztriában történik.</w:t>
      </w:r>
    </w:p>
    <w:p w:rsidR="00D51AA4" w:rsidRPr="003C1650" w:rsidRDefault="00D51AA4">
      <w:pPr>
        <w:ind w:left="300"/>
        <w:rPr>
          <w:sz w:val="23"/>
          <w:szCs w:val="23"/>
        </w:rPr>
      </w:pPr>
      <w:r w:rsidRPr="003C1650">
        <w:rPr>
          <w:sz w:val="23"/>
          <w:szCs w:val="23"/>
        </w:rPr>
        <w:t>Szippantott szennyvíz fogadása Körmenden, Vasváron.</w:t>
      </w:r>
    </w:p>
    <w:p w:rsidR="00D51AA4" w:rsidRPr="003C1650" w:rsidRDefault="00D51AA4">
      <w:pPr>
        <w:rPr>
          <w:sz w:val="23"/>
          <w:szCs w:val="23"/>
        </w:rPr>
      </w:pPr>
    </w:p>
    <w:p w:rsidR="00D51AA4" w:rsidRPr="003C1650" w:rsidRDefault="00D51AA4">
      <w:pPr>
        <w:rPr>
          <w:i/>
          <w:sz w:val="23"/>
          <w:szCs w:val="23"/>
        </w:rPr>
      </w:pPr>
      <w:r w:rsidRPr="003C1650">
        <w:rPr>
          <w:i/>
          <w:sz w:val="23"/>
          <w:szCs w:val="23"/>
        </w:rPr>
        <w:t xml:space="preserve">2. Szentgotthárd Wesselényi u. 3. </w:t>
      </w:r>
    </w:p>
    <w:p w:rsidR="00FA40B3" w:rsidRPr="003C1650" w:rsidRDefault="00FA40B3">
      <w:pPr>
        <w:ind w:left="300"/>
        <w:rPr>
          <w:sz w:val="12"/>
          <w:szCs w:val="12"/>
        </w:rPr>
      </w:pPr>
    </w:p>
    <w:p w:rsidR="00D51AA4" w:rsidRPr="003C1650" w:rsidRDefault="00D51AA4">
      <w:pPr>
        <w:ind w:left="300"/>
        <w:rPr>
          <w:i/>
          <w:sz w:val="23"/>
          <w:szCs w:val="23"/>
        </w:rPr>
      </w:pPr>
      <w:r w:rsidRPr="003C1650">
        <w:rPr>
          <w:i/>
          <w:sz w:val="23"/>
          <w:szCs w:val="23"/>
        </w:rPr>
        <w:t>Körmendi</w:t>
      </w:r>
      <w:r w:rsidR="00753872" w:rsidRPr="003C1650">
        <w:rPr>
          <w:i/>
          <w:sz w:val="23"/>
          <w:szCs w:val="23"/>
        </w:rPr>
        <w:t xml:space="preserve"> Vízszolgáltatási Üzemmérnökség művezetősége</w:t>
      </w:r>
    </w:p>
    <w:p w:rsidR="00D51AA4" w:rsidRPr="003C1650" w:rsidRDefault="00D51AA4">
      <w:pPr>
        <w:ind w:left="300"/>
        <w:rPr>
          <w:sz w:val="23"/>
          <w:szCs w:val="23"/>
        </w:rPr>
      </w:pPr>
      <w:r w:rsidRPr="003C1650">
        <w:rPr>
          <w:sz w:val="23"/>
          <w:szCs w:val="23"/>
        </w:rPr>
        <w:t>10 vízellátási rendszeren 32 település ivóvízellátása.</w:t>
      </w:r>
    </w:p>
    <w:p w:rsidR="00004203" w:rsidRPr="003C1650" w:rsidRDefault="00D51AA4" w:rsidP="00F84AA8">
      <w:pPr>
        <w:ind w:left="300"/>
        <w:rPr>
          <w:sz w:val="23"/>
          <w:szCs w:val="23"/>
        </w:rPr>
      </w:pPr>
      <w:r w:rsidRPr="003C1650">
        <w:rPr>
          <w:sz w:val="23"/>
          <w:szCs w:val="23"/>
        </w:rPr>
        <w:lastRenderedPageBreak/>
        <w:t>További tevékenysége saját részre és megrendelésre végzett építés.</w:t>
      </w:r>
    </w:p>
    <w:p w:rsidR="006B493A" w:rsidRPr="003B7B8A" w:rsidRDefault="006B493A" w:rsidP="00F84AA8">
      <w:pPr>
        <w:ind w:left="300"/>
        <w:rPr>
          <w:sz w:val="22"/>
          <w:szCs w:val="22"/>
        </w:rPr>
      </w:pPr>
    </w:p>
    <w:p w:rsidR="00782075" w:rsidRPr="003C1650" w:rsidRDefault="00782075" w:rsidP="00782075">
      <w:pPr>
        <w:rPr>
          <w:i/>
          <w:sz w:val="23"/>
          <w:szCs w:val="23"/>
        </w:rPr>
      </w:pPr>
      <w:r w:rsidRPr="003C1650">
        <w:rPr>
          <w:i/>
          <w:sz w:val="23"/>
          <w:szCs w:val="23"/>
        </w:rPr>
        <w:t xml:space="preserve">3.  Vasvár, Petőfi S. u. 110. </w:t>
      </w:r>
    </w:p>
    <w:p w:rsidR="00782075" w:rsidRPr="003B7B8A" w:rsidRDefault="00782075" w:rsidP="00782075">
      <w:pPr>
        <w:ind w:left="300"/>
        <w:rPr>
          <w:sz w:val="12"/>
          <w:szCs w:val="12"/>
        </w:rPr>
      </w:pPr>
    </w:p>
    <w:p w:rsidR="00782075" w:rsidRPr="003C1650" w:rsidRDefault="00782075" w:rsidP="00782075">
      <w:pPr>
        <w:ind w:left="300"/>
        <w:rPr>
          <w:i/>
          <w:sz w:val="23"/>
          <w:szCs w:val="23"/>
        </w:rPr>
      </w:pPr>
      <w:r w:rsidRPr="003C1650">
        <w:rPr>
          <w:i/>
          <w:sz w:val="23"/>
          <w:szCs w:val="23"/>
        </w:rPr>
        <w:t xml:space="preserve">Körmendi Vízszolgáltatási Üzemmérnökség </w:t>
      </w:r>
      <w:r w:rsidR="00753872" w:rsidRPr="003C1650">
        <w:rPr>
          <w:i/>
          <w:sz w:val="23"/>
          <w:szCs w:val="23"/>
        </w:rPr>
        <w:t>művezetősége</w:t>
      </w:r>
    </w:p>
    <w:p w:rsidR="00782075" w:rsidRPr="003C1650" w:rsidRDefault="00782075" w:rsidP="00782075">
      <w:pPr>
        <w:ind w:left="300"/>
        <w:rPr>
          <w:sz w:val="23"/>
          <w:szCs w:val="23"/>
        </w:rPr>
      </w:pPr>
      <w:r w:rsidRPr="003C1650">
        <w:rPr>
          <w:sz w:val="23"/>
          <w:szCs w:val="23"/>
        </w:rPr>
        <w:t>6 vízellátási rendszer 21 településén ivóvíz szolgáltatás.</w:t>
      </w:r>
    </w:p>
    <w:p w:rsidR="00782075" w:rsidRPr="003C1650" w:rsidRDefault="00782075" w:rsidP="00782075">
      <w:pPr>
        <w:ind w:left="300"/>
        <w:rPr>
          <w:sz w:val="23"/>
          <w:szCs w:val="23"/>
        </w:rPr>
      </w:pPr>
      <w:r w:rsidRPr="003C1650">
        <w:rPr>
          <w:sz w:val="23"/>
          <w:szCs w:val="23"/>
        </w:rPr>
        <w:t>További tevékenysége saját részre és megrendelésre végzett építés.</w:t>
      </w:r>
    </w:p>
    <w:p w:rsidR="00782075" w:rsidRPr="003C1650" w:rsidRDefault="00782075" w:rsidP="00782075">
      <w:pPr>
        <w:ind w:left="300"/>
        <w:rPr>
          <w:sz w:val="23"/>
          <w:szCs w:val="23"/>
        </w:rPr>
      </w:pPr>
    </w:p>
    <w:p w:rsidR="00782075" w:rsidRPr="003C1650" w:rsidRDefault="00782075" w:rsidP="00782075">
      <w:pPr>
        <w:rPr>
          <w:i/>
          <w:sz w:val="23"/>
          <w:szCs w:val="23"/>
        </w:rPr>
      </w:pPr>
      <w:r w:rsidRPr="003C1650">
        <w:rPr>
          <w:i/>
          <w:sz w:val="23"/>
          <w:szCs w:val="23"/>
        </w:rPr>
        <w:t>4.  Celldömölk, Nemesdömölki u. 151/3. hrsz.</w:t>
      </w:r>
    </w:p>
    <w:p w:rsidR="00782075" w:rsidRPr="003C1650" w:rsidRDefault="00782075" w:rsidP="00782075">
      <w:pPr>
        <w:ind w:left="300"/>
        <w:rPr>
          <w:sz w:val="12"/>
          <w:szCs w:val="12"/>
        </w:rPr>
      </w:pPr>
    </w:p>
    <w:p w:rsidR="00782075" w:rsidRPr="003C1650" w:rsidRDefault="00782075" w:rsidP="00782075">
      <w:pPr>
        <w:ind w:left="300"/>
        <w:rPr>
          <w:i/>
          <w:sz w:val="23"/>
          <w:szCs w:val="23"/>
        </w:rPr>
      </w:pPr>
      <w:r w:rsidRPr="003C1650">
        <w:rPr>
          <w:i/>
          <w:sz w:val="23"/>
          <w:szCs w:val="23"/>
        </w:rPr>
        <w:t xml:space="preserve">Sárvári Vízszolgáltatási Üzemmérnökség </w:t>
      </w:r>
      <w:r w:rsidR="00753872" w:rsidRPr="003C1650">
        <w:rPr>
          <w:i/>
          <w:sz w:val="23"/>
          <w:szCs w:val="23"/>
        </w:rPr>
        <w:t>művezetősége</w:t>
      </w:r>
    </w:p>
    <w:p w:rsidR="00782075" w:rsidRPr="003C1650" w:rsidRDefault="00782075" w:rsidP="00782075">
      <w:pPr>
        <w:ind w:left="300"/>
        <w:rPr>
          <w:sz w:val="23"/>
          <w:szCs w:val="23"/>
        </w:rPr>
      </w:pPr>
      <w:r w:rsidRPr="003C1650">
        <w:rPr>
          <w:sz w:val="23"/>
          <w:szCs w:val="23"/>
        </w:rPr>
        <w:t>6 vízellátási rendszer 13 településén ivóvíz szolgáltatás.</w:t>
      </w:r>
    </w:p>
    <w:p w:rsidR="00782075" w:rsidRPr="003C1650" w:rsidRDefault="00782075" w:rsidP="00782075">
      <w:pPr>
        <w:ind w:left="300"/>
        <w:rPr>
          <w:sz w:val="23"/>
          <w:szCs w:val="23"/>
        </w:rPr>
      </w:pPr>
      <w:r w:rsidRPr="003C1650">
        <w:rPr>
          <w:sz w:val="23"/>
          <w:szCs w:val="23"/>
        </w:rPr>
        <w:t>További tevékenysége saját részre és megrendelésre végzett építés.</w:t>
      </w:r>
    </w:p>
    <w:p w:rsidR="00782075" w:rsidRPr="003C1650" w:rsidRDefault="00782075" w:rsidP="00782075">
      <w:pPr>
        <w:ind w:left="300"/>
        <w:rPr>
          <w:sz w:val="12"/>
          <w:szCs w:val="12"/>
        </w:rPr>
      </w:pPr>
    </w:p>
    <w:p w:rsidR="00782075" w:rsidRPr="003C1650" w:rsidRDefault="00782075" w:rsidP="00782075">
      <w:pPr>
        <w:ind w:left="300"/>
        <w:rPr>
          <w:i/>
          <w:sz w:val="23"/>
          <w:szCs w:val="23"/>
        </w:rPr>
      </w:pPr>
      <w:r w:rsidRPr="003C1650">
        <w:rPr>
          <w:i/>
          <w:sz w:val="23"/>
          <w:szCs w:val="23"/>
        </w:rPr>
        <w:t xml:space="preserve">Sárvári Szennyvíz-szolgáltatási Üzemmérnökség </w:t>
      </w:r>
      <w:r w:rsidR="00753872" w:rsidRPr="003C1650">
        <w:rPr>
          <w:i/>
          <w:sz w:val="23"/>
          <w:szCs w:val="23"/>
        </w:rPr>
        <w:t>művezetősége</w:t>
      </w:r>
    </w:p>
    <w:p w:rsidR="006B493A" w:rsidRPr="003C1650" w:rsidRDefault="00782075" w:rsidP="006B493A">
      <w:pPr>
        <w:ind w:left="300"/>
        <w:rPr>
          <w:sz w:val="23"/>
          <w:szCs w:val="23"/>
        </w:rPr>
      </w:pPr>
      <w:r w:rsidRPr="003C1650">
        <w:rPr>
          <w:sz w:val="23"/>
          <w:szCs w:val="23"/>
        </w:rPr>
        <w:t>6 szennyvízelvezető rendszer 6 településéről elvezett szennyvíz tisztítás</w:t>
      </w:r>
      <w:r w:rsidR="00AB47DC" w:rsidRPr="003C1650">
        <w:rPr>
          <w:sz w:val="23"/>
          <w:szCs w:val="23"/>
        </w:rPr>
        <w:t>a 6 szennyvíztisztító telepen.</w:t>
      </w:r>
      <w:r w:rsidR="006B493A" w:rsidRPr="003C1650">
        <w:rPr>
          <w:sz w:val="23"/>
          <w:szCs w:val="23"/>
        </w:rPr>
        <w:t xml:space="preserve"> </w:t>
      </w:r>
    </w:p>
    <w:p w:rsidR="006B493A" w:rsidRPr="003C1650" w:rsidRDefault="006B493A" w:rsidP="006B493A">
      <w:pPr>
        <w:ind w:left="300"/>
        <w:rPr>
          <w:sz w:val="23"/>
          <w:szCs w:val="23"/>
        </w:rPr>
      </w:pPr>
      <w:r w:rsidRPr="003C1650">
        <w:rPr>
          <w:sz w:val="23"/>
          <w:szCs w:val="23"/>
        </w:rPr>
        <w:t>Szippantott szennyvíz fogadása Celldömölkön.</w:t>
      </w:r>
    </w:p>
    <w:p w:rsidR="003B7B8A" w:rsidRDefault="003B7B8A">
      <w:pPr>
        <w:jc w:val="left"/>
        <w:rPr>
          <w:sz w:val="23"/>
          <w:szCs w:val="23"/>
        </w:rPr>
      </w:pPr>
      <w:r>
        <w:rPr>
          <w:sz w:val="23"/>
          <w:szCs w:val="23"/>
        </w:rPr>
        <w:br w:type="page"/>
      </w:r>
    </w:p>
    <w:p w:rsidR="00C150F3" w:rsidRPr="003C1650" w:rsidRDefault="00C150F3" w:rsidP="00782075">
      <w:pPr>
        <w:ind w:left="300"/>
        <w:rPr>
          <w:sz w:val="23"/>
          <w:szCs w:val="23"/>
        </w:rPr>
      </w:pPr>
    </w:p>
    <w:p w:rsidR="00782075" w:rsidRPr="007A3439" w:rsidRDefault="00782075" w:rsidP="00782075">
      <w:pPr>
        <w:ind w:left="300"/>
        <w:rPr>
          <w:sz w:val="22"/>
          <w:szCs w:val="22"/>
        </w:rPr>
      </w:pPr>
    </w:p>
    <w:p w:rsidR="00782075" w:rsidRPr="003B7B8A" w:rsidRDefault="00782075" w:rsidP="00782075">
      <w:pPr>
        <w:rPr>
          <w:i/>
          <w:sz w:val="23"/>
          <w:szCs w:val="23"/>
        </w:rPr>
      </w:pPr>
      <w:r w:rsidRPr="003B7B8A">
        <w:rPr>
          <w:i/>
          <w:sz w:val="23"/>
          <w:szCs w:val="23"/>
        </w:rPr>
        <w:t>5.  Sárvár, Nádasdy F. u. 136.</w:t>
      </w:r>
    </w:p>
    <w:p w:rsidR="00782075" w:rsidRPr="00702CF8" w:rsidRDefault="00782075" w:rsidP="00782075">
      <w:pPr>
        <w:ind w:left="300"/>
        <w:rPr>
          <w:i/>
          <w:sz w:val="12"/>
          <w:szCs w:val="12"/>
        </w:rPr>
      </w:pPr>
    </w:p>
    <w:p w:rsidR="00782075" w:rsidRPr="003B7B8A" w:rsidRDefault="00782075" w:rsidP="00782075">
      <w:pPr>
        <w:ind w:left="300"/>
        <w:rPr>
          <w:i/>
          <w:sz w:val="23"/>
          <w:szCs w:val="23"/>
        </w:rPr>
      </w:pPr>
      <w:r w:rsidRPr="003B7B8A">
        <w:rPr>
          <w:i/>
          <w:sz w:val="23"/>
          <w:szCs w:val="23"/>
        </w:rPr>
        <w:t>Sárvári</w:t>
      </w:r>
      <w:r w:rsidR="00753872" w:rsidRPr="003B7B8A">
        <w:rPr>
          <w:i/>
          <w:sz w:val="23"/>
          <w:szCs w:val="23"/>
        </w:rPr>
        <w:t xml:space="preserve"> Vízszolgáltatási Üzemmérnökség központja</w:t>
      </w:r>
    </w:p>
    <w:p w:rsidR="00782075" w:rsidRPr="003B7B8A" w:rsidRDefault="00782075" w:rsidP="00782075">
      <w:pPr>
        <w:ind w:left="300"/>
        <w:rPr>
          <w:sz w:val="23"/>
          <w:szCs w:val="23"/>
        </w:rPr>
      </w:pPr>
      <w:r w:rsidRPr="003B7B8A">
        <w:rPr>
          <w:sz w:val="23"/>
          <w:szCs w:val="23"/>
        </w:rPr>
        <w:t>17 vízellátási rendszer 4</w:t>
      </w:r>
      <w:r w:rsidR="001E46E3" w:rsidRPr="003B7B8A">
        <w:rPr>
          <w:sz w:val="23"/>
          <w:szCs w:val="23"/>
        </w:rPr>
        <w:t>3</w:t>
      </w:r>
      <w:r w:rsidRPr="003B7B8A">
        <w:rPr>
          <w:sz w:val="23"/>
          <w:szCs w:val="23"/>
        </w:rPr>
        <w:t xml:space="preserve"> településén ivóvíz szolgáltatás.   </w:t>
      </w:r>
    </w:p>
    <w:p w:rsidR="00782075" w:rsidRPr="003B7B8A" w:rsidRDefault="00782075" w:rsidP="00782075">
      <w:pPr>
        <w:ind w:left="300"/>
        <w:rPr>
          <w:sz w:val="23"/>
          <w:szCs w:val="23"/>
        </w:rPr>
      </w:pPr>
      <w:r w:rsidRPr="003B7B8A">
        <w:rPr>
          <w:sz w:val="23"/>
          <w:szCs w:val="23"/>
        </w:rPr>
        <w:t>További tevékenysége saját részre és megrendelésre végzett építés.</w:t>
      </w:r>
    </w:p>
    <w:p w:rsidR="00782075" w:rsidRPr="00702CF8" w:rsidRDefault="00782075" w:rsidP="00782075">
      <w:pPr>
        <w:ind w:left="300"/>
        <w:rPr>
          <w:sz w:val="16"/>
          <w:szCs w:val="16"/>
        </w:rPr>
      </w:pPr>
    </w:p>
    <w:p w:rsidR="00782075" w:rsidRPr="003B7B8A" w:rsidRDefault="00782075" w:rsidP="00782075">
      <w:pPr>
        <w:ind w:left="300"/>
        <w:rPr>
          <w:i/>
          <w:sz w:val="23"/>
          <w:szCs w:val="23"/>
        </w:rPr>
      </w:pPr>
      <w:r w:rsidRPr="003B7B8A">
        <w:rPr>
          <w:i/>
          <w:sz w:val="23"/>
          <w:szCs w:val="23"/>
        </w:rPr>
        <w:t xml:space="preserve">Sárvári Szennyvíz-szolgáltatási Üzemmérnökség </w:t>
      </w:r>
      <w:r w:rsidR="00753872" w:rsidRPr="003B7B8A">
        <w:rPr>
          <w:i/>
          <w:sz w:val="23"/>
          <w:szCs w:val="23"/>
        </w:rPr>
        <w:t>központja</w:t>
      </w:r>
    </w:p>
    <w:p w:rsidR="00C67FEA" w:rsidRPr="003B7B8A" w:rsidRDefault="00782075" w:rsidP="00782075">
      <w:pPr>
        <w:ind w:left="300"/>
        <w:rPr>
          <w:sz w:val="23"/>
          <w:szCs w:val="23"/>
        </w:rPr>
      </w:pPr>
      <w:r w:rsidRPr="003B7B8A">
        <w:rPr>
          <w:sz w:val="23"/>
          <w:szCs w:val="23"/>
        </w:rPr>
        <w:t>1</w:t>
      </w:r>
      <w:r w:rsidR="00081D0E" w:rsidRPr="003B7B8A">
        <w:rPr>
          <w:sz w:val="23"/>
          <w:szCs w:val="23"/>
        </w:rPr>
        <w:t>1</w:t>
      </w:r>
      <w:r w:rsidRPr="003B7B8A">
        <w:rPr>
          <w:sz w:val="23"/>
          <w:szCs w:val="23"/>
        </w:rPr>
        <w:t xml:space="preserve"> szennyvízelvezető rendszer </w:t>
      </w:r>
      <w:r w:rsidR="00081D0E" w:rsidRPr="003B7B8A">
        <w:rPr>
          <w:sz w:val="23"/>
          <w:szCs w:val="23"/>
        </w:rPr>
        <w:t>2</w:t>
      </w:r>
      <w:r w:rsidR="0065440E" w:rsidRPr="003B7B8A">
        <w:rPr>
          <w:sz w:val="23"/>
          <w:szCs w:val="23"/>
        </w:rPr>
        <w:t>9</w:t>
      </w:r>
      <w:r w:rsidRPr="003B7B8A">
        <w:rPr>
          <w:sz w:val="23"/>
          <w:szCs w:val="23"/>
        </w:rPr>
        <w:t xml:space="preserve"> településéről elvezett szennyvíz tisztítása </w:t>
      </w:r>
      <w:r w:rsidR="00CE455F" w:rsidRPr="003B7B8A">
        <w:rPr>
          <w:sz w:val="23"/>
          <w:szCs w:val="23"/>
        </w:rPr>
        <w:t>1</w:t>
      </w:r>
      <w:r w:rsidR="00081D0E" w:rsidRPr="003B7B8A">
        <w:rPr>
          <w:sz w:val="23"/>
          <w:szCs w:val="23"/>
        </w:rPr>
        <w:t>1</w:t>
      </w:r>
      <w:r w:rsidRPr="003B7B8A">
        <w:rPr>
          <w:sz w:val="23"/>
          <w:szCs w:val="23"/>
        </w:rPr>
        <w:t xml:space="preserve"> szennyvíztisztító telepen</w:t>
      </w:r>
      <w:r w:rsidR="00C67FEA" w:rsidRPr="003B7B8A">
        <w:rPr>
          <w:sz w:val="23"/>
          <w:szCs w:val="23"/>
        </w:rPr>
        <w:t>,</w:t>
      </w:r>
    </w:p>
    <w:p w:rsidR="00AB47DC" w:rsidRPr="003B7B8A" w:rsidRDefault="00AB47DC" w:rsidP="00AB47DC">
      <w:pPr>
        <w:ind w:left="300"/>
        <w:rPr>
          <w:sz w:val="23"/>
          <w:szCs w:val="23"/>
        </w:rPr>
      </w:pPr>
      <w:r w:rsidRPr="003B7B8A">
        <w:rPr>
          <w:sz w:val="23"/>
          <w:szCs w:val="23"/>
        </w:rPr>
        <w:t>valamint egy üdülőtelep részlegesen kiépített szennyvízelvezetésének és –tisztításának üzemeltetése.</w:t>
      </w:r>
    </w:p>
    <w:p w:rsidR="009843DE" w:rsidRPr="003B7B8A" w:rsidRDefault="00782075" w:rsidP="0065440E">
      <w:pPr>
        <w:ind w:left="300"/>
        <w:rPr>
          <w:sz w:val="23"/>
          <w:szCs w:val="23"/>
        </w:rPr>
      </w:pPr>
      <w:r w:rsidRPr="003B7B8A">
        <w:rPr>
          <w:sz w:val="23"/>
          <w:szCs w:val="23"/>
        </w:rPr>
        <w:t>Répcelak és Jánosháza szennyvíztisztító telepén fogad szippantott szennyvizet.</w:t>
      </w:r>
    </w:p>
    <w:p w:rsidR="008A41F0" w:rsidRPr="002C6D60" w:rsidRDefault="008A41F0">
      <w:pPr>
        <w:jc w:val="left"/>
        <w:rPr>
          <w:sz w:val="16"/>
          <w:szCs w:val="16"/>
        </w:rPr>
      </w:pPr>
    </w:p>
    <w:p w:rsidR="008A41F0" w:rsidRPr="002C6D60" w:rsidRDefault="008A41F0" w:rsidP="0065440E">
      <w:pPr>
        <w:ind w:left="300"/>
        <w:rPr>
          <w:sz w:val="16"/>
          <w:szCs w:val="16"/>
        </w:rPr>
      </w:pPr>
    </w:p>
    <w:p w:rsidR="00D51AA4" w:rsidRPr="00BB3AAA" w:rsidRDefault="00D51AA4" w:rsidP="00BB3AAA">
      <w:pPr>
        <w:pStyle w:val="Cmsor1"/>
        <w:rPr>
          <w:sz w:val="28"/>
          <w:szCs w:val="28"/>
        </w:rPr>
      </w:pPr>
      <w:bookmarkStart w:id="15" w:name="_Toc132629468"/>
      <w:r w:rsidRPr="00BB3AAA">
        <w:rPr>
          <w:sz w:val="28"/>
          <w:szCs w:val="28"/>
        </w:rPr>
        <w:t>II. VÍZELLÁTÁS</w:t>
      </w:r>
      <w:bookmarkEnd w:id="15"/>
    </w:p>
    <w:p w:rsidR="00D51AA4" w:rsidRPr="00DB2665" w:rsidRDefault="00D51AA4">
      <w:pPr>
        <w:outlineLvl w:val="0"/>
        <w:rPr>
          <w:b/>
          <w:i/>
          <w:sz w:val="16"/>
          <w:szCs w:val="16"/>
        </w:rPr>
      </w:pPr>
    </w:p>
    <w:p w:rsidR="00D51AA4" w:rsidRPr="007A3439" w:rsidRDefault="00D51AA4" w:rsidP="006D6B4E">
      <w:pPr>
        <w:ind w:right="176"/>
        <w:rPr>
          <w:szCs w:val="24"/>
        </w:rPr>
      </w:pPr>
      <w:r w:rsidRPr="007A3439">
        <w:rPr>
          <w:szCs w:val="24"/>
        </w:rPr>
        <w:t xml:space="preserve">A részvénytársaság alapvetően közszolgáltató társaság, egyik fő feladata a települések lakosságának, intézményeinek egészséges ivóvízzel való folyamatos, zavartalan ellátása, a gazdálkodó szervezetek vízigényének biztosítása. </w:t>
      </w:r>
    </w:p>
    <w:p w:rsidR="00D51AA4" w:rsidRPr="007A3439" w:rsidRDefault="00D51AA4" w:rsidP="006D6B4E">
      <w:pPr>
        <w:ind w:right="176"/>
        <w:rPr>
          <w:szCs w:val="24"/>
        </w:rPr>
      </w:pPr>
      <w:r w:rsidRPr="007A3439">
        <w:rPr>
          <w:szCs w:val="24"/>
        </w:rPr>
        <w:t>Gondoskodik a víz termelését, kezelését, szállítását szolgáló építmények, műtárgyak, gépészeti, elektromos, folyamatirányító berendezések, vízminőség ellenőrző műszerek rendeltetésszerű és szakszerű működéséről. Biztosítja a vízbázisok védelmét, valamint, hogy a szolgáltatott víz minősége megfeleljen a közegészségügyi előírásoknak, az ivóvíz minőségű vízre vonatkozó szabványokban előírt fizikai, kémiai, biológiai, bakteriológiai követelményeknek.</w:t>
      </w:r>
    </w:p>
    <w:p w:rsidR="00D51AA4" w:rsidRPr="002C6D60" w:rsidRDefault="00D51AA4">
      <w:pPr>
        <w:autoSpaceDE w:val="0"/>
        <w:autoSpaceDN w:val="0"/>
        <w:adjustRightInd w:val="0"/>
        <w:rPr>
          <w:rFonts w:ascii="MyriadPro-Semibold" w:hAnsi="MyriadPro-Semibold"/>
          <w:sz w:val="16"/>
          <w:szCs w:val="16"/>
        </w:rPr>
      </w:pPr>
    </w:p>
    <w:p w:rsidR="00733FAF" w:rsidRPr="007A3439" w:rsidRDefault="00733FAF" w:rsidP="00733FAF">
      <w:pPr>
        <w:pStyle w:val="Cmsor2"/>
        <w:rPr>
          <w:sz w:val="24"/>
          <w:szCs w:val="24"/>
        </w:rPr>
      </w:pPr>
      <w:bookmarkStart w:id="16" w:name="_Toc132629469"/>
      <w:r w:rsidRPr="007A3439">
        <w:rPr>
          <w:sz w:val="24"/>
          <w:szCs w:val="24"/>
        </w:rPr>
        <w:t>Főbb műszaki és mennyiségi adatok</w:t>
      </w:r>
      <w:bookmarkEnd w:id="16"/>
    </w:p>
    <w:tbl>
      <w:tblPr>
        <w:tblW w:w="11110" w:type="dxa"/>
        <w:tblCellMar>
          <w:left w:w="70" w:type="dxa"/>
          <w:right w:w="70" w:type="dxa"/>
        </w:tblCellMar>
        <w:tblLook w:val="04A0" w:firstRow="1" w:lastRow="0" w:firstColumn="1" w:lastColumn="0" w:noHBand="0" w:noVBand="1"/>
      </w:tblPr>
      <w:tblGrid>
        <w:gridCol w:w="3762"/>
        <w:gridCol w:w="415"/>
        <w:gridCol w:w="643"/>
        <w:gridCol w:w="265"/>
        <w:gridCol w:w="415"/>
        <w:gridCol w:w="454"/>
        <w:gridCol w:w="361"/>
        <w:gridCol w:w="415"/>
        <w:gridCol w:w="216"/>
        <w:gridCol w:w="455"/>
        <w:gridCol w:w="415"/>
        <w:gridCol w:w="122"/>
        <w:gridCol w:w="609"/>
        <w:gridCol w:w="415"/>
        <w:gridCol w:w="761"/>
        <w:gridCol w:w="260"/>
        <w:gridCol w:w="106"/>
        <w:gridCol w:w="655"/>
        <w:gridCol w:w="366"/>
      </w:tblGrid>
      <w:tr w:rsidR="00DB2665" w:rsidRPr="00DB2665" w:rsidTr="002C6D60">
        <w:trPr>
          <w:gridAfter w:val="3"/>
          <w:wAfter w:w="1127" w:type="dxa"/>
          <w:trHeight w:val="405"/>
        </w:trPr>
        <w:tc>
          <w:tcPr>
            <w:tcW w:w="3762" w:type="dxa"/>
            <w:vMerge w:val="restart"/>
            <w:tcBorders>
              <w:top w:val="single" w:sz="4" w:space="0" w:color="auto"/>
              <w:left w:val="nil"/>
              <w:bottom w:val="single" w:sz="4" w:space="0" w:color="000000"/>
              <w:right w:val="nil"/>
            </w:tcBorders>
            <w:shd w:val="clear" w:color="auto" w:fill="auto"/>
            <w:vAlign w:val="center"/>
            <w:hideMark/>
          </w:tcPr>
          <w:p w:rsidR="00DB2665" w:rsidRPr="00DB2665" w:rsidRDefault="00DB2665" w:rsidP="00DB2665">
            <w:pPr>
              <w:jc w:val="center"/>
              <w:rPr>
                <w:rFonts w:ascii="Times New Roman CE" w:hAnsi="Times New Roman CE" w:cs="Times New Roman CE"/>
                <w:i/>
                <w:iCs/>
                <w:sz w:val="22"/>
                <w:szCs w:val="22"/>
              </w:rPr>
            </w:pPr>
            <w:r w:rsidRPr="00DB2665">
              <w:rPr>
                <w:rFonts w:ascii="Times New Roman CE" w:hAnsi="Times New Roman CE" w:cs="Times New Roman CE"/>
                <w:i/>
                <w:iCs/>
                <w:sz w:val="22"/>
                <w:szCs w:val="22"/>
              </w:rPr>
              <w:t>Megnevezés</w:t>
            </w:r>
          </w:p>
        </w:tc>
        <w:tc>
          <w:tcPr>
            <w:tcW w:w="1058" w:type="dxa"/>
            <w:gridSpan w:val="2"/>
            <w:vMerge w:val="restart"/>
            <w:tcBorders>
              <w:top w:val="single" w:sz="4" w:space="0" w:color="auto"/>
              <w:left w:val="nil"/>
              <w:bottom w:val="single" w:sz="4" w:space="0" w:color="000000"/>
              <w:right w:val="nil"/>
            </w:tcBorders>
            <w:shd w:val="clear" w:color="auto" w:fill="auto"/>
            <w:vAlign w:val="center"/>
            <w:hideMark/>
          </w:tcPr>
          <w:p w:rsidR="00DB2665" w:rsidRPr="00DB2665" w:rsidRDefault="00DB2665" w:rsidP="00DB2665">
            <w:pPr>
              <w:jc w:val="center"/>
              <w:rPr>
                <w:rFonts w:ascii="Times New Roman CE" w:hAnsi="Times New Roman CE" w:cs="Times New Roman CE"/>
                <w:i/>
                <w:iCs/>
                <w:sz w:val="21"/>
                <w:szCs w:val="21"/>
              </w:rPr>
            </w:pPr>
            <w:r w:rsidRPr="00DB2665">
              <w:rPr>
                <w:rFonts w:ascii="Times New Roman CE" w:hAnsi="Times New Roman CE" w:cs="Times New Roman CE"/>
                <w:i/>
                <w:iCs/>
                <w:sz w:val="21"/>
                <w:szCs w:val="21"/>
              </w:rPr>
              <w:t>Mértékegység</w:t>
            </w:r>
          </w:p>
        </w:tc>
        <w:tc>
          <w:tcPr>
            <w:tcW w:w="1134" w:type="dxa"/>
            <w:gridSpan w:val="3"/>
            <w:vMerge w:val="restart"/>
            <w:tcBorders>
              <w:top w:val="single" w:sz="4" w:space="0" w:color="auto"/>
              <w:left w:val="nil"/>
              <w:bottom w:val="single" w:sz="4" w:space="0" w:color="000000"/>
              <w:right w:val="nil"/>
            </w:tcBorders>
            <w:shd w:val="clear" w:color="auto" w:fill="auto"/>
            <w:vAlign w:val="center"/>
            <w:hideMark/>
          </w:tcPr>
          <w:p w:rsidR="00DB2665" w:rsidRPr="00DB2665" w:rsidRDefault="00DB2665" w:rsidP="00DB2665">
            <w:pPr>
              <w:jc w:val="center"/>
              <w:rPr>
                <w:rFonts w:ascii="Times New Roman CE" w:hAnsi="Times New Roman CE" w:cs="Times New Roman CE"/>
                <w:i/>
                <w:iCs/>
                <w:sz w:val="21"/>
                <w:szCs w:val="21"/>
              </w:rPr>
            </w:pPr>
            <w:r w:rsidRPr="00DB2665">
              <w:rPr>
                <w:rFonts w:ascii="Times New Roman CE" w:hAnsi="Times New Roman CE" w:cs="Times New Roman CE"/>
                <w:i/>
                <w:iCs/>
                <w:sz w:val="21"/>
                <w:szCs w:val="21"/>
              </w:rPr>
              <w:t>2021. évi tény</w:t>
            </w:r>
          </w:p>
        </w:tc>
        <w:tc>
          <w:tcPr>
            <w:tcW w:w="992" w:type="dxa"/>
            <w:gridSpan w:val="3"/>
            <w:vMerge w:val="restart"/>
            <w:tcBorders>
              <w:top w:val="single" w:sz="4" w:space="0" w:color="auto"/>
              <w:left w:val="nil"/>
              <w:bottom w:val="single" w:sz="4" w:space="0" w:color="000000"/>
              <w:right w:val="nil"/>
            </w:tcBorders>
            <w:shd w:val="clear" w:color="auto" w:fill="auto"/>
            <w:vAlign w:val="center"/>
            <w:hideMark/>
          </w:tcPr>
          <w:p w:rsidR="00DB2665" w:rsidRPr="00DB2665" w:rsidRDefault="00DB2665" w:rsidP="00DB2665">
            <w:pPr>
              <w:jc w:val="center"/>
              <w:rPr>
                <w:rFonts w:ascii="Times New Roman CE" w:hAnsi="Times New Roman CE" w:cs="Times New Roman CE"/>
                <w:i/>
                <w:iCs/>
                <w:sz w:val="21"/>
                <w:szCs w:val="21"/>
              </w:rPr>
            </w:pPr>
            <w:r w:rsidRPr="00DB2665">
              <w:rPr>
                <w:rFonts w:ascii="Times New Roman CE" w:hAnsi="Times New Roman CE" w:cs="Times New Roman CE"/>
                <w:i/>
                <w:iCs/>
                <w:sz w:val="21"/>
                <w:szCs w:val="21"/>
              </w:rPr>
              <w:t>2022. évi</w:t>
            </w:r>
            <w:r w:rsidRPr="00DB2665">
              <w:rPr>
                <w:rFonts w:ascii="Times New Roman CE" w:hAnsi="Times New Roman CE" w:cs="Times New Roman CE"/>
                <w:i/>
                <w:iCs/>
                <w:sz w:val="21"/>
                <w:szCs w:val="21"/>
              </w:rPr>
              <w:br/>
              <w:t>terv</w:t>
            </w:r>
          </w:p>
        </w:tc>
        <w:tc>
          <w:tcPr>
            <w:tcW w:w="992" w:type="dxa"/>
            <w:gridSpan w:val="3"/>
            <w:vMerge w:val="restart"/>
            <w:tcBorders>
              <w:top w:val="single" w:sz="4" w:space="0" w:color="auto"/>
              <w:left w:val="nil"/>
              <w:bottom w:val="single" w:sz="4" w:space="0" w:color="000000"/>
              <w:right w:val="nil"/>
            </w:tcBorders>
            <w:shd w:val="clear" w:color="auto" w:fill="auto"/>
            <w:vAlign w:val="center"/>
            <w:hideMark/>
          </w:tcPr>
          <w:p w:rsidR="00DB2665" w:rsidRPr="00DB2665" w:rsidRDefault="00DB2665" w:rsidP="00DB2665">
            <w:pPr>
              <w:jc w:val="center"/>
              <w:rPr>
                <w:rFonts w:ascii="Times New Roman CE" w:hAnsi="Times New Roman CE" w:cs="Times New Roman CE"/>
                <w:i/>
                <w:iCs/>
                <w:sz w:val="21"/>
                <w:szCs w:val="21"/>
              </w:rPr>
            </w:pPr>
            <w:r w:rsidRPr="00DB2665">
              <w:rPr>
                <w:rFonts w:ascii="Times New Roman CE" w:hAnsi="Times New Roman CE" w:cs="Times New Roman CE"/>
                <w:i/>
                <w:iCs/>
                <w:sz w:val="21"/>
                <w:szCs w:val="21"/>
              </w:rPr>
              <w:t>2022. évi tény</w:t>
            </w:r>
          </w:p>
        </w:tc>
        <w:tc>
          <w:tcPr>
            <w:tcW w:w="1024" w:type="dxa"/>
            <w:gridSpan w:val="2"/>
            <w:vMerge w:val="restart"/>
            <w:tcBorders>
              <w:top w:val="single" w:sz="4" w:space="0" w:color="auto"/>
              <w:left w:val="nil"/>
              <w:bottom w:val="single" w:sz="4" w:space="0" w:color="000000"/>
              <w:right w:val="nil"/>
            </w:tcBorders>
            <w:shd w:val="clear" w:color="auto" w:fill="auto"/>
            <w:vAlign w:val="center"/>
            <w:hideMark/>
          </w:tcPr>
          <w:p w:rsidR="00DB2665" w:rsidRPr="00DB2665" w:rsidRDefault="00DB2665" w:rsidP="00DB2665">
            <w:pPr>
              <w:jc w:val="center"/>
              <w:rPr>
                <w:rFonts w:ascii="Times New Roman CE" w:hAnsi="Times New Roman CE" w:cs="Times New Roman CE"/>
                <w:i/>
                <w:iCs/>
                <w:sz w:val="21"/>
                <w:szCs w:val="21"/>
              </w:rPr>
            </w:pPr>
            <w:r w:rsidRPr="00DB2665">
              <w:rPr>
                <w:rFonts w:ascii="Times New Roman CE" w:hAnsi="Times New Roman CE" w:cs="Times New Roman CE"/>
                <w:i/>
                <w:iCs/>
                <w:sz w:val="21"/>
                <w:szCs w:val="21"/>
              </w:rPr>
              <w:t xml:space="preserve">2022.tény/ </w:t>
            </w:r>
            <w:r w:rsidRPr="00DB2665">
              <w:rPr>
                <w:rFonts w:ascii="Times New Roman CE" w:hAnsi="Times New Roman CE" w:cs="Times New Roman CE"/>
                <w:i/>
                <w:iCs/>
                <w:sz w:val="21"/>
                <w:szCs w:val="21"/>
              </w:rPr>
              <w:br/>
              <w:t>2021.tény</w:t>
            </w:r>
          </w:p>
        </w:tc>
        <w:tc>
          <w:tcPr>
            <w:tcW w:w="1021" w:type="dxa"/>
            <w:gridSpan w:val="2"/>
            <w:vMerge w:val="restart"/>
            <w:tcBorders>
              <w:top w:val="single" w:sz="4" w:space="0" w:color="auto"/>
              <w:left w:val="nil"/>
              <w:bottom w:val="single" w:sz="4" w:space="0" w:color="000000"/>
              <w:right w:val="nil"/>
            </w:tcBorders>
            <w:shd w:val="clear" w:color="auto" w:fill="auto"/>
            <w:vAlign w:val="center"/>
            <w:hideMark/>
          </w:tcPr>
          <w:p w:rsidR="00DB2665" w:rsidRPr="00DB2665" w:rsidRDefault="00DB2665" w:rsidP="00DB2665">
            <w:pPr>
              <w:jc w:val="center"/>
              <w:rPr>
                <w:rFonts w:ascii="Times New Roman CE" w:hAnsi="Times New Roman CE" w:cs="Times New Roman CE"/>
                <w:i/>
                <w:iCs/>
                <w:sz w:val="21"/>
                <w:szCs w:val="21"/>
              </w:rPr>
            </w:pPr>
            <w:r w:rsidRPr="00DB2665">
              <w:rPr>
                <w:rFonts w:ascii="Times New Roman CE" w:hAnsi="Times New Roman CE" w:cs="Times New Roman CE"/>
                <w:i/>
                <w:iCs/>
                <w:sz w:val="21"/>
                <w:szCs w:val="21"/>
              </w:rPr>
              <w:t>2022.tény/</w:t>
            </w:r>
            <w:r w:rsidRPr="00DB2665">
              <w:rPr>
                <w:rFonts w:ascii="Times New Roman CE" w:hAnsi="Times New Roman CE" w:cs="Times New Roman CE"/>
                <w:i/>
                <w:iCs/>
                <w:sz w:val="21"/>
                <w:szCs w:val="21"/>
              </w:rPr>
              <w:br/>
              <w:t xml:space="preserve"> 2022.terv</w:t>
            </w:r>
          </w:p>
        </w:tc>
      </w:tr>
      <w:tr w:rsidR="00DB2665" w:rsidRPr="00DB2665" w:rsidTr="002C6D60">
        <w:trPr>
          <w:gridAfter w:val="3"/>
          <w:wAfter w:w="1127" w:type="dxa"/>
          <w:trHeight w:val="315"/>
        </w:trPr>
        <w:tc>
          <w:tcPr>
            <w:tcW w:w="3762" w:type="dxa"/>
            <w:vMerge/>
            <w:tcBorders>
              <w:top w:val="single" w:sz="4" w:space="0" w:color="auto"/>
              <w:left w:val="nil"/>
              <w:bottom w:val="single" w:sz="4" w:space="0" w:color="000000"/>
              <w:right w:val="nil"/>
            </w:tcBorders>
            <w:vAlign w:val="center"/>
            <w:hideMark/>
          </w:tcPr>
          <w:p w:rsidR="00DB2665" w:rsidRPr="00DB2665" w:rsidRDefault="00DB2665" w:rsidP="00DB2665">
            <w:pPr>
              <w:jc w:val="left"/>
              <w:rPr>
                <w:rFonts w:ascii="Times New Roman CE" w:hAnsi="Times New Roman CE" w:cs="Times New Roman CE"/>
                <w:i/>
                <w:iCs/>
                <w:sz w:val="22"/>
                <w:szCs w:val="22"/>
              </w:rPr>
            </w:pPr>
          </w:p>
        </w:tc>
        <w:tc>
          <w:tcPr>
            <w:tcW w:w="1058" w:type="dxa"/>
            <w:gridSpan w:val="2"/>
            <w:vMerge/>
            <w:tcBorders>
              <w:top w:val="single" w:sz="4" w:space="0" w:color="auto"/>
              <w:left w:val="nil"/>
              <w:bottom w:val="single" w:sz="4" w:space="0" w:color="000000"/>
              <w:right w:val="nil"/>
            </w:tcBorders>
            <w:vAlign w:val="center"/>
            <w:hideMark/>
          </w:tcPr>
          <w:p w:rsidR="00DB2665" w:rsidRPr="00DB2665" w:rsidRDefault="00DB2665" w:rsidP="00DB2665">
            <w:pPr>
              <w:jc w:val="left"/>
              <w:rPr>
                <w:rFonts w:ascii="Times New Roman CE" w:hAnsi="Times New Roman CE" w:cs="Times New Roman CE"/>
                <w:i/>
                <w:iCs/>
                <w:sz w:val="21"/>
                <w:szCs w:val="21"/>
              </w:rPr>
            </w:pPr>
          </w:p>
        </w:tc>
        <w:tc>
          <w:tcPr>
            <w:tcW w:w="1134" w:type="dxa"/>
            <w:gridSpan w:val="3"/>
            <w:vMerge/>
            <w:tcBorders>
              <w:top w:val="single" w:sz="4" w:space="0" w:color="auto"/>
              <w:left w:val="nil"/>
              <w:bottom w:val="single" w:sz="4" w:space="0" w:color="000000"/>
              <w:right w:val="nil"/>
            </w:tcBorders>
            <w:vAlign w:val="center"/>
            <w:hideMark/>
          </w:tcPr>
          <w:p w:rsidR="00DB2665" w:rsidRPr="00DB2665" w:rsidRDefault="00DB2665" w:rsidP="00DB2665">
            <w:pPr>
              <w:jc w:val="left"/>
              <w:rPr>
                <w:rFonts w:ascii="Times New Roman CE" w:hAnsi="Times New Roman CE" w:cs="Times New Roman CE"/>
                <w:i/>
                <w:iCs/>
                <w:sz w:val="21"/>
                <w:szCs w:val="21"/>
              </w:rPr>
            </w:pPr>
          </w:p>
        </w:tc>
        <w:tc>
          <w:tcPr>
            <w:tcW w:w="992" w:type="dxa"/>
            <w:gridSpan w:val="3"/>
            <w:vMerge/>
            <w:tcBorders>
              <w:top w:val="single" w:sz="4" w:space="0" w:color="auto"/>
              <w:left w:val="nil"/>
              <w:bottom w:val="single" w:sz="4" w:space="0" w:color="000000"/>
              <w:right w:val="nil"/>
            </w:tcBorders>
            <w:vAlign w:val="center"/>
            <w:hideMark/>
          </w:tcPr>
          <w:p w:rsidR="00DB2665" w:rsidRPr="00DB2665" w:rsidRDefault="00DB2665" w:rsidP="00DB2665">
            <w:pPr>
              <w:jc w:val="left"/>
              <w:rPr>
                <w:rFonts w:ascii="Times New Roman CE" w:hAnsi="Times New Roman CE" w:cs="Times New Roman CE"/>
                <w:i/>
                <w:iCs/>
                <w:sz w:val="21"/>
                <w:szCs w:val="21"/>
              </w:rPr>
            </w:pPr>
          </w:p>
        </w:tc>
        <w:tc>
          <w:tcPr>
            <w:tcW w:w="992" w:type="dxa"/>
            <w:gridSpan w:val="3"/>
            <w:vMerge/>
            <w:tcBorders>
              <w:top w:val="single" w:sz="4" w:space="0" w:color="auto"/>
              <w:left w:val="nil"/>
              <w:bottom w:val="single" w:sz="4" w:space="0" w:color="000000"/>
              <w:right w:val="nil"/>
            </w:tcBorders>
            <w:vAlign w:val="center"/>
            <w:hideMark/>
          </w:tcPr>
          <w:p w:rsidR="00DB2665" w:rsidRPr="00DB2665" w:rsidRDefault="00DB2665" w:rsidP="00DB2665">
            <w:pPr>
              <w:jc w:val="left"/>
              <w:rPr>
                <w:rFonts w:ascii="Times New Roman CE" w:hAnsi="Times New Roman CE" w:cs="Times New Roman CE"/>
                <w:i/>
                <w:iCs/>
                <w:sz w:val="21"/>
                <w:szCs w:val="21"/>
              </w:rPr>
            </w:pPr>
          </w:p>
        </w:tc>
        <w:tc>
          <w:tcPr>
            <w:tcW w:w="1024" w:type="dxa"/>
            <w:gridSpan w:val="2"/>
            <w:vMerge/>
            <w:tcBorders>
              <w:top w:val="single" w:sz="4" w:space="0" w:color="auto"/>
              <w:left w:val="nil"/>
              <w:bottom w:val="single" w:sz="4" w:space="0" w:color="000000"/>
              <w:right w:val="nil"/>
            </w:tcBorders>
            <w:vAlign w:val="center"/>
            <w:hideMark/>
          </w:tcPr>
          <w:p w:rsidR="00DB2665" w:rsidRPr="00DB2665" w:rsidRDefault="00DB2665" w:rsidP="00DB2665">
            <w:pPr>
              <w:jc w:val="left"/>
              <w:rPr>
                <w:rFonts w:ascii="Times New Roman CE" w:hAnsi="Times New Roman CE" w:cs="Times New Roman CE"/>
                <w:i/>
                <w:iCs/>
                <w:sz w:val="21"/>
                <w:szCs w:val="21"/>
              </w:rPr>
            </w:pPr>
          </w:p>
        </w:tc>
        <w:tc>
          <w:tcPr>
            <w:tcW w:w="1021" w:type="dxa"/>
            <w:gridSpan w:val="2"/>
            <w:vMerge/>
            <w:tcBorders>
              <w:top w:val="single" w:sz="4" w:space="0" w:color="auto"/>
              <w:left w:val="nil"/>
              <w:bottom w:val="single" w:sz="4" w:space="0" w:color="000000"/>
              <w:right w:val="nil"/>
            </w:tcBorders>
            <w:vAlign w:val="center"/>
            <w:hideMark/>
          </w:tcPr>
          <w:p w:rsidR="00DB2665" w:rsidRPr="00DB2665" w:rsidRDefault="00DB2665" w:rsidP="00DB2665">
            <w:pPr>
              <w:jc w:val="left"/>
              <w:rPr>
                <w:rFonts w:ascii="Times New Roman CE" w:hAnsi="Times New Roman CE" w:cs="Times New Roman CE"/>
                <w:i/>
                <w:iCs/>
                <w:sz w:val="21"/>
                <w:szCs w:val="21"/>
              </w:rPr>
            </w:pPr>
          </w:p>
        </w:tc>
      </w:tr>
      <w:tr w:rsidR="00DB2665" w:rsidRPr="00DB2665" w:rsidTr="002C6D60">
        <w:trPr>
          <w:gridAfter w:val="3"/>
          <w:wAfter w:w="1127" w:type="dxa"/>
          <w:trHeight w:val="282"/>
        </w:trPr>
        <w:tc>
          <w:tcPr>
            <w:tcW w:w="3762" w:type="dxa"/>
            <w:tcBorders>
              <w:top w:val="nil"/>
              <w:left w:val="nil"/>
              <w:bottom w:val="nil"/>
              <w:right w:val="nil"/>
            </w:tcBorders>
            <w:shd w:val="clear" w:color="auto" w:fill="auto"/>
            <w:noWrap/>
            <w:vAlign w:val="bottom"/>
            <w:hideMark/>
          </w:tcPr>
          <w:p w:rsidR="00DB2665" w:rsidRPr="00DB2665" w:rsidRDefault="00DB2665" w:rsidP="00DB2665">
            <w:pPr>
              <w:jc w:val="left"/>
              <w:rPr>
                <w:rFonts w:ascii="Times New Roman CE" w:hAnsi="Times New Roman CE" w:cs="Times New Roman CE"/>
                <w:b/>
                <w:bCs/>
                <w:i/>
                <w:iCs/>
                <w:sz w:val="22"/>
                <w:szCs w:val="22"/>
              </w:rPr>
            </w:pPr>
            <w:r w:rsidRPr="00DB2665">
              <w:rPr>
                <w:rFonts w:ascii="Times New Roman CE" w:hAnsi="Times New Roman CE" w:cs="Times New Roman CE"/>
                <w:b/>
                <w:bCs/>
                <w:i/>
                <w:iCs/>
                <w:sz w:val="22"/>
                <w:szCs w:val="22"/>
              </w:rPr>
              <w:t>Ivóvíz termelés és -szolgáltatás</w:t>
            </w:r>
          </w:p>
        </w:tc>
        <w:tc>
          <w:tcPr>
            <w:tcW w:w="1058" w:type="dxa"/>
            <w:gridSpan w:val="2"/>
            <w:tcBorders>
              <w:top w:val="nil"/>
              <w:left w:val="nil"/>
              <w:bottom w:val="nil"/>
              <w:right w:val="nil"/>
            </w:tcBorders>
            <w:shd w:val="clear" w:color="auto" w:fill="auto"/>
            <w:noWrap/>
            <w:vAlign w:val="bottom"/>
            <w:hideMark/>
          </w:tcPr>
          <w:p w:rsidR="00DB2665" w:rsidRPr="00DB2665" w:rsidRDefault="00DB2665" w:rsidP="00DB2665">
            <w:pPr>
              <w:jc w:val="left"/>
              <w:rPr>
                <w:rFonts w:ascii="Times New Roman CE" w:hAnsi="Times New Roman CE" w:cs="Times New Roman CE"/>
                <w:b/>
                <w:bCs/>
                <w:i/>
                <w:iCs/>
                <w:sz w:val="22"/>
                <w:szCs w:val="22"/>
              </w:rPr>
            </w:pPr>
          </w:p>
        </w:tc>
        <w:tc>
          <w:tcPr>
            <w:tcW w:w="1134" w:type="dxa"/>
            <w:gridSpan w:val="3"/>
            <w:tcBorders>
              <w:top w:val="nil"/>
              <w:left w:val="nil"/>
              <w:bottom w:val="nil"/>
              <w:right w:val="nil"/>
            </w:tcBorders>
            <w:shd w:val="clear" w:color="auto" w:fill="auto"/>
            <w:noWrap/>
            <w:vAlign w:val="bottom"/>
            <w:hideMark/>
          </w:tcPr>
          <w:p w:rsidR="00DB2665" w:rsidRPr="00DB2665" w:rsidRDefault="00DB2665" w:rsidP="00DB2665">
            <w:pPr>
              <w:jc w:val="center"/>
              <w:rPr>
                <w:sz w:val="20"/>
              </w:rPr>
            </w:pPr>
          </w:p>
        </w:tc>
        <w:tc>
          <w:tcPr>
            <w:tcW w:w="992" w:type="dxa"/>
            <w:gridSpan w:val="3"/>
            <w:tcBorders>
              <w:top w:val="nil"/>
              <w:left w:val="nil"/>
              <w:bottom w:val="nil"/>
              <w:right w:val="nil"/>
            </w:tcBorders>
            <w:shd w:val="clear" w:color="auto" w:fill="auto"/>
            <w:noWrap/>
            <w:vAlign w:val="bottom"/>
            <w:hideMark/>
          </w:tcPr>
          <w:p w:rsidR="00DB2665" w:rsidRPr="00DB2665" w:rsidRDefault="00DB2665" w:rsidP="00DB2665">
            <w:pPr>
              <w:jc w:val="left"/>
              <w:rPr>
                <w:sz w:val="20"/>
              </w:rPr>
            </w:pPr>
          </w:p>
        </w:tc>
        <w:tc>
          <w:tcPr>
            <w:tcW w:w="992" w:type="dxa"/>
            <w:gridSpan w:val="3"/>
            <w:tcBorders>
              <w:top w:val="nil"/>
              <w:left w:val="nil"/>
              <w:bottom w:val="nil"/>
              <w:right w:val="nil"/>
            </w:tcBorders>
            <w:shd w:val="clear" w:color="auto" w:fill="auto"/>
            <w:noWrap/>
            <w:vAlign w:val="bottom"/>
            <w:hideMark/>
          </w:tcPr>
          <w:p w:rsidR="00DB2665" w:rsidRPr="00DB2665" w:rsidRDefault="00DB2665" w:rsidP="00DB2665">
            <w:pPr>
              <w:jc w:val="left"/>
              <w:rPr>
                <w:sz w:val="20"/>
              </w:rPr>
            </w:pPr>
          </w:p>
        </w:tc>
        <w:tc>
          <w:tcPr>
            <w:tcW w:w="1024" w:type="dxa"/>
            <w:gridSpan w:val="2"/>
            <w:tcBorders>
              <w:top w:val="nil"/>
              <w:left w:val="nil"/>
              <w:bottom w:val="nil"/>
              <w:right w:val="nil"/>
            </w:tcBorders>
            <w:shd w:val="clear" w:color="auto" w:fill="auto"/>
            <w:noWrap/>
            <w:vAlign w:val="bottom"/>
            <w:hideMark/>
          </w:tcPr>
          <w:p w:rsidR="00DB2665" w:rsidRPr="00DB2665" w:rsidRDefault="00DB2665" w:rsidP="00DB2665">
            <w:pPr>
              <w:jc w:val="left"/>
              <w:rPr>
                <w:sz w:val="20"/>
              </w:rPr>
            </w:pPr>
          </w:p>
        </w:tc>
        <w:tc>
          <w:tcPr>
            <w:tcW w:w="1021" w:type="dxa"/>
            <w:gridSpan w:val="2"/>
            <w:tcBorders>
              <w:top w:val="nil"/>
              <w:left w:val="nil"/>
              <w:bottom w:val="nil"/>
              <w:right w:val="nil"/>
            </w:tcBorders>
            <w:shd w:val="clear" w:color="auto" w:fill="auto"/>
            <w:noWrap/>
            <w:vAlign w:val="bottom"/>
            <w:hideMark/>
          </w:tcPr>
          <w:p w:rsidR="00DB2665" w:rsidRPr="00DB2665" w:rsidRDefault="00DB2665" w:rsidP="00DB2665">
            <w:pPr>
              <w:jc w:val="left"/>
              <w:rPr>
                <w:sz w:val="20"/>
              </w:rPr>
            </w:pPr>
          </w:p>
        </w:tc>
      </w:tr>
      <w:tr w:rsidR="00DB2665" w:rsidRPr="00DB2665" w:rsidTr="002C6D60">
        <w:trPr>
          <w:gridAfter w:val="3"/>
          <w:wAfter w:w="1127" w:type="dxa"/>
          <w:trHeight w:val="315"/>
        </w:trPr>
        <w:tc>
          <w:tcPr>
            <w:tcW w:w="3762" w:type="dxa"/>
            <w:tcBorders>
              <w:top w:val="nil"/>
              <w:left w:val="nil"/>
              <w:bottom w:val="nil"/>
              <w:right w:val="nil"/>
            </w:tcBorders>
            <w:shd w:val="clear" w:color="auto" w:fill="auto"/>
            <w:noWrap/>
            <w:vAlign w:val="bottom"/>
            <w:hideMark/>
          </w:tcPr>
          <w:p w:rsidR="00DB2665" w:rsidRPr="00DB2665" w:rsidRDefault="00DB2665" w:rsidP="00DB2665">
            <w:pPr>
              <w:jc w:val="left"/>
              <w:rPr>
                <w:rFonts w:ascii="Times New Roman CE" w:hAnsi="Times New Roman CE" w:cs="Times New Roman CE"/>
                <w:sz w:val="22"/>
                <w:szCs w:val="22"/>
              </w:rPr>
            </w:pPr>
            <w:r w:rsidRPr="00DB2665">
              <w:rPr>
                <w:rFonts w:ascii="Times New Roman CE" w:hAnsi="Times New Roman CE" w:cs="Times New Roman CE"/>
                <w:sz w:val="22"/>
                <w:szCs w:val="22"/>
              </w:rPr>
              <w:t>Ellátott települések száma</w:t>
            </w:r>
          </w:p>
        </w:tc>
        <w:tc>
          <w:tcPr>
            <w:tcW w:w="1058" w:type="dxa"/>
            <w:gridSpan w:val="2"/>
            <w:tcBorders>
              <w:top w:val="nil"/>
              <w:left w:val="nil"/>
              <w:bottom w:val="nil"/>
              <w:right w:val="nil"/>
            </w:tcBorders>
            <w:shd w:val="clear" w:color="auto" w:fill="auto"/>
            <w:noWrap/>
            <w:vAlign w:val="bottom"/>
            <w:hideMark/>
          </w:tcPr>
          <w:p w:rsidR="00DB2665" w:rsidRPr="00DB2665" w:rsidRDefault="00DB2665" w:rsidP="00DB2665">
            <w:pPr>
              <w:jc w:val="center"/>
              <w:rPr>
                <w:rFonts w:ascii="Times New Roman CE" w:hAnsi="Times New Roman CE" w:cs="Times New Roman CE"/>
                <w:sz w:val="22"/>
                <w:szCs w:val="22"/>
              </w:rPr>
            </w:pPr>
            <w:r w:rsidRPr="00DB2665">
              <w:rPr>
                <w:rFonts w:ascii="Times New Roman CE" w:hAnsi="Times New Roman CE" w:cs="Times New Roman CE"/>
                <w:sz w:val="22"/>
                <w:szCs w:val="22"/>
              </w:rPr>
              <w:t>db</w:t>
            </w:r>
          </w:p>
        </w:tc>
        <w:tc>
          <w:tcPr>
            <w:tcW w:w="1134" w:type="dxa"/>
            <w:gridSpan w:val="3"/>
            <w:tcBorders>
              <w:top w:val="nil"/>
              <w:left w:val="nil"/>
              <w:bottom w:val="nil"/>
              <w:right w:val="nil"/>
            </w:tcBorders>
            <w:shd w:val="clear" w:color="auto" w:fill="auto"/>
            <w:noWrap/>
            <w:vAlign w:val="bottom"/>
            <w:hideMark/>
          </w:tcPr>
          <w:p w:rsidR="00DB2665" w:rsidRPr="00DB2665" w:rsidRDefault="00DB2665" w:rsidP="00DB2665">
            <w:pPr>
              <w:jc w:val="right"/>
              <w:rPr>
                <w:rFonts w:ascii="Times New Roman CE" w:hAnsi="Times New Roman CE" w:cs="Times New Roman CE"/>
                <w:sz w:val="22"/>
                <w:szCs w:val="22"/>
              </w:rPr>
            </w:pPr>
            <w:r w:rsidRPr="00DB2665">
              <w:rPr>
                <w:rFonts w:ascii="Times New Roman CE" w:hAnsi="Times New Roman CE" w:cs="Times New Roman CE"/>
                <w:sz w:val="22"/>
                <w:szCs w:val="22"/>
              </w:rPr>
              <w:t>207</w:t>
            </w:r>
          </w:p>
        </w:tc>
        <w:tc>
          <w:tcPr>
            <w:tcW w:w="992" w:type="dxa"/>
            <w:gridSpan w:val="3"/>
            <w:tcBorders>
              <w:top w:val="nil"/>
              <w:left w:val="nil"/>
              <w:bottom w:val="nil"/>
              <w:right w:val="nil"/>
            </w:tcBorders>
            <w:shd w:val="clear" w:color="auto" w:fill="auto"/>
            <w:noWrap/>
            <w:vAlign w:val="bottom"/>
            <w:hideMark/>
          </w:tcPr>
          <w:p w:rsidR="00DB2665" w:rsidRPr="00DB2665" w:rsidRDefault="00DB2665" w:rsidP="00DB2665">
            <w:pPr>
              <w:jc w:val="right"/>
              <w:rPr>
                <w:rFonts w:ascii="Times New Roman CE" w:hAnsi="Times New Roman CE" w:cs="Times New Roman CE"/>
                <w:sz w:val="22"/>
                <w:szCs w:val="22"/>
              </w:rPr>
            </w:pPr>
          </w:p>
        </w:tc>
        <w:tc>
          <w:tcPr>
            <w:tcW w:w="992" w:type="dxa"/>
            <w:gridSpan w:val="3"/>
            <w:tcBorders>
              <w:top w:val="nil"/>
              <w:left w:val="nil"/>
              <w:bottom w:val="nil"/>
              <w:right w:val="nil"/>
            </w:tcBorders>
            <w:shd w:val="clear" w:color="auto" w:fill="auto"/>
            <w:noWrap/>
            <w:vAlign w:val="bottom"/>
            <w:hideMark/>
          </w:tcPr>
          <w:p w:rsidR="00DB2665" w:rsidRPr="00DB2665" w:rsidRDefault="00DB2665" w:rsidP="00DB2665">
            <w:pPr>
              <w:jc w:val="right"/>
              <w:rPr>
                <w:rFonts w:ascii="Times New Roman CE" w:hAnsi="Times New Roman CE" w:cs="Times New Roman CE"/>
                <w:sz w:val="22"/>
                <w:szCs w:val="22"/>
              </w:rPr>
            </w:pPr>
            <w:r w:rsidRPr="00DB2665">
              <w:rPr>
                <w:rFonts w:ascii="Times New Roman CE" w:hAnsi="Times New Roman CE" w:cs="Times New Roman CE"/>
                <w:sz w:val="22"/>
                <w:szCs w:val="22"/>
              </w:rPr>
              <w:t>207</w:t>
            </w:r>
          </w:p>
        </w:tc>
        <w:tc>
          <w:tcPr>
            <w:tcW w:w="1024" w:type="dxa"/>
            <w:gridSpan w:val="2"/>
            <w:tcBorders>
              <w:top w:val="nil"/>
              <w:left w:val="nil"/>
              <w:bottom w:val="nil"/>
              <w:right w:val="nil"/>
            </w:tcBorders>
            <w:shd w:val="clear" w:color="auto" w:fill="auto"/>
            <w:noWrap/>
            <w:vAlign w:val="bottom"/>
            <w:hideMark/>
          </w:tcPr>
          <w:p w:rsidR="00DB2665" w:rsidRPr="00DB2665" w:rsidRDefault="00DB2665" w:rsidP="00DB2665">
            <w:pPr>
              <w:jc w:val="right"/>
              <w:rPr>
                <w:rFonts w:ascii="Times New Roman CE" w:hAnsi="Times New Roman CE" w:cs="Times New Roman CE"/>
                <w:sz w:val="22"/>
                <w:szCs w:val="22"/>
              </w:rPr>
            </w:pPr>
            <w:r w:rsidRPr="00DB2665">
              <w:rPr>
                <w:rFonts w:ascii="Times New Roman CE" w:hAnsi="Times New Roman CE" w:cs="Times New Roman CE"/>
                <w:sz w:val="22"/>
                <w:szCs w:val="22"/>
              </w:rPr>
              <w:t>100,0%</w:t>
            </w:r>
          </w:p>
        </w:tc>
        <w:tc>
          <w:tcPr>
            <w:tcW w:w="1021" w:type="dxa"/>
            <w:gridSpan w:val="2"/>
            <w:tcBorders>
              <w:top w:val="nil"/>
              <w:left w:val="nil"/>
              <w:bottom w:val="nil"/>
              <w:right w:val="nil"/>
            </w:tcBorders>
            <w:shd w:val="clear" w:color="auto" w:fill="auto"/>
            <w:noWrap/>
            <w:vAlign w:val="bottom"/>
            <w:hideMark/>
          </w:tcPr>
          <w:p w:rsidR="00DB2665" w:rsidRPr="00DB2665" w:rsidRDefault="00DB2665" w:rsidP="00DB2665">
            <w:pPr>
              <w:jc w:val="right"/>
              <w:rPr>
                <w:rFonts w:ascii="Times New Roman CE" w:hAnsi="Times New Roman CE" w:cs="Times New Roman CE"/>
                <w:sz w:val="22"/>
                <w:szCs w:val="22"/>
              </w:rPr>
            </w:pPr>
          </w:p>
        </w:tc>
      </w:tr>
      <w:tr w:rsidR="00DB2665" w:rsidRPr="00DB2665" w:rsidTr="002C6D60">
        <w:trPr>
          <w:gridAfter w:val="3"/>
          <w:wAfter w:w="1127" w:type="dxa"/>
          <w:trHeight w:val="315"/>
        </w:trPr>
        <w:tc>
          <w:tcPr>
            <w:tcW w:w="3762" w:type="dxa"/>
            <w:tcBorders>
              <w:top w:val="nil"/>
              <w:left w:val="nil"/>
              <w:bottom w:val="nil"/>
              <w:right w:val="nil"/>
            </w:tcBorders>
            <w:shd w:val="clear" w:color="auto" w:fill="auto"/>
            <w:noWrap/>
            <w:vAlign w:val="bottom"/>
            <w:hideMark/>
          </w:tcPr>
          <w:p w:rsidR="00DB2665" w:rsidRPr="00DB2665" w:rsidRDefault="00DB2665" w:rsidP="00DB2665">
            <w:pPr>
              <w:jc w:val="left"/>
              <w:rPr>
                <w:rFonts w:ascii="Times New Roman CE" w:hAnsi="Times New Roman CE" w:cs="Times New Roman CE"/>
                <w:sz w:val="22"/>
                <w:szCs w:val="22"/>
              </w:rPr>
            </w:pPr>
            <w:r w:rsidRPr="00DB2665">
              <w:rPr>
                <w:rFonts w:ascii="Times New Roman CE" w:hAnsi="Times New Roman CE" w:cs="Times New Roman CE"/>
                <w:sz w:val="22"/>
                <w:szCs w:val="22"/>
              </w:rPr>
              <w:t>Ivóvíz ellátási rendszerek száma</w:t>
            </w:r>
          </w:p>
        </w:tc>
        <w:tc>
          <w:tcPr>
            <w:tcW w:w="1058" w:type="dxa"/>
            <w:gridSpan w:val="2"/>
            <w:tcBorders>
              <w:top w:val="nil"/>
              <w:left w:val="nil"/>
              <w:bottom w:val="nil"/>
              <w:right w:val="nil"/>
            </w:tcBorders>
            <w:shd w:val="clear" w:color="auto" w:fill="auto"/>
            <w:noWrap/>
            <w:vAlign w:val="bottom"/>
            <w:hideMark/>
          </w:tcPr>
          <w:p w:rsidR="00DB2665" w:rsidRPr="00DB2665" w:rsidRDefault="00DB2665" w:rsidP="00DB2665">
            <w:pPr>
              <w:jc w:val="center"/>
              <w:rPr>
                <w:rFonts w:ascii="Times New Roman CE" w:hAnsi="Times New Roman CE" w:cs="Times New Roman CE"/>
                <w:sz w:val="22"/>
                <w:szCs w:val="22"/>
              </w:rPr>
            </w:pPr>
            <w:r w:rsidRPr="00DB2665">
              <w:rPr>
                <w:rFonts w:ascii="Times New Roman CE" w:hAnsi="Times New Roman CE" w:cs="Times New Roman CE"/>
                <w:sz w:val="22"/>
                <w:szCs w:val="22"/>
              </w:rPr>
              <w:t>db</w:t>
            </w:r>
          </w:p>
        </w:tc>
        <w:tc>
          <w:tcPr>
            <w:tcW w:w="1134" w:type="dxa"/>
            <w:gridSpan w:val="3"/>
            <w:tcBorders>
              <w:top w:val="nil"/>
              <w:left w:val="nil"/>
              <w:bottom w:val="nil"/>
              <w:right w:val="nil"/>
            </w:tcBorders>
            <w:shd w:val="clear" w:color="auto" w:fill="auto"/>
            <w:noWrap/>
            <w:vAlign w:val="bottom"/>
            <w:hideMark/>
          </w:tcPr>
          <w:p w:rsidR="00DB2665" w:rsidRPr="00DB2665" w:rsidRDefault="00DB2665" w:rsidP="00DB2665">
            <w:pPr>
              <w:jc w:val="right"/>
              <w:rPr>
                <w:rFonts w:ascii="Times New Roman CE" w:hAnsi="Times New Roman CE" w:cs="Times New Roman CE"/>
                <w:sz w:val="22"/>
                <w:szCs w:val="22"/>
              </w:rPr>
            </w:pPr>
            <w:r w:rsidRPr="00DB2665">
              <w:rPr>
                <w:rFonts w:ascii="Times New Roman CE" w:hAnsi="Times New Roman CE" w:cs="Times New Roman CE"/>
                <w:sz w:val="22"/>
                <w:szCs w:val="22"/>
              </w:rPr>
              <w:t>62</w:t>
            </w:r>
          </w:p>
        </w:tc>
        <w:tc>
          <w:tcPr>
            <w:tcW w:w="992" w:type="dxa"/>
            <w:gridSpan w:val="3"/>
            <w:tcBorders>
              <w:top w:val="nil"/>
              <w:left w:val="nil"/>
              <w:bottom w:val="nil"/>
              <w:right w:val="nil"/>
            </w:tcBorders>
            <w:shd w:val="clear" w:color="auto" w:fill="auto"/>
            <w:noWrap/>
            <w:vAlign w:val="bottom"/>
            <w:hideMark/>
          </w:tcPr>
          <w:p w:rsidR="00DB2665" w:rsidRPr="00DB2665" w:rsidRDefault="00DB2665" w:rsidP="00DB2665">
            <w:pPr>
              <w:jc w:val="right"/>
              <w:rPr>
                <w:rFonts w:ascii="Times New Roman CE" w:hAnsi="Times New Roman CE" w:cs="Times New Roman CE"/>
                <w:sz w:val="22"/>
                <w:szCs w:val="22"/>
              </w:rPr>
            </w:pPr>
          </w:p>
        </w:tc>
        <w:tc>
          <w:tcPr>
            <w:tcW w:w="992" w:type="dxa"/>
            <w:gridSpan w:val="3"/>
            <w:tcBorders>
              <w:top w:val="nil"/>
              <w:left w:val="nil"/>
              <w:bottom w:val="nil"/>
              <w:right w:val="nil"/>
            </w:tcBorders>
            <w:shd w:val="clear" w:color="auto" w:fill="auto"/>
            <w:noWrap/>
            <w:vAlign w:val="bottom"/>
            <w:hideMark/>
          </w:tcPr>
          <w:p w:rsidR="00DB2665" w:rsidRPr="00DB2665" w:rsidRDefault="00DB2665" w:rsidP="00DB2665">
            <w:pPr>
              <w:jc w:val="right"/>
              <w:rPr>
                <w:rFonts w:ascii="Times New Roman CE" w:hAnsi="Times New Roman CE" w:cs="Times New Roman CE"/>
                <w:sz w:val="22"/>
                <w:szCs w:val="22"/>
              </w:rPr>
            </w:pPr>
            <w:r w:rsidRPr="00DB2665">
              <w:rPr>
                <w:rFonts w:ascii="Times New Roman CE" w:hAnsi="Times New Roman CE" w:cs="Times New Roman CE"/>
                <w:sz w:val="22"/>
                <w:szCs w:val="22"/>
              </w:rPr>
              <w:t>62</w:t>
            </w:r>
          </w:p>
        </w:tc>
        <w:tc>
          <w:tcPr>
            <w:tcW w:w="1024" w:type="dxa"/>
            <w:gridSpan w:val="2"/>
            <w:tcBorders>
              <w:top w:val="nil"/>
              <w:left w:val="nil"/>
              <w:bottom w:val="nil"/>
              <w:right w:val="nil"/>
            </w:tcBorders>
            <w:shd w:val="clear" w:color="auto" w:fill="auto"/>
            <w:noWrap/>
            <w:vAlign w:val="bottom"/>
            <w:hideMark/>
          </w:tcPr>
          <w:p w:rsidR="00DB2665" w:rsidRPr="00DB2665" w:rsidRDefault="00DB2665" w:rsidP="00DB2665">
            <w:pPr>
              <w:jc w:val="right"/>
              <w:rPr>
                <w:rFonts w:ascii="Times New Roman CE" w:hAnsi="Times New Roman CE" w:cs="Times New Roman CE"/>
                <w:sz w:val="22"/>
                <w:szCs w:val="22"/>
              </w:rPr>
            </w:pPr>
            <w:r w:rsidRPr="00DB2665">
              <w:rPr>
                <w:rFonts w:ascii="Times New Roman CE" w:hAnsi="Times New Roman CE" w:cs="Times New Roman CE"/>
                <w:sz w:val="22"/>
                <w:szCs w:val="22"/>
              </w:rPr>
              <w:t>100,0%</w:t>
            </w:r>
          </w:p>
        </w:tc>
        <w:tc>
          <w:tcPr>
            <w:tcW w:w="1021" w:type="dxa"/>
            <w:gridSpan w:val="2"/>
            <w:tcBorders>
              <w:top w:val="nil"/>
              <w:left w:val="nil"/>
              <w:bottom w:val="nil"/>
              <w:right w:val="nil"/>
            </w:tcBorders>
            <w:shd w:val="clear" w:color="auto" w:fill="auto"/>
            <w:noWrap/>
            <w:vAlign w:val="bottom"/>
            <w:hideMark/>
          </w:tcPr>
          <w:p w:rsidR="00DB2665" w:rsidRPr="00DB2665" w:rsidRDefault="00DB2665" w:rsidP="00DB2665">
            <w:pPr>
              <w:jc w:val="right"/>
              <w:rPr>
                <w:rFonts w:ascii="Times New Roman CE" w:hAnsi="Times New Roman CE" w:cs="Times New Roman CE"/>
                <w:sz w:val="22"/>
                <w:szCs w:val="22"/>
              </w:rPr>
            </w:pPr>
          </w:p>
        </w:tc>
      </w:tr>
      <w:tr w:rsidR="00DB2665" w:rsidRPr="00EC3F41" w:rsidTr="002C6D60">
        <w:trPr>
          <w:gridAfter w:val="3"/>
          <w:wAfter w:w="1127" w:type="dxa"/>
          <w:trHeight w:val="315"/>
        </w:trPr>
        <w:tc>
          <w:tcPr>
            <w:tcW w:w="3762" w:type="dxa"/>
            <w:tcBorders>
              <w:top w:val="nil"/>
              <w:left w:val="nil"/>
              <w:bottom w:val="nil"/>
              <w:right w:val="nil"/>
            </w:tcBorders>
            <w:shd w:val="clear" w:color="auto" w:fill="auto"/>
            <w:noWrap/>
            <w:vAlign w:val="bottom"/>
            <w:hideMark/>
          </w:tcPr>
          <w:p w:rsidR="00DB2665" w:rsidRPr="00EC3F41" w:rsidRDefault="00DB2665" w:rsidP="00DB2665">
            <w:pPr>
              <w:jc w:val="left"/>
              <w:rPr>
                <w:rFonts w:ascii="Times New Roman CE" w:hAnsi="Times New Roman CE" w:cs="Times New Roman CE"/>
                <w:sz w:val="22"/>
                <w:szCs w:val="22"/>
              </w:rPr>
            </w:pPr>
            <w:r w:rsidRPr="00EC3F41">
              <w:rPr>
                <w:rFonts w:ascii="Times New Roman CE" w:hAnsi="Times New Roman CE" w:cs="Times New Roman CE"/>
                <w:sz w:val="22"/>
                <w:szCs w:val="22"/>
              </w:rPr>
              <w:t>Kutak száma</w:t>
            </w:r>
          </w:p>
        </w:tc>
        <w:tc>
          <w:tcPr>
            <w:tcW w:w="1058" w:type="dxa"/>
            <w:gridSpan w:val="2"/>
            <w:tcBorders>
              <w:top w:val="nil"/>
              <w:left w:val="nil"/>
              <w:bottom w:val="nil"/>
              <w:right w:val="nil"/>
            </w:tcBorders>
            <w:shd w:val="clear" w:color="auto" w:fill="auto"/>
            <w:noWrap/>
            <w:vAlign w:val="bottom"/>
            <w:hideMark/>
          </w:tcPr>
          <w:p w:rsidR="00DB2665" w:rsidRPr="00EC3F41" w:rsidRDefault="00DB2665" w:rsidP="00DB2665">
            <w:pPr>
              <w:jc w:val="center"/>
              <w:rPr>
                <w:rFonts w:ascii="Times New Roman CE" w:hAnsi="Times New Roman CE" w:cs="Times New Roman CE"/>
                <w:sz w:val="22"/>
                <w:szCs w:val="22"/>
              </w:rPr>
            </w:pPr>
            <w:r w:rsidRPr="00EC3F41">
              <w:rPr>
                <w:rFonts w:ascii="Times New Roman CE" w:hAnsi="Times New Roman CE" w:cs="Times New Roman CE"/>
                <w:sz w:val="22"/>
                <w:szCs w:val="22"/>
              </w:rPr>
              <w:t>db</w:t>
            </w:r>
          </w:p>
        </w:tc>
        <w:tc>
          <w:tcPr>
            <w:tcW w:w="1134" w:type="dxa"/>
            <w:gridSpan w:val="3"/>
            <w:tcBorders>
              <w:top w:val="nil"/>
              <w:left w:val="nil"/>
              <w:bottom w:val="nil"/>
              <w:right w:val="nil"/>
            </w:tcBorders>
            <w:shd w:val="clear" w:color="auto" w:fill="auto"/>
            <w:noWrap/>
            <w:vAlign w:val="bottom"/>
            <w:hideMark/>
          </w:tcPr>
          <w:p w:rsidR="00DB2665" w:rsidRPr="00EC3F41" w:rsidRDefault="00DB2665" w:rsidP="00DB2665">
            <w:pPr>
              <w:jc w:val="right"/>
              <w:rPr>
                <w:rFonts w:ascii="Times New Roman CE" w:hAnsi="Times New Roman CE" w:cs="Times New Roman CE"/>
                <w:sz w:val="22"/>
                <w:szCs w:val="22"/>
              </w:rPr>
            </w:pPr>
            <w:r w:rsidRPr="00EC3F41">
              <w:rPr>
                <w:rFonts w:ascii="Times New Roman CE" w:hAnsi="Times New Roman CE" w:cs="Times New Roman CE"/>
                <w:sz w:val="22"/>
                <w:szCs w:val="22"/>
              </w:rPr>
              <w:t>208</w:t>
            </w:r>
          </w:p>
        </w:tc>
        <w:tc>
          <w:tcPr>
            <w:tcW w:w="992" w:type="dxa"/>
            <w:gridSpan w:val="3"/>
            <w:tcBorders>
              <w:top w:val="nil"/>
              <w:left w:val="nil"/>
              <w:bottom w:val="nil"/>
              <w:right w:val="nil"/>
            </w:tcBorders>
            <w:shd w:val="clear" w:color="auto" w:fill="auto"/>
            <w:noWrap/>
            <w:vAlign w:val="bottom"/>
            <w:hideMark/>
          </w:tcPr>
          <w:p w:rsidR="00DB2665" w:rsidRPr="00EC3F41" w:rsidRDefault="00DB2665" w:rsidP="00DB2665">
            <w:pPr>
              <w:jc w:val="right"/>
              <w:rPr>
                <w:rFonts w:ascii="Times New Roman CE" w:hAnsi="Times New Roman CE" w:cs="Times New Roman CE"/>
                <w:sz w:val="22"/>
                <w:szCs w:val="22"/>
              </w:rPr>
            </w:pPr>
          </w:p>
        </w:tc>
        <w:tc>
          <w:tcPr>
            <w:tcW w:w="992" w:type="dxa"/>
            <w:gridSpan w:val="3"/>
            <w:tcBorders>
              <w:top w:val="nil"/>
              <w:left w:val="nil"/>
              <w:bottom w:val="nil"/>
              <w:right w:val="nil"/>
            </w:tcBorders>
            <w:shd w:val="clear" w:color="auto" w:fill="auto"/>
            <w:noWrap/>
            <w:vAlign w:val="bottom"/>
            <w:hideMark/>
          </w:tcPr>
          <w:p w:rsidR="00DB2665" w:rsidRPr="00EC3F41" w:rsidRDefault="00DB2665" w:rsidP="00EC3F41">
            <w:pPr>
              <w:jc w:val="right"/>
              <w:rPr>
                <w:rFonts w:ascii="Times New Roman CE" w:hAnsi="Times New Roman CE" w:cs="Times New Roman CE"/>
                <w:sz w:val="22"/>
                <w:szCs w:val="22"/>
              </w:rPr>
            </w:pPr>
            <w:r w:rsidRPr="00EC3F41">
              <w:rPr>
                <w:rFonts w:ascii="Times New Roman CE" w:hAnsi="Times New Roman CE" w:cs="Times New Roman CE"/>
                <w:sz w:val="22"/>
                <w:szCs w:val="22"/>
              </w:rPr>
              <w:t>2</w:t>
            </w:r>
            <w:r w:rsidR="00EC3F41">
              <w:rPr>
                <w:rFonts w:ascii="Times New Roman CE" w:hAnsi="Times New Roman CE" w:cs="Times New Roman CE"/>
                <w:sz w:val="22"/>
                <w:szCs w:val="22"/>
              </w:rPr>
              <w:t>08</w:t>
            </w:r>
          </w:p>
        </w:tc>
        <w:tc>
          <w:tcPr>
            <w:tcW w:w="1024" w:type="dxa"/>
            <w:gridSpan w:val="2"/>
            <w:tcBorders>
              <w:top w:val="nil"/>
              <w:left w:val="nil"/>
              <w:bottom w:val="nil"/>
              <w:right w:val="nil"/>
            </w:tcBorders>
            <w:shd w:val="clear" w:color="auto" w:fill="auto"/>
            <w:noWrap/>
            <w:vAlign w:val="bottom"/>
            <w:hideMark/>
          </w:tcPr>
          <w:p w:rsidR="00DB2665" w:rsidRPr="00EC3F41" w:rsidRDefault="00DB2665" w:rsidP="00EC3F41">
            <w:pPr>
              <w:jc w:val="right"/>
              <w:rPr>
                <w:rFonts w:ascii="Times New Roman CE" w:hAnsi="Times New Roman CE" w:cs="Times New Roman CE"/>
                <w:sz w:val="22"/>
                <w:szCs w:val="22"/>
              </w:rPr>
            </w:pPr>
            <w:r w:rsidRPr="00EC3F41">
              <w:rPr>
                <w:rFonts w:ascii="Times New Roman CE" w:hAnsi="Times New Roman CE" w:cs="Times New Roman CE"/>
                <w:sz w:val="22"/>
                <w:szCs w:val="22"/>
              </w:rPr>
              <w:t>1</w:t>
            </w:r>
            <w:r w:rsidR="00EC3F41">
              <w:rPr>
                <w:rFonts w:ascii="Times New Roman CE" w:hAnsi="Times New Roman CE" w:cs="Times New Roman CE"/>
                <w:sz w:val="22"/>
                <w:szCs w:val="22"/>
              </w:rPr>
              <w:t>00,0</w:t>
            </w:r>
            <w:r w:rsidRPr="00EC3F41">
              <w:rPr>
                <w:rFonts w:ascii="Times New Roman CE" w:hAnsi="Times New Roman CE" w:cs="Times New Roman CE"/>
                <w:sz w:val="22"/>
                <w:szCs w:val="22"/>
              </w:rPr>
              <w:t>%</w:t>
            </w:r>
          </w:p>
        </w:tc>
        <w:tc>
          <w:tcPr>
            <w:tcW w:w="1021" w:type="dxa"/>
            <w:gridSpan w:val="2"/>
            <w:tcBorders>
              <w:top w:val="nil"/>
              <w:left w:val="nil"/>
              <w:bottom w:val="nil"/>
              <w:right w:val="nil"/>
            </w:tcBorders>
            <w:shd w:val="clear" w:color="auto" w:fill="auto"/>
            <w:noWrap/>
            <w:vAlign w:val="bottom"/>
            <w:hideMark/>
          </w:tcPr>
          <w:p w:rsidR="00DB2665" w:rsidRPr="00EC3F41" w:rsidRDefault="00DB2665" w:rsidP="00DB2665">
            <w:pPr>
              <w:jc w:val="right"/>
              <w:rPr>
                <w:rFonts w:ascii="Times New Roman CE" w:hAnsi="Times New Roman CE" w:cs="Times New Roman CE"/>
                <w:sz w:val="22"/>
                <w:szCs w:val="22"/>
              </w:rPr>
            </w:pPr>
          </w:p>
        </w:tc>
      </w:tr>
      <w:tr w:rsidR="00DB2665" w:rsidRPr="00EC3F41" w:rsidTr="002C6D60">
        <w:trPr>
          <w:gridAfter w:val="3"/>
          <w:wAfter w:w="1127" w:type="dxa"/>
          <w:trHeight w:val="330"/>
        </w:trPr>
        <w:tc>
          <w:tcPr>
            <w:tcW w:w="3762" w:type="dxa"/>
            <w:tcBorders>
              <w:top w:val="nil"/>
              <w:left w:val="nil"/>
              <w:bottom w:val="nil"/>
              <w:right w:val="nil"/>
            </w:tcBorders>
            <w:shd w:val="clear" w:color="auto" w:fill="auto"/>
            <w:noWrap/>
            <w:vAlign w:val="bottom"/>
            <w:hideMark/>
          </w:tcPr>
          <w:p w:rsidR="00DB2665" w:rsidRPr="00EC3F41" w:rsidRDefault="00DB2665" w:rsidP="00DB2665">
            <w:pPr>
              <w:jc w:val="left"/>
              <w:rPr>
                <w:rFonts w:ascii="Times New Roman CE" w:hAnsi="Times New Roman CE" w:cs="Times New Roman CE"/>
                <w:sz w:val="22"/>
                <w:szCs w:val="22"/>
              </w:rPr>
            </w:pPr>
            <w:r w:rsidRPr="00EC3F41">
              <w:rPr>
                <w:rFonts w:ascii="Times New Roman CE" w:hAnsi="Times New Roman CE" w:cs="Times New Roman CE"/>
                <w:sz w:val="22"/>
                <w:szCs w:val="22"/>
              </w:rPr>
              <w:t>Kút-kapacitás</w:t>
            </w:r>
          </w:p>
        </w:tc>
        <w:tc>
          <w:tcPr>
            <w:tcW w:w="1058" w:type="dxa"/>
            <w:gridSpan w:val="2"/>
            <w:tcBorders>
              <w:top w:val="nil"/>
              <w:left w:val="nil"/>
              <w:bottom w:val="nil"/>
              <w:right w:val="nil"/>
            </w:tcBorders>
            <w:shd w:val="clear" w:color="auto" w:fill="auto"/>
            <w:noWrap/>
            <w:vAlign w:val="bottom"/>
            <w:hideMark/>
          </w:tcPr>
          <w:p w:rsidR="00DB2665" w:rsidRPr="00EC3F41" w:rsidRDefault="00DB2665" w:rsidP="00DB2665">
            <w:pPr>
              <w:jc w:val="center"/>
              <w:rPr>
                <w:rFonts w:ascii="Times New Roman CE" w:hAnsi="Times New Roman CE" w:cs="Times New Roman CE"/>
                <w:sz w:val="20"/>
              </w:rPr>
            </w:pPr>
            <w:r w:rsidRPr="00EC3F41">
              <w:rPr>
                <w:rFonts w:ascii="Times New Roman CE" w:hAnsi="Times New Roman CE" w:cs="Times New Roman CE"/>
                <w:sz w:val="20"/>
              </w:rPr>
              <w:t>m</w:t>
            </w:r>
            <w:r w:rsidRPr="00EC3F41">
              <w:rPr>
                <w:rFonts w:ascii="Times New Roman CE" w:hAnsi="Times New Roman CE" w:cs="Times New Roman CE"/>
                <w:sz w:val="20"/>
                <w:vertAlign w:val="superscript"/>
              </w:rPr>
              <w:t>3</w:t>
            </w:r>
            <w:r w:rsidRPr="00EC3F41">
              <w:rPr>
                <w:rFonts w:ascii="Times New Roman CE" w:hAnsi="Times New Roman CE" w:cs="Times New Roman CE"/>
                <w:sz w:val="20"/>
              </w:rPr>
              <w:t>/d</w:t>
            </w:r>
          </w:p>
        </w:tc>
        <w:tc>
          <w:tcPr>
            <w:tcW w:w="1134" w:type="dxa"/>
            <w:gridSpan w:val="3"/>
            <w:tcBorders>
              <w:top w:val="nil"/>
              <w:left w:val="nil"/>
              <w:bottom w:val="nil"/>
              <w:right w:val="nil"/>
            </w:tcBorders>
            <w:shd w:val="clear" w:color="auto" w:fill="auto"/>
            <w:noWrap/>
            <w:vAlign w:val="bottom"/>
            <w:hideMark/>
          </w:tcPr>
          <w:p w:rsidR="00DB2665" w:rsidRPr="00EC3F41" w:rsidRDefault="00DB2665" w:rsidP="00DB2665">
            <w:pPr>
              <w:jc w:val="right"/>
              <w:rPr>
                <w:rFonts w:ascii="Times New Roman CE" w:hAnsi="Times New Roman CE" w:cs="Times New Roman CE"/>
                <w:sz w:val="22"/>
                <w:szCs w:val="22"/>
              </w:rPr>
            </w:pPr>
            <w:r w:rsidRPr="00EC3F41">
              <w:rPr>
                <w:rFonts w:ascii="Times New Roman CE" w:hAnsi="Times New Roman CE" w:cs="Times New Roman CE"/>
                <w:sz w:val="22"/>
                <w:szCs w:val="22"/>
              </w:rPr>
              <w:t>81 639</w:t>
            </w:r>
          </w:p>
        </w:tc>
        <w:tc>
          <w:tcPr>
            <w:tcW w:w="992" w:type="dxa"/>
            <w:gridSpan w:val="3"/>
            <w:tcBorders>
              <w:top w:val="nil"/>
              <w:left w:val="nil"/>
              <w:bottom w:val="nil"/>
              <w:right w:val="nil"/>
            </w:tcBorders>
            <w:shd w:val="clear" w:color="auto" w:fill="auto"/>
            <w:noWrap/>
            <w:vAlign w:val="bottom"/>
            <w:hideMark/>
          </w:tcPr>
          <w:p w:rsidR="00DB2665" w:rsidRPr="00EC3F41" w:rsidRDefault="00DB2665" w:rsidP="00DB2665">
            <w:pPr>
              <w:jc w:val="right"/>
              <w:rPr>
                <w:rFonts w:ascii="Times New Roman CE" w:hAnsi="Times New Roman CE" w:cs="Times New Roman CE"/>
                <w:sz w:val="22"/>
                <w:szCs w:val="22"/>
              </w:rPr>
            </w:pPr>
          </w:p>
        </w:tc>
        <w:tc>
          <w:tcPr>
            <w:tcW w:w="992" w:type="dxa"/>
            <w:gridSpan w:val="3"/>
            <w:tcBorders>
              <w:top w:val="nil"/>
              <w:left w:val="nil"/>
              <w:bottom w:val="nil"/>
              <w:right w:val="nil"/>
            </w:tcBorders>
            <w:shd w:val="clear" w:color="auto" w:fill="auto"/>
            <w:noWrap/>
            <w:vAlign w:val="bottom"/>
            <w:hideMark/>
          </w:tcPr>
          <w:p w:rsidR="00DB2665" w:rsidRPr="00EC3F41" w:rsidRDefault="00EC3F41" w:rsidP="00EC3F41">
            <w:pPr>
              <w:jc w:val="right"/>
              <w:rPr>
                <w:rFonts w:ascii="Times New Roman CE" w:hAnsi="Times New Roman CE" w:cs="Times New Roman CE"/>
                <w:sz w:val="22"/>
                <w:szCs w:val="22"/>
              </w:rPr>
            </w:pPr>
            <w:r>
              <w:rPr>
                <w:rFonts w:ascii="Times New Roman CE" w:hAnsi="Times New Roman CE" w:cs="Times New Roman CE"/>
                <w:sz w:val="22"/>
                <w:szCs w:val="22"/>
              </w:rPr>
              <w:t>81 639</w:t>
            </w:r>
          </w:p>
        </w:tc>
        <w:tc>
          <w:tcPr>
            <w:tcW w:w="1024" w:type="dxa"/>
            <w:gridSpan w:val="2"/>
            <w:tcBorders>
              <w:top w:val="nil"/>
              <w:left w:val="nil"/>
              <w:bottom w:val="nil"/>
              <w:right w:val="nil"/>
            </w:tcBorders>
            <w:shd w:val="clear" w:color="auto" w:fill="auto"/>
            <w:noWrap/>
            <w:vAlign w:val="bottom"/>
            <w:hideMark/>
          </w:tcPr>
          <w:p w:rsidR="00DB2665" w:rsidRPr="00EC3F41" w:rsidRDefault="00DB2665" w:rsidP="00EC3F41">
            <w:pPr>
              <w:jc w:val="right"/>
              <w:rPr>
                <w:rFonts w:ascii="Times New Roman CE" w:hAnsi="Times New Roman CE" w:cs="Times New Roman CE"/>
                <w:sz w:val="22"/>
                <w:szCs w:val="22"/>
              </w:rPr>
            </w:pPr>
            <w:r w:rsidRPr="00EC3F41">
              <w:rPr>
                <w:rFonts w:ascii="Times New Roman CE" w:hAnsi="Times New Roman CE" w:cs="Times New Roman CE"/>
                <w:sz w:val="22"/>
                <w:szCs w:val="22"/>
              </w:rPr>
              <w:t>1</w:t>
            </w:r>
            <w:r w:rsidR="00EC3F41">
              <w:rPr>
                <w:rFonts w:ascii="Times New Roman CE" w:hAnsi="Times New Roman CE" w:cs="Times New Roman CE"/>
                <w:sz w:val="22"/>
                <w:szCs w:val="22"/>
              </w:rPr>
              <w:t>00,0%</w:t>
            </w:r>
          </w:p>
        </w:tc>
        <w:tc>
          <w:tcPr>
            <w:tcW w:w="1021" w:type="dxa"/>
            <w:gridSpan w:val="2"/>
            <w:tcBorders>
              <w:top w:val="nil"/>
              <w:left w:val="nil"/>
              <w:bottom w:val="nil"/>
              <w:right w:val="nil"/>
            </w:tcBorders>
            <w:shd w:val="clear" w:color="auto" w:fill="auto"/>
            <w:noWrap/>
            <w:vAlign w:val="bottom"/>
            <w:hideMark/>
          </w:tcPr>
          <w:p w:rsidR="00DB2665" w:rsidRPr="00EC3F41" w:rsidRDefault="00DB2665" w:rsidP="00DB2665">
            <w:pPr>
              <w:jc w:val="right"/>
              <w:rPr>
                <w:rFonts w:ascii="Times New Roman CE" w:hAnsi="Times New Roman CE" w:cs="Times New Roman CE"/>
                <w:sz w:val="22"/>
                <w:szCs w:val="22"/>
              </w:rPr>
            </w:pPr>
          </w:p>
        </w:tc>
      </w:tr>
      <w:tr w:rsidR="00DB2665" w:rsidRPr="00EC3F41" w:rsidTr="002C6D60">
        <w:trPr>
          <w:gridAfter w:val="3"/>
          <w:wAfter w:w="1127" w:type="dxa"/>
          <w:trHeight w:val="282"/>
        </w:trPr>
        <w:tc>
          <w:tcPr>
            <w:tcW w:w="3762" w:type="dxa"/>
            <w:tcBorders>
              <w:top w:val="nil"/>
              <w:left w:val="nil"/>
              <w:bottom w:val="nil"/>
              <w:right w:val="nil"/>
            </w:tcBorders>
            <w:shd w:val="clear" w:color="auto" w:fill="auto"/>
            <w:noWrap/>
            <w:vAlign w:val="bottom"/>
            <w:hideMark/>
          </w:tcPr>
          <w:p w:rsidR="00DB2665" w:rsidRPr="00EC3F41" w:rsidRDefault="00DB2665" w:rsidP="00DB2665">
            <w:pPr>
              <w:jc w:val="left"/>
              <w:rPr>
                <w:rFonts w:ascii="Times New Roman CE" w:hAnsi="Times New Roman CE" w:cs="Times New Roman CE"/>
                <w:sz w:val="22"/>
                <w:szCs w:val="22"/>
              </w:rPr>
            </w:pPr>
            <w:r w:rsidRPr="00EC3F41">
              <w:rPr>
                <w:rFonts w:ascii="Times New Roman CE" w:hAnsi="Times New Roman CE" w:cs="Times New Roman CE"/>
                <w:sz w:val="22"/>
                <w:szCs w:val="22"/>
              </w:rPr>
              <w:t>Víztárolók száma</w:t>
            </w:r>
          </w:p>
        </w:tc>
        <w:tc>
          <w:tcPr>
            <w:tcW w:w="1058" w:type="dxa"/>
            <w:gridSpan w:val="2"/>
            <w:tcBorders>
              <w:top w:val="nil"/>
              <w:left w:val="nil"/>
              <w:bottom w:val="nil"/>
              <w:right w:val="nil"/>
            </w:tcBorders>
            <w:shd w:val="clear" w:color="auto" w:fill="auto"/>
            <w:noWrap/>
            <w:vAlign w:val="bottom"/>
            <w:hideMark/>
          </w:tcPr>
          <w:p w:rsidR="00DB2665" w:rsidRPr="00EC3F41" w:rsidRDefault="00DB2665" w:rsidP="00DB2665">
            <w:pPr>
              <w:jc w:val="center"/>
              <w:rPr>
                <w:rFonts w:ascii="Times New Roman CE" w:hAnsi="Times New Roman CE" w:cs="Times New Roman CE"/>
                <w:sz w:val="22"/>
                <w:szCs w:val="22"/>
              </w:rPr>
            </w:pPr>
            <w:r w:rsidRPr="00EC3F41">
              <w:rPr>
                <w:rFonts w:ascii="Times New Roman CE" w:hAnsi="Times New Roman CE" w:cs="Times New Roman CE"/>
                <w:sz w:val="22"/>
                <w:szCs w:val="22"/>
              </w:rPr>
              <w:t>db</w:t>
            </w:r>
          </w:p>
        </w:tc>
        <w:tc>
          <w:tcPr>
            <w:tcW w:w="1134" w:type="dxa"/>
            <w:gridSpan w:val="3"/>
            <w:tcBorders>
              <w:top w:val="nil"/>
              <w:left w:val="nil"/>
              <w:bottom w:val="nil"/>
              <w:right w:val="nil"/>
            </w:tcBorders>
            <w:shd w:val="clear" w:color="auto" w:fill="auto"/>
            <w:noWrap/>
            <w:vAlign w:val="bottom"/>
            <w:hideMark/>
          </w:tcPr>
          <w:p w:rsidR="00DB2665" w:rsidRPr="00EC3F41" w:rsidRDefault="00DB2665" w:rsidP="00DB2665">
            <w:pPr>
              <w:jc w:val="right"/>
              <w:rPr>
                <w:rFonts w:ascii="Times New Roman CE" w:hAnsi="Times New Roman CE" w:cs="Times New Roman CE"/>
                <w:sz w:val="22"/>
                <w:szCs w:val="22"/>
              </w:rPr>
            </w:pPr>
            <w:r w:rsidRPr="00EC3F41">
              <w:rPr>
                <w:rFonts w:ascii="Times New Roman CE" w:hAnsi="Times New Roman CE" w:cs="Times New Roman CE"/>
                <w:sz w:val="22"/>
                <w:szCs w:val="22"/>
              </w:rPr>
              <w:t>183</w:t>
            </w:r>
          </w:p>
        </w:tc>
        <w:tc>
          <w:tcPr>
            <w:tcW w:w="992" w:type="dxa"/>
            <w:gridSpan w:val="3"/>
            <w:tcBorders>
              <w:top w:val="nil"/>
              <w:left w:val="nil"/>
              <w:bottom w:val="nil"/>
              <w:right w:val="nil"/>
            </w:tcBorders>
            <w:shd w:val="clear" w:color="auto" w:fill="auto"/>
            <w:noWrap/>
            <w:vAlign w:val="bottom"/>
            <w:hideMark/>
          </w:tcPr>
          <w:p w:rsidR="00DB2665" w:rsidRPr="00EC3F41" w:rsidRDefault="00DB2665" w:rsidP="00DB2665">
            <w:pPr>
              <w:jc w:val="right"/>
              <w:rPr>
                <w:rFonts w:ascii="Times New Roman CE" w:hAnsi="Times New Roman CE" w:cs="Times New Roman CE"/>
                <w:sz w:val="22"/>
                <w:szCs w:val="22"/>
              </w:rPr>
            </w:pPr>
          </w:p>
        </w:tc>
        <w:tc>
          <w:tcPr>
            <w:tcW w:w="992" w:type="dxa"/>
            <w:gridSpan w:val="3"/>
            <w:tcBorders>
              <w:top w:val="nil"/>
              <w:left w:val="nil"/>
              <w:bottom w:val="nil"/>
              <w:right w:val="nil"/>
            </w:tcBorders>
            <w:shd w:val="clear" w:color="auto" w:fill="auto"/>
            <w:noWrap/>
            <w:vAlign w:val="bottom"/>
            <w:hideMark/>
          </w:tcPr>
          <w:p w:rsidR="00DB2665" w:rsidRPr="00EC3F41" w:rsidRDefault="00DB2665" w:rsidP="00EC3F41">
            <w:pPr>
              <w:jc w:val="right"/>
              <w:rPr>
                <w:rFonts w:ascii="Times New Roman CE" w:hAnsi="Times New Roman CE" w:cs="Times New Roman CE"/>
                <w:sz w:val="22"/>
                <w:szCs w:val="22"/>
              </w:rPr>
            </w:pPr>
            <w:r w:rsidRPr="00EC3F41">
              <w:rPr>
                <w:rFonts w:ascii="Times New Roman CE" w:hAnsi="Times New Roman CE" w:cs="Times New Roman CE"/>
                <w:sz w:val="22"/>
                <w:szCs w:val="22"/>
              </w:rPr>
              <w:t>1</w:t>
            </w:r>
            <w:r w:rsidR="00EC3F41">
              <w:rPr>
                <w:rFonts w:ascii="Times New Roman CE" w:hAnsi="Times New Roman CE" w:cs="Times New Roman CE"/>
                <w:sz w:val="22"/>
                <w:szCs w:val="22"/>
              </w:rPr>
              <w:t>83</w:t>
            </w:r>
          </w:p>
        </w:tc>
        <w:tc>
          <w:tcPr>
            <w:tcW w:w="1024" w:type="dxa"/>
            <w:gridSpan w:val="2"/>
            <w:tcBorders>
              <w:top w:val="nil"/>
              <w:left w:val="nil"/>
              <w:bottom w:val="nil"/>
              <w:right w:val="nil"/>
            </w:tcBorders>
            <w:shd w:val="clear" w:color="auto" w:fill="auto"/>
            <w:noWrap/>
            <w:vAlign w:val="bottom"/>
            <w:hideMark/>
          </w:tcPr>
          <w:p w:rsidR="00DB2665" w:rsidRPr="00EC3F41" w:rsidRDefault="00DB2665" w:rsidP="00EC3F41">
            <w:pPr>
              <w:jc w:val="right"/>
              <w:rPr>
                <w:rFonts w:ascii="Times New Roman CE" w:hAnsi="Times New Roman CE" w:cs="Times New Roman CE"/>
                <w:sz w:val="22"/>
                <w:szCs w:val="22"/>
              </w:rPr>
            </w:pPr>
            <w:r w:rsidRPr="00EC3F41">
              <w:rPr>
                <w:rFonts w:ascii="Times New Roman CE" w:hAnsi="Times New Roman CE" w:cs="Times New Roman CE"/>
                <w:sz w:val="22"/>
                <w:szCs w:val="22"/>
              </w:rPr>
              <w:t>10</w:t>
            </w:r>
            <w:r w:rsidR="00EC3F41">
              <w:rPr>
                <w:rFonts w:ascii="Times New Roman CE" w:hAnsi="Times New Roman CE" w:cs="Times New Roman CE"/>
                <w:sz w:val="22"/>
                <w:szCs w:val="22"/>
              </w:rPr>
              <w:t>0,0</w:t>
            </w:r>
            <w:r w:rsidRPr="00EC3F41">
              <w:rPr>
                <w:rFonts w:ascii="Times New Roman CE" w:hAnsi="Times New Roman CE" w:cs="Times New Roman CE"/>
                <w:sz w:val="22"/>
                <w:szCs w:val="22"/>
              </w:rPr>
              <w:t>%</w:t>
            </w:r>
          </w:p>
        </w:tc>
        <w:tc>
          <w:tcPr>
            <w:tcW w:w="1021" w:type="dxa"/>
            <w:gridSpan w:val="2"/>
            <w:tcBorders>
              <w:top w:val="nil"/>
              <w:left w:val="nil"/>
              <w:bottom w:val="nil"/>
              <w:right w:val="nil"/>
            </w:tcBorders>
            <w:shd w:val="clear" w:color="auto" w:fill="auto"/>
            <w:noWrap/>
            <w:vAlign w:val="bottom"/>
            <w:hideMark/>
          </w:tcPr>
          <w:p w:rsidR="00DB2665" w:rsidRPr="00EC3F41" w:rsidRDefault="00DB2665" w:rsidP="00DB2665">
            <w:pPr>
              <w:jc w:val="right"/>
              <w:rPr>
                <w:rFonts w:ascii="Times New Roman CE" w:hAnsi="Times New Roman CE" w:cs="Times New Roman CE"/>
                <w:sz w:val="22"/>
                <w:szCs w:val="22"/>
              </w:rPr>
            </w:pPr>
          </w:p>
        </w:tc>
      </w:tr>
      <w:tr w:rsidR="00DB2665" w:rsidRPr="00DB2665" w:rsidTr="002C6D60">
        <w:trPr>
          <w:gridAfter w:val="3"/>
          <w:wAfter w:w="1127" w:type="dxa"/>
          <w:trHeight w:val="289"/>
        </w:trPr>
        <w:tc>
          <w:tcPr>
            <w:tcW w:w="3762" w:type="dxa"/>
            <w:tcBorders>
              <w:top w:val="nil"/>
              <w:left w:val="nil"/>
              <w:bottom w:val="nil"/>
              <w:right w:val="nil"/>
            </w:tcBorders>
            <w:shd w:val="clear" w:color="auto" w:fill="auto"/>
            <w:noWrap/>
            <w:vAlign w:val="bottom"/>
            <w:hideMark/>
          </w:tcPr>
          <w:p w:rsidR="00DB2665" w:rsidRPr="00EC3F41" w:rsidRDefault="00DB2665" w:rsidP="00DB2665">
            <w:pPr>
              <w:jc w:val="left"/>
              <w:rPr>
                <w:rFonts w:ascii="Times New Roman CE" w:hAnsi="Times New Roman CE" w:cs="Times New Roman CE"/>
                <w:sz w:val="22"/>
                <w:szCs w:val="22"/>
              </w:rPr>
            </w:pPr>
            <w:r w:rsidRPr="00EC3F41">
              <w:rPr>
                <w:rFonts w:ascii="Times New Roman CE" w:hAnsi="Times New Roman CE" w:cs="Times New Roman CE"/>
                <w:sz w:val="22"/>
                <w:szCs w:val="22"/>
              </w:rPr>
              <w:t>Víztároló-kapacitás</w:t>
            </w:r>
          </w:p>
        </w:tc>
        <w:tc>
          <w:tcPr>
            <w:tcW w:w="1058" w:type="dxa"/>
            <w:gridSpan w:val="2"/>
            <w:tcBorders>
              <w:top w:val="nil"/>
              <w:left w:val="nil"/>
              <w:bottom w:val="nil"/>
              <w:right w:val="nil"/>
            </w:tcBorders>
            <w:shd w:val="clear" w:color="auto" w:fill="auto"/>
            <w:noWrap/>
            <w:vAlign w:val="bottom"/>
            <w:hideMark/>
          </w:tcPr>
          <w:p w:rsidR="00DB2665" w:rsidRPr="00EC3F41" w:rsidRDefault="00DB2665" w:rsidP="00DB2665">
            <w:pPr>
              <w:jc w:val="center"/>
              <w:rPr>
                <w:rFonts w:ascii="Times New Roman CE" w:hAnsi="Times New Roman CE" w:cs="Times New Roman CE"/>
                <w:sz w:val="22"/>
                <w:szCs w:val="22"/>
              </w:rPr>
            </w:pPr>
            <w:r w:rsidRPr="00EC3F41">
              <w:rPr>
                <w:rFonts w:ascii="Times New Roman CE" w:hAnsi="Times New Roman CE" w:cs="Times New Roman CE"/>
                <w:sz w:val="22"/>
                <w:szCs w:val="22"/>
              </w:rPr>
              <w:t>em</w:t>
            </w:r>
            <w:r w:rsidRPr="00EC3F41">
              <w:rPr>
                <w:rFonts w:ascii="Times New Roman CE" w:hAnsi="Times New Roman CE" w:cs="Times New Roman CE"/>
                <w:sz w:val="22"/>
                <w:szCs w:val="22"/>
                <w:vertAlign w:val="superscript"/>
              </w:rPr>
              <w:t>3</w:t>
            </w:r>
          </w:p>
        </w:tc>
        <w:tc>
          <w:tcPr>
            <w:tcW w:w="1134" w:type="dxa"/>
            <w:gridSpan w:val="3"/>
            <w:tcBorders>
              <w:top w:val="nil"/>
              <w:left w:val="nil"/>
              <w:bottom w:val="nil"/>
              <w:right w:val="nil"/>
            </w:tcBorders>
            <w:shd w:val="clear" w:color="auto" w:fill="auto"/>
            <w:noWrap/>
            <w:vAlign w:val="bottom"/>
            <w:hideMark/>
          </w:tcPr>
          <w:p w:rsidR="00DB2665" w:rsidRPr="00EC3F41" w:rsidRDefault="00DB2665" w:rsidP="00DB2665">
            <w:pPr>
              <w:jc w:val="right"/>
              <w:rPr>
                <w:rFonts w:ascii="Times New Roman CE" w:hAnsi="Times New Roman CE" w:cs="Times New Roman CE"/>
                <w:sz w:val="22"/>
                <w:szCs w:val="22"/>
              </w:rPr>
            </w:pPr>
            <w:r w:rsidRPr="00EC3F41">
              <w:rPr>
                <w:rFonts w:ascii="Times New Roman CE" w:hAnsi="Times New Roman CE" w:cs="Times New Roman CE"/>
                <w:sz w:val="22"/>
                <w:szCs w:val="22"/>
              </w:rPr>
              <w:t>39 388</w:t>
            </w:r>
          </w:p>
        </w:tc>
        <w:tc>
          <w:tcPr>
            <w:tcW w:w="992" w:type="dxa"/>
            <w:gridSpan w:val="3"/>
            <w:tcBorders>
              <w:top w:val="nil"/>
              <w:left w:val="nil"/>
              <w:bottom w:val="nil"/>
              <w:right w:val="nil"/>
            </w:tcBorders>
            <w:shd w:val="clear" w:color="auto" w:fill="auto"/>
            <w:noWrap/>
            <w:vAlign w:val="bottom"/>
            <w:hideMark/>
          </w:tcPr>
          <w:p w:rsidR="00DB2665" w:rsidRPr="00EC3F41" w:rsidRDefault="00DB2665" w:rsidP="00DB2665">
            <w:pPr>
              <w:jc w:val="right"/>
              <w:rPr>
                <w:rFonts w:ascii="Times New Roman CE" w:hAnsi="Times New Roman CE" w:cs="Times New Roman CE"/>
                <w:sz w:val="22"/>
                <w:szCs w:val="22"/>
              </w:rPr>
            </w:pPr>
          </w:p>
        </w:tc>
        <w:tc>
          <w:tcPr>
            <w:tcW w:w="992" w:type="dxa"/>
            <w:gridSpan w:val="3"/>
            <w:tcBorders>
              <w:top w:val="nil"/>
              <w:left w:val="nil"/>
              <w:bottom w:val="nil"/>
              <w:right w:val="nil"/>
            </w:tcBorders>
            <w:shd w:val="clear" w:color="auto" w:fill="auto"/>
            <w:noWrap/>
            <w:vAlign w:val="bottom"/>
            <w:hideMark/>
          </w:tcPr>
          <w:p w:rsidR="00DB2665" w:rsidRPr="00EC3F41" w:rsidRDefault="00EC3F41" w:rsidP="00DB2665">
            <w:pPr>
              <w:jc w:val="right"/>
              <w:rPr>
                <w:rFonts w:ascii="Times New Roman CE" w:hAnsi="Times New Roman CE" w:cs="Times New Roman CE"/>
                <w:sz w:val="22"/>
                <w:szCs w:val="22"/>
              </w:rPr>
            </w:pPr>
            <w:r>
              <w:rPr>
                <w:rFonts w:ascii="Times New Roman CE" w:hAnsi="Times New Roman CE" w:cs="Times New Roman CE"/>
                <w:sz w:val="22"/>
                <w:szCs w:val="22"/>
              </w:rPr>
              <w:t>39 388</w:t>
            </w:r>
          </w:p>
        </w:tc>
        <w:tc>
          <w:tcPr>
            <w:tcW w:w="1024" w:type="dxa"/>
            <w:gridSpan w:val="2"/>
            <w:tcBorders>
              <w:top w:val="nil"/>
              <w:left w:val="nil"/>
              <w:bottom w:val="nil"/>
              <w:right w:val="nil"/>
            </w:tcBorders>
            <w:shd w:val="clear" w:color="auto" w:fill="auto"/>
            <w:noWrap/>
            <w:vAlign w:val="bottom"/>
            <w:hideMark/>
          </w:tcPr>
          <w:p w:rsidR="00DB2665" w:rsidRPr="00DB2665" w:rsidRDefault="00DB2665" w:rsidP="00EC3F41">
            <w:pPr>
              <w:jc w:val="right"/>
              <w:rPr>
                <w:rFonts w:ascii="Times New Roman CE" w:hAnsi="Times New Roman CE" w:cs="Times New Roman CE"/>
                <w:sz w:val="22"/>
                <w:szCs w:val="22"/>
              </w:rPr>
            </w:pPr>
            <w:r w:rsidRPr="00EC3F41">
              <w:rPr>
                <w:rFonts w:ascii="Times New Roman CE" w:hAnsi="Times New Roman CE" w:cs="Times New Roman CE"/>
                <w:sz w:val="22"/>
                <w:szCs w:val="22"/>
              </w:rPr>
              <w:t>10</w:t>
            </w:r>
            <w:r w:rsidR="00EC3F41">
              <w:rPr>
                <w:rFonts w:ascii="Times New Roman CE" w:hAnsi="Times New Roman CE" w:cs="Times New Roman CE"/>
                <w:sz w:val="22"/>
                <w:szCs w:val="22"/>
              </w:rPr>
              <w:t>0,0</w:t>
            </w:r>
            <w:r w:rsidRPr="00EC3F41">
              <w:rPr>
                <w:rFonts w:ascii="Times New Roman CE" w:hAnsi="Times New Roman CE" w:cs="Times New Roman CE"/>
                <w:sz w:val="22"/>
                <w:szCs w:val="22"/>
              </w:rPr>
              <w:t>%</w:t>
            </w:r>
          </w:p>
        </w:tc>
        <w:tc>
          <w:tcPr>
            <w:tcW w:w="1021" w:type="dxa"/>
            <w:gridSpan w:val="2"/>
            <w:tcBorders>
              <w:top w:val="nil"/>
              <w:left w:val="nil"/>
              <w:bottom w:val="nil"/>
              <w:right w:val="nil"/>
            </w:tcBorders>
            <w:shd w:val="clear" w:color="auto" w:fill="auto"/>
            <w:noWrap/>
            <w:vAlign w:val="bottom"/>
            <w:hideMark/>
          </w:tcPr>
          <w:p w:rsidR="00DB2665" w:rsidRPr="00DB2665" w:rsidRDefault="00DB2665" w:rsidP="00DB2665">
            <w:pPr>
              <w:jc w:val="right"/>
              <w:rPr>
                <w:rFonts w:ascii="Times New Roman CE" w:hAnsi="Times New Roman CE" w:cs="Times New Roman CE"/>
                <w:sz w:val="22"/>
                <w:szCs w:val="22"/>
              </w:rPr>
            </w:pPr>
          </w:p>
        </w:tc>
      </w:tr>
      <w:tr w:rsidR="00DB2665" w:rsidRPr="00DB2665" w:rsidTr="002C6D60">
        <w:trPr>
          <w:gridAfter w:val="3"/>
          <w:wAfter w:w="1127" w:type="dxa"/>
          <w:trHeight w:val="315"/>
        </w:trPr>
        <w:tc>
          <w:tcPr>
            <w:tcW w:w="3762" w:type="dxa"/>
            <w:tcBorders>
              <w:top w:val="nil"/>
              <w:left w:val="nil"/>
              <w:bottom w:val="nil"/>
              <w:right w:val="nil"/>
            </w:tcBorders>
            <w:shd w:val="clear" w:color="auto" w:fill="auto"/>
            <w:noWrap/>
            <w:vAlign w:val="bottom"/>
            <w:hideMark/>
          </w:tcPr>
          <w:p w:rsidR="00DB2665" w:rsidRPr="00DB2665" w:rsidRDefault="00DB2665" w:rsidP="00DB2665">
            <w:pPr>
              <w:jc w:val="left"/>
              <w:rPr>
                <w:rFonts w:ascii="Times New Roman CE" w:hAnsi="Times New Roman CE" w:cs="Times New Roman CE"/>
                <w:sz w:val="22"/>
                <w:szCs w:val="22"/>
              </w:rPr>
            </w:pPr>
            <w:r w:rsidRPr="00DB2665">
              <w:rPr>
                <w:rFonts w:ascii="Times New Roman CE" w:hAnsi="Times New Roman CE" w:cs="Times New Roman CE"/>
                <w:sz w:val="22"/>
                <w:szCs w:val="22"/>
              </w:rPr>
              <w:t>Ivóvíz hálózat hossza*</w:t>
            </w:r>
          </w:p>
        </w:tc>
        <w:tc>
          <w:tcPr>
            <w:tcW w:w="1058" w:type="dxa"/>
            <w:gridSpan w:val="2"/>
            <w:tcBorders>
              <w:top w:val="nil"/>
              <w:left w:val="nil"/>
              <w:bottom w:val="nil"/>
              <w:right w:val="nil"/>
            </w:tcBorders>
            <w:shd w:val="clear" w:color="auto" w:fill="auto"/>
            <w:noWrap/>
            <w:vAlign w:val="bottom"/>
            <w:hideMark/>
          </w:tcPr>
          <w:p w:rsidR="00DB2665" w:rsidRPr="00DB2665" w:rsidRDefault="00DB2665" w:rsidP="00DB2665">
            <w:pPr>
              <w:jc w:val="center"/>
              <w:rPr>
                <w:rFonts w:ascii="Times New Roman CE" w:hAnsi="Times New Roman CE" w:cs="Times New Roman CE"/>
                <w:sz w:val="22"/>
                <w:szCs w:val="22"/>
              </w:rPr>
            </w:pPr>
            <w:r w:rsidRPr="00DB2665">
              <w:rPr>
                <w:rFonts w:ascii="Times New Roman CE" w:hAnsi="Times New Roman CE" w:cs="Times New Roman CE"/>
                <w:sz w:val="22"/>
                <w:szCs w:val="22"/>
              </w:rPr>
              <w:t>km</w:t>
            </w:r>
          </w:p>
        </w:tc>
        <w:tc>
          <w:tcPr>
            <w:tcW w:w="1134" w:type="dxa"/>
            <w:gridSpan w:val="3"/>
            <w:tcBorders>
              <w:top w:val="nil"/>
              <w:left w:val="nil"/>
              <w:bottom w:val="nil"/>
              <w:right w:val="nil"/>
            </w:tcBorders>
            <w:shd w:val="clear" w:color="auto" w:fill="auto"/>
            <w:noWrap/>
            <w:vAlign w:val="bottom"/>
            <w:hideMark/>
          </w:tcPr>
          <w:p w:rsidR="00DB2665" w:rsidRPr="00DB2665" w:rsidRDefault="00DB2665" w:rsidP="00DB2665">
            <w:pPr>
              <w:jc w:val="right"/>
              <w:rPr>
                <w:rFonts w:ascii="Times New Roman CE" w:hAnsi="Times New Roman CE" w:cs="Times New Roman CE"/>
                <w:sz w:val="22"/>
                <w:szCs w:val="22"/>
              </w:rPr>
            </w:pPr>
            <w:r w:rsidRPr="00DB2665">
              <w:rPr>
                <w:rFonts w:ascii="Times New Roman CE" w:hAnsi="Times New Roman CE" w:cs="Times New Roman CE"/>
                <w:sz w:val="22"/>
                <w:szCs w:val="22"/>
              </w:rPr>
              <w:t>1 964,0</w:t>
            </w:r>
          </w:p>
        </w:tc>
        <w:tc>
          <w:tcPr>
            <w:tcW w:w="992" w:type="dxa"/>
            <w:gridSpan w:val="3"/>
            <w:tcBorders>
              <w:top w:val="nil"/>
              <w:left w:val="nil"/>
              <w:bottom w:val="nil"/>
              <w:right w:val="nil"/>
            </w:tcBorders>
            <w:shd w:val="clear" w:color="auto" w:fill="auto"/>
            <w:noWrap/>
            <w:vAlign w:val="bottom"/>
            <w:hideMark/>
          </w:tcPr>
          <w:p w:rsidR="00DB2665" w:rsidRPr="00DB2665" w:rsidRDefault="00DB2665" w:rsidP="00DB2665">
            <w:pPr>
              <w:jc w:val="right"/>
              <w:rPr>
                <w:rFonts w:ascii="Times New Roman CE" w:hAnsi="Times New Roman CE" w:cs="Times New Roman CE"/>
                <w:sz w:val="22"/>
                <w:szCs w:val="22"/>
              </w:rPr>
            </w:pPr>
          </w:p>
        </w:tc>
        <w:tc>
          <w:tcPr>
            <w:tcW w:w="992" w:type="dxa"/>
            <w:gridSpan w:val="3"/>
            <w:tcBorders>
              <w:top w:val="nil"/>
              <w:left w:val="nil"/>
              <w:bottom w:val="nil"/>
              <w:right w:val="nil"/>
            </w:tcBorders>
            <w:shd w:val="clear" w:color="auto" w:fill="auto"/>
            <w:noWrap/>
            <w:vAlign w:val="bottom"/>
            <w:hideMark/>
          </w:tcPr>
          <w:p w:rsidR="00DB2665" w:rsidRPr="00DB2665" w:rsidRDefault="00DB2665" w:rsidP="00DB2665">
            <w:pPr>
              <w:jc w:val="right"/>
              <w:rPr>
                <w:rFonts w:ascii="Times New Roman CE" w:hAnsi="Times New Roman CE" w:cs="Times New Roman CE"/>
                <w:sz w:val="22"/>
                <w:szCs w:val="22"/>
              </w:rPr>
            </w:pPr>
            <w:r w:rsidRPr="00DB2665">
              <w:rPr>
                <w:rFonts w:ascii="Times New Roman CE" w:hAnsi="Times New Roman CE" w:cs="Times New Roman CE"/>
                <w:sz w:val="22"/>
                <w:szCs w:val="22"/>
              </w:rPr>
              <w:t>1 965,5</w:t>
            </w:r>
          </w:p>
        </w:tc>
        <w:tc>
          <w:tcPr>
            <w:tcW w:w="1024" w:type="dxa"/>
            <w:gridSpan w:val="2"/>
            <w:tcBorders>
              <w:top w:val="nil"/>
              <w:left w:val="nil"/>
              <w:bottom w:val="nil"/>
              <w:right w:val="nil"/>
            </w:tcBorders>
            <w:shd w:val="clear" w:color="auto" w:fill="auto"/>
            <w:noWrap/>
            <w:vAlign w:val="bottom"/>
            <w:hideMark/>
          </w:tcPr>
          <w:p w:rsidR="00DB2665" w:rsidRPr="00DB2665" w:rsidRDefault="00DB2665" w:rsidP="00DB2665">
            <w:pPr>
              <w:jc w:val="right"/>
              <w:rPr>
                <w:rFonts w:ascii="Times New Roman CE" w:hAnsi="Times New Roman CE" w:cs="Times New Roman CE"/>
                <w:sz w:val="22"/>
                <w:szCs w:val="22"/>
              </w:rPr>
            </w:pPr>
            <w:r w:rsidRPr="00DB2665">
              <w:rPr>
                <w:rFonts w:ascii="Times New Roman CE" w:hAnsi="Times New Roman CE" w:cs="Times New Roman CE"/>
                <w:sz w:val="22"/>
                <w:szCs w:val="22"/>
              </w:rPr>
              <w:t>100,1%</w:t>
            </w:r>
          </w:p>
        </w:tc>
        <w:tc>
          <w:tcPr>
            <w:tcW w:w="1021" w:type="dxa"/>
            <w:gridSpan w:val="2"/>
            <w:tcBorders>
              <w:top w:val="nil"/>
              <w:left w:val="nil"/>
              <w:bottom w:val="nil"/>
              <w:right w:val="nil"/>
            </w:tcBorders>
            <w:shd w:val="clear" w:color="auto" w:fill="auto"/>
            <w:noWrap/>
            <w:vAlign w:val="bottom"/>
            <w:hideMark/>
          </w:tcPr>
          <w:p w:rsidR="00DB2665" w:rsidRPr="00DB2665" w:rsidRDefault="00DB2665" w:rsidP="00DB2665">
            <w:pPr>
              <w:jc w:val="right"/>
              <w:rPr>
                <w:rFonts w:ascii="Times New Roman CE" w:hAnsi="Times New Roman CE" w:cs="Times New Roman CE"/>
                <w:sz w:val="22"/>
                <w:szCs w:val="22"/>
              </w:rPr>
            </w:pPr>
          </w:p>
        </w:tc>
      </w:tr>
      <w:tr w:rsidR="00DB2665" w:rsidRPr="00DB2665" w:rsidTr="002C6D60">
        <w:trPr>
          <w:gridAfter w:val="3"/>
          <w:wAfter w:w="1127" w:type="dxa"/>
          <w:trHeight w:val="282"/>
        </w:trPr>
        <w:tc>
          <w:tcPr>
            <w:tcW w:w="3762" w:type="dxa"/>
            <w:tcBorders>
              <w:top w:val="nil"/>
              <w:left w:val="nil"/>
              <w:bottom w:val="nil"/>
              <w:right w:val="nil"/>
            </w:tcBorders>
            <w:shd w:val="clear" w:color="auto" w:fill="auto"/>
            <w:noWrap/>
            <w:vAlign w:val="bottom"/>
            <w:hideMark/>
          </w:tcPr>
          <w:p w:rsidR="00DB2665" w:rsidRPr="00DB2665" w:rsidRDefault="00DB2665" w:rsidP="00DB2665">
            <w:pPr>
              <w:jc w:val="left"/>
              <w:rPr>
                <w:rFonts w:ascii="Times New Roman CE" w:hAnsi="Times New Roman CE" w:cs="Times New Roman CE"/>
                <w:sz w:val="22"/>
                <w:szCs w:val="22"/>
              </w:rPr>
            </w:pPr>
            <w:r w:rsidRPr="00DB2665">
              <w:rPr>
                <w:rFonts w:ascii="Times New Roman CE" w:hAnsi="Times New Roman CE" w:cs="Times New Roman CE"/>
                <w:sz w:val="22"/>
                <w:szCs w:val="22"/>
              </w:rPr>
              <w:t>Bekötővezeték hossza</w:t>
            </w:r>
          </w:p>
        </w:tc>
        <w:tc>
          <w:tcPr>
            <w:tcW w:w="1058" w:type="dxa"/>
            <w:gridSpan w:val="2"/>
            <w:tcBorders>
              <w:top w:val="nil"/>
              <w:left w:val="nil"/>
              <w:bottom w:val="nil"/>
              <w:right w:val="nil"/>
            </w:tcBorders>
            <w:shd w:val="clear" w:color="auto" w:fill="auto"/>
            <w:noWrap/>
            <w:vAlign w:val="bottom"/>
            <w:hideMark/>
          </w:tcPr>
          <w:p w:rsidR="00DB2665" w:rsidRPr="00DB2665" w:rsidRDefault="00DB2665" w:rsidP="00DB2665">
            <w:pPr>
              <w:jc w:val="center"/>
              <w:rPr>
                <w:rFonts w:ascii="Times New Roman CE" w:hAnsi="Times New Roman CE" w:cs="Times New Roman CE"/>
                <w:sz w:val="22"/>
                <w:szCs w:val="22"/>
              </w:rPr>
            </w:pPr>
            <w:r w:rsidRPr="00DB2665">
              <w:rPr>
                <w:rFonts w:ascii="Times New Roman CE" w:hAnsi="Times New Roman CE" w:cs="Times New Roman CE"/>
                <w:sz w:val="22"/>
                <w:szCs w:val="22"/>
              </w:rPr>
              <w:t>km</w:t>
            </w:r>
          </w:p>
        </w:tc>
        <w:tc>
          <w:tcPr>
            <w:tcW w:w="1134" w:type="dxa"/>
            <w:gridSpan w:val="3"/>
            <w:tcBorders>
              <w:top w:val="nil"/>
              <w:left w:val="nil"/>
              <w:bottom w:val="nil"/>
              <w:right w:val="nil"/>
            </w:tcBorders>
            <w:shd w:val="clear" w:color="auto" w:fill="auto"/>
            <w:noWrap/>
            <w:vAlign w:val="bottom"/>
            <w:hideMark/>
          </w:tcPr>
          <w:p w:rsidR="00DB2665" w:rsidRPr="00DB2665" w:rsidRDefault="00DB2665" w:rsidP="00DB2665">
            <w:pPr>
              <w:jc w:val="right"/>
              <w:rPr>
                <w:rFonts w:ascii="Times New Roman CE" w:hAnsi="Times New Roman CE" w:cs="Times New Roman CE"/>
                <w:sz w:val="22"/>
                <w:szCs w:val="22"/>
              </w:rPr>
            </w:pPr>
            <w:r w:rsidRPr="00DB2665">
              <w:rPr>
                <w:rFonts w:ascii="Times New Roman CE" w:hAnsi="Times New Roman CE" w:cs="Times New Roman CE"/>
                <w:sz w:val="22"/>
                <w:szCs w:val="22"/>
              </w:rPr>
              <w:t>819,1</w:t>
            </w:r>
          </w:p>
        </w:tc>
        <w:tc>
          <w:tcPr>
            <w:tcW w:w="992" w:type="dxa"/>
            <w:gridSpan w:val="3"/>
            <w:tcBorders>
              <w:top w:val="nil"/>
              <w:left w:val="nil"/>
              <w:bottom w:val="nil"/>
              <w:right w:val="nil"/>
            </w:tcBorders>
            <w:shd w:val="clear" w:color="auto" w:fill="auto"/>
            <w:noWrap/>
            <w:vAlign w:val="bottom"/>
            <w:hideMark/>
          </w:tcPr>
          <w:p w:rsidR="00DB2665" w:rsidRPr="00DB2665" w:rsidRDefault="00DB2665" w:rsidP="00DB2665">
            <w:pPr>
              <w:jc w:val="right"/>
              <w:rPr>
                <w:rFonts w:ascii="Times New Roman CE" w:hAnsi="Times New Roman CE" w:cs="Times New Roman CE"/>
                <w:sz w:val="22"/>
                <w:szCs w:val="22"/>
              </w:rPr>
            </w:pPr>
          </w:p>
        </w:tc>
        <w:tc>
          <w:tcPr>
            <w:tcW w:w="992" w:type="dxa"/>
            <w:gridSpan w:val="3"/>
            <w:tcBorders>
              <w:top w:val="nil"/>
              <w:left w:val="nil"/>
              <w:bottom w:val="nil"/>
              <w:right w:val="nil"/>
            </w:tcBorders>
            <w:shd w:val="clear" w:color="auto" w:fill="auto"/>
            <w:noWrap/>
            <w:vAlign w:val="bottom"/>
            <w:hideMark/>
          </w:tcPr>
          <w:p w:rsidR="00DB2665" w:rsidRPr="00DB2665" w:rsidRDefault="00DB2665" w:rsidP="00DB2665">
            <w:pPr>
              <w:jc w:val="right"/>
              <w:rPr>
                <w:rFonts w:ascii="Times New Roman CE" w:hAnsi="Times New Roman CE" w:cs="Times New Roman CE"/>
                <w:sz w:val="22"/>
                <w:szCs w:val="22"/>
              </w:rPr>
            </w:pPr>
            <w:r w:rsidRPr="00DB2665">
              <w:rPr>
                <w:rFonts w:ascii="Times New Roman CE" w:hAnsi="Times New Roman CE" w:cs="Times New Roman CE"/>
                <w:sz w:val="22"/>
                <w:szCs w:val="22"/>
              </w:rPr>
              <w:t>821,3</w:t>
            </w:r>
          </w:p>
        </w:tc>
        <w:tc>
          <w:tcPr>
            <w:tcW w:w="1024" w:type="dxa"/>
            <w:gridSpan w:val="2"/>
            <w:tcBorders>
              <w:top w:val="nil"/>
              <w:left w:val="nil"/>
              <w:bottom w:val="nil"/>
              <w:right w:val="nil"/>
            </w:tcBorders>
            <w:shd w:val="clear" w:color="auto" w:fill="auto"/>
            <w:noWrap/>
            <w:vAlign w:val="bottom"/>
            <w:hideMark/>
          </w:tcPr>
          <w:p w:rsidR="00DB2665" w:rsidRPr="00DB2665" w:rsidRDefault="00DB2665" w:rsidP="00DB2665">
            <w:pPr>
              <w:jc w:val="right"/>
              <w:rPr>
                <w:rFonts w:ascii="Times New Roman CE" w:hAnsi="Times New Roman CE" w:cs="Times New Roman CE"/>
                <w:sz w:val="22"/>
                <w:szCs w:val="22"/>
              </w:rPr>
            </w:pPr>
            <w:r w:rsidRPr="00DB2665">
              <w:rPr>
                <w:rFonts w:ascii="Times New Roman CE" w:hAnsi="Times New Roman CE" w:cs="Times New Roman CE"/>
                <w:sz w:val="22"/>
                <w:szCs w:val="22"/>
              </w:rPr>
              <w:t>100,3%</w:t>
            </w:r>
          </w:p>
        </w:tc>
        <w:tc>
          <w:tcPr>
            <w:tcW w:w="1021" w:type="dxa"/>
            <w:gridSpan w:val="2"/>
            <w:tcBorders>
              <w:top w:val="nil"/>
              <w:left w:val="nil"/>
              <w:bottom w:val="nil"/>
              <w:right w:val="nil"/>
            </w:tcBorders>
            <w:shd w:val="clear" w:color="auto" w:fill="auto"/>
            <w:noWrap/>
            <w:vAlign w:val="bottom"/>
            <w:hideMark/>
          </w:tcPr>
          <w:p w:rsidR="00DB2665" w:rsidRPr="00DB2665" w:rsidRDefault="00DB2665" w:rsidP="00DB2665">
            <w:pPr>
              <w:jc w:val="right"/>
              <w:rPr>
                <w:rFonts w:ascii="Times New Roman CE" w:hAnsi="Times New Roman CE" w:cs="Times New Roman CE"/>
                <w:sz w:val="22"/>
                <w:szCs w:val="22"/>
              </w:rPr>
            </w:pPr>
          </w:p>
        </w:tc>
      </w:tr>
      <w:tr w:rsidR="00DB2665" w:rsidRPr="00DB2665" w:rsidTr="002C6D60">
        <w:trPr>
          <w:gridAfter w:val="3"/>
          <w:wAfter w:w="1127" w:type="dxa"/>
          <w:trHeight w:val="282"/>
        </w:trPr>
        <w:tc>
          <w:tcPr>
            <w:tcW w:w="3762" w:type="dxa"/>
            <w:tcBorders>
              <w:top w:val="nil"/>
              <w:left w:val="nil"/>
              <w:bottom w:val="nil"/>
              <w:right w:val="nil"/>
            </w:tcBorders>
            <w:shd w:val="clear" w:color="auto" w:fill="auto"/>
            <w:noWrap/>
            <w:vAlign w:val="bottom"/>
            <w:hideMark/>
          </w:tcPr>
          <w:p w:rsidR="00DB2665" w:rsidRPr="00DB2665" w:rsidRDefault="00DB2665" w:rsidP="00DB2665">
            <w:pPr>
              <w:jc w:val="left"/>
              <w:rPr>
                <w:rFonts w:ascii="Times New Roman CE" w:hAnsi="Times New Roman CE" w:cs="Times New Roman CE"/>
                <w:sz w:val="22"/>
                <w:szCs w:val="22"/>
              </w:rPr>
            </w:pPr>
            <w:r w:rsidRPr="00DB2665">
              <w:rPr>
                <w:rFonts w:ascii="Times New Roman CE" w:hAnsi="Times New Roman CE" w:cs="Times New Roman CE"/>
                <w:sz w:val="22"/>
                <w:szCs w:val="22"/>
              </w:rPr>
              <w:lastRenderedPageBreak/>
              <w:t>Felhasználóhelyek száma**</w:t>
            </w:r>
          </w:p>
        </w:tc>
        <w:tc>
          <w:tcPr>
            <w:tcW w:w="1058" w:type="dxa"/>
            <w:gridSpan w:val="2"/>
            <w:tcBorders>
              <w:top w:val="nil"/>
              <w:left w:val="nil"/>
              <w:bottom w:val="nil"/>
              <w:right w:val="nil"/>
            </w:tcBorders>
            <w:shd w:val="clear" w:color="auto" w:fill="auto"/>
            <w:noWrap/>
            <w:vAlign w:val="bottom"/>
            <w:hideMark/>
          </w:tcPr>
          <w:p w:rsidR="00DB2665" w:rsidRPr="00DB2665" w:rsidRDefault="00DB2665" w:rsidP="00DB2665">
            <w:pPr>
              <w:jc w:val="center"/>
              <w:rPr>
                <w:rFonts w:ascii="Times New Roman CE" w:hAnsi="Times New Roman CE" w:cs="Times New Roman CE"/>
                <w:sz w:val="22"/>
                <w:szCs w:val="22"/>
              </w:rPr>
            </w:pPr>
            <w:r w:rsidRPr="00DB2665">
              <w:rPr>
                <w:rFonts w:ascii="Times New Roman CE" w:hAnsi="Times New Roman CE" w:cs="Times New Roman CE"/>
                <w:sz w:val="22"/>
                <w:szCs w:val="22"/>
              </w:rPr>
              <w:t>db</w:t>
            </w:r>
          </w:p>
        </w:tc>
        <w:tc>
          <w:tcPr>
            <w:tcW w:w="1134" w:type="dxa"/>
            <w:gridSpan w:val="3"/>
            <w:tcBorders>
              <w:top w:val="nil"/>
              <w:left w:val="nil"/>
              <w:bottom w:val="nil"/>
              <w:right w:val="nil"/>
            </w:tcBorders>
            <w:shd w:val="clear" w:color="auto" w:fill="auto"/>
            <w:noWrap/>
            <w:vAlign w:val="bottom"/>
            <w:hideMark/>
          </w:tcPr>
          <w:p w:rsidR="00DB2665" w:rsidRPr="00DB2665" w:rsidRDefault="00DB2665" w:rsidP="00DB2665">
            <w:pPr>
              <w:jc w:val="right"/>
              <w:rPr>
                <w:rFonts w:ascii="Times New Roman CE" w:hAnsi="Times New Roman CE" w:cs="Times New Roman CE"/>
                <w:sz w:val="22"/>
                <w:szCs w:val="22"/>
              </w:rPr>
            </w:pPr>
            <w:r w:rsidRPr="00DB2665">
              <w:rPr>
                <w:rFonts w:ascii="Times New Roman CE" w:hAnsi="Times New Roman CE" w:cs="Times New Roman CE"/>
                <w:sz w:val="22"/>
                <w:szCs w:val="22"/>
              </w:rPr>
              <w:t>88 897</w:t>
            </w:r>
          </w:p>
        </w:tc>
        <w:tc>
          <w:tcPr>
            <w:tcW w:w="992" w:type="dxa"/>
            <w:gridSpan w:val="3"/>
            <w:tcBorders>
              <w:top w:val="nil"/>
              <w:left w:val="nil"/>
              <w:bottom w:val="nil"/>
              <w:right w:val="nil"/>
            </w:tcBorders>
            <w:shd w:val="clear" w:color="auto" w:fill="auto"/>
            <w:noWrap/>
            <w:vAlign w:val="bottom"/>
            <w:hideMark/>
          </w:tcPr>
          <w:p w:rsidR="00DB2665" w:rsidRPr="00DB2665" w:rsidRDefault="00DB2665" w:rsidP="00DB2665">
            <w:pPr>
              <w:jc w:val="right"/>
              <w:rPr>
                <w:rFonts w:ascii="Times New Roman CE" w:hAnsi="Times New Roman CE" w:cs="Times New Roman CE"/>
                <w:sz w:val="22"/>
                <w:szCs w:val="22"/>
              </w:rPr>
            </w:pPr>
          </w:p>
        </w:tc>
        <w:tc>
          <w:tcPr>
            <w:tcW w:w="992" w:type="dxa"/>
            <w:gridSpan w:val="3"/>
            <w:tcBorders>
              <w:top w:val="nil"/>
              <w:left w:val="nil"/>
              <w:bottom w:val="nil"/>
              <w:right w:val="nil"/>
            </w:tcBorders>
            <w:shd w:val="clear" w:color="auto" w:fill="auto"/>
            <w:noWrap/>
            <w:vAlign w:val="bottom"/>
            <w:hideMark/>
          </w:tcPr>
          <w:p w:rsidR="00DB2665" w:rsidRPr="00DB2665" w:rsidRDefault="00DB2665" w:rsidP="00DB2665">
            <w:pPr>
              <w:jc w:val="right"/>
              <w:rPr>
                <w:rFonts w:ascii="Times New Roman CE" w:hAnsi="Times New Roman CE" w:cs="Times New Roman CE"/>
                <w:sz w:val="22"/>
                <w:szCs w:val="22"/>
              </w:rPr>
            </w:pPr>
            <w:r w:rsidRPr="00DB2665">
              <w:rPr>
                <w:rFonts w:ascii="Times New Roman CE" w:hAnsi="Times New Roman CE" w:cs="Times New Roman CE"/>
                <w:sz w:val="22"/>
                <w:szCs w:val="22"/>
              </w:rPr>
              <w:t>89 482</w:t>
            </w:r>
          </w:p>
        </w:tc>
        <w:tc>
          <w:tcPr>
            <w:tcW w:w="1024" w:type="dxa"/>
            <w:gridSpan w:val="2"/>
            <w:tcBorders>
              <w:top w:val="nil"/>
              <w:left w:val="nil"/>
              <w:bottom w:val="nil"/>
              <w:right w:val="nil"/>
            </w:tcBorders>
            <w:shd w:val="clear" w:color="auto" w:fill="auto"/>
            <w:noWrap/>
            <w:vAlign w:val="bottom"/>
            <w:hideMark/>
          </w:tcPr>
          <w:p w:rsidR="00DB2665" w:rsidRPr="00DB2665" w:rsidRDefault="00DB2665" w:rsidP="00DB2665">
            <w:pPr>
              <w:jc w:val="right"/>
              <w:rPr>
                <w:rFonts w:ascii="Times New Roman CE" w:hAnsi="Times New Roman CE" w:cs="Times New Roman CE"/>
                <w:sz w:val="22"/>
                <w:szCs w:val="22"/>
              </w:rPr>
            </w:pPr>
            <w:r w:rsidRPr="00DB2665">
              <w:rPr>
                <w:rFonts w:ascii="Times New Roman CE" w:hAnsi="Times New Roman CE" w:cs="Times New Roman CE"/>
                <w:sz w:val="22"/>
                <w:szCs w:val="22"/>
              </w:rPr>
              <w:t>100,7%</w:t>
            </w:r>
          </w:p>
        </w:tc>
        <w:tc>
          <w:tcPr>
            <w:tcW w:w="1021" w:type="dxa"/>
            <w:gridSpan w:val="2"/>
            <w:tcBorders>
              <w:top w:val="nil"/>
              <w:left w:val="nil"/>
              <w:bottom w:val="nil"/>
              <w:right w:val="nil"/>
            </w:tcBorders>
            <w:shd w:val="clear" w:color="auto" w:fill="auto"/>
            <w:noWrap/>
            <w:vAlign w:val="bottom"/>
            <w:hideMark/>
          </w:tcPr>
          <w:p w:rsidR="00DB2665" w:rsidRPr="00DB2665" w:rsidRDefault="00DB2665" w:rsidP="00DB2665">
            <w:pPr>
              <w:jc w:val="right"/>
              <w:rPr>
                <w:rFonts w:ascii="Times New Roman CE" w:hAnsi="Times New Roman CE" w:cs="Times New Roman CE"/>
                <w:sz w:val="22"/>
                <w:szCs w:val="22"/>
              </w:rPr>
            </w:pPr>
          </w:p>
        </w:tc>
      </w:tr>
      <w:tr w:rsidR="00DB2665" w:rsidRPr="00DB2665" w:rsidTr="002C6D60">
        <w:trPr>
          <w:gridAfter w:val="3"/>
          <w:wAfter w:w="1127" w:type="dxa"/>
          <w:trHeight w:val="915"/>
        </w:trPr>
        <w:tc>
          <w:tcPr>
            <w:tcW w:w="3762" w:type="dxa"/>
            <w:tcBorders>
              <w:top w:val="nil"/>
              <w:left w:val="nil"/>
              <w:bottom w:val="nil"/>
              <w:right w:val="nil"/>
            </w:tcBorders>
            <w:shd w:val="clear" w:color="auto" w:fill="auto"/>
            <w:vAlign w:val="bottom"/>
            <w:hideMark/>
          </w:tcPr>
          <w:p w:rsidR="00DB2665" w:rsidRPr="00DB2665" w:rsidRDefault="001E70D7" w:rsidP="00025408">
            <w:pPr>
              <w:jc w:val="left"/>
              <w:rPr>
                <w:rFonts w:ascii="Times New Roman CE" w:hAnsi="Times New Roman CE" w:cs="Times New Roman CE"/>
                <w:sz w:val="22"/>
                <w:szCs w:val="22"/>
              </w:rPr>
            </w:pPr>
            <w:r>
              <w:rPr>
                <w:rFonts w:ascii="Times New Roman CE" w:hAnsi="Times New Roman CE" w:cs="Times New Roman CE"/>
                <w:sz w:val="22"/>
                <w:szCs w:val="22"/>
              </w:rPr>
              <w:t>A</w:t>
            </w:r>
            <w:r w:rsidR="00025408">
              <w:rPr>
                <w:rFonts w:ascii="Times New Roman CE" w:hAnsi="Times New Roman CE" w:cs="Times New Roman CE"/>
                <w:sz w:val="22"/>
                <w:szCs w:val="22"/>
              </w:rPr>
              <w:t xml:space="preserve"> zr</w:t>
            </w:r>
            <w:r>
              <w:rPr>
                <w:rFonts w:ascii="Times New Roman CE" w:hAnsi="Times New Roman CE" w:cs="Times New Roman CE"/>
                <w:sz w:val="22"/>
                <w:szCs w:val="22"/>
              </w:rPr>
              <w:t>t.</w:t>
            </w:r>
            <w:r w:rsidR="00DB2665" w:rsidRPr="00DB2665">
              <w:rPr>
                <w:rFonts w:ascii="Times New Roman CE" w:hAnsi="Times New Roman CE" w:cs="Times New Roman CE"/>
                <w:sz w:val="22"/>
                <w:szCs w:val="22"/>
              </w:rPr>
              <w:t xml:space="preserve"> ellátási területén élő, közüzemi ivóvíz lehetőséggel ellátott lakónépesség száma</w:t>
            </w:r>
          </w:p>
        </w:tc>
        <w:tc>
          <w:tcPr>
            <w:tcW w:w="1058" w:type="dxa"/>
            <w:gridSpan w:val="2"/>
            <w:tcBorders>
              <w:top w:val="nil"/>
              <w:left w:val="nil"/>
              <w:bottom w:val="nil"/>
              <w:right w:val="nil"/>
            </w:tcBorders>
            <w:shd w:val="clear" w:color="auto" w:fill="auto"/>
            <w:noWrap/>
            <w:vAlign w:val="bottom"/>
            <w:hideMark/>
          </w:tcPr>
          <w:p w:rsidR="00DB2665" w:rsidRPr="00DB2665" w:rsidRDefault="00DB2665" w:rsidP="00DB2665">
            <w:pPr>
              <w:jc w:val="center"/>
              <w:rPr>
                <w:rFonts w:ascii="Times New Roman CE" w:hAnsi="Times New Roman CE" w:cs="Times New Roman CE"/>
                <w:sz w:val="22"/>
                <w:szCs w:val="22"/>
              </w:rPr>
            </w:pPr>
            <w:r w:rsidRPr="00DB2665">
              <w:rPr>
                <w:rFonts w:ascii="Times New Roman CE" w:hAnsi="Times New Roman CE" w:cs="Times New Roman CE"/>
                <w:sz w:val="22"/>
                <w:szCs w:val="22"/>
              </w:rPr>
              <w:t>ezer fő</w:t>
            </w:r>
          </w:p>
        </w:tc>
        <w:tc>
          <w:tcPr>
            <w:tcW w:w="1134" w:type="dxa"/>
            <w:gridSpan w:val="3"/>
            <w:tcBorders>
              <w:top w:val="nil"/>
              <w:left w:val="nil"/>
              <w:bottom w:val="nil"/>
              <w:right w:val="nil"/>
            </w:tcBorders>
            <w:shd w:val="clear" w:color="auto" w:fill="auto"/>
            <w:noWrap/>
            <w:vAlign w:val="bottom"/>
            <w:hideMark/>
          </w:tcPr>
          <w:p w:rsidR="00DB2665" w:rsidRPr="00DB2665" w:rsidRDefault="00DB2665" w:rsidP="00DB2665">
            <w:pPr>
              <w:jc w:val="right"/>
              <w:rPr>
                <w:rFonts w:ascii="Times New Roman CE" w:hAnsi="Times New Roman CE" w:cs="Times New Roman CE"/>
                <w:sz w:val="22"/>
                <w:szCs w:val="22"/>
              </w:rPr>
            </w:pPr>
            <w:r w:rsidRPr="00DB2665">
              <w:rPr>
                <w:rFonts w:ascii="Times New Roman CE" w:hAnsi="Times New Roman CE" w:cs="Times New Roman CE"/>
                <w:sz w:val="22"/>
                <w:szCs w:val="22"/>
              </w:rPr>
              <w:t>247</w:t>
            </w:r>
          </w:p>
        </w:tc>
        <w:tc>
          <w:tcPr>
            <w:tcW w:w="992" w:type="dxa"/>
            <w:gridSpan w:val="3"/>
            <w:tcBorders>
              <w:top w:val="nil"/>
              <w:left w:val="nil"/>
              <w:bottom w:val="nil"/>
              <w:right w:val="nil"/>
            </w:tcBorders>
            <w:shd w:val="clear" w:color="auto" w:fill="auto"/>
            <w:noWrap/>
            <w:vAlign w:val="bottom"/>
            <w:hideMark/>
          </w:tcPr>
          <w:p w:rsidR="00DB2665" w:rsidRPr="00DB2665" w:rsidRDefault="00DB2665" w:rsidP="00DB2665">
            <w:pPr>
              <w:jc w:val="right"/>
              <w:rPr>
                <w:rFonts w:ascii="Times New Roman CE" w:hAnsi="Times New Roman CE" w:cs="Times New Roman CE"/>
                <w:sz w:val="22"/>
                <w:szCs w:val="22"/>
              </w:rPr>
            </w:pPr>
          </w:p>
        </w:tc>
        <w:tc>
          <w:tcPr>
            <w:tcW w:w="992" w:type="dxa"/>
            <w:gridSpan w:val="3"/>
            <w:tcBorders>
              <w:top w:val="nil"/>
              <w:left w:val="nil"/>
              <w:bottom w:val="nil"/>
              <w:right w:val="nil"/>
            </w:tcBorders>
            <w:shd w:val="clear" w:color="auto" w:fill="auto"/>
            <w:noWrap/>
            <w:vAlign w:val="bottom"/>
            <w:hideMark/>
          </w:tcPr>
          <w:p w:rsidR="00DB2665" w:rsidRPr="00DB2665" w:rsidRDefault="00DB2665" w:rsidP="00DB2665">
            <w:pPr>
              <w:jc w:val="right"/>
              <w:rPr>
                <w:rFonts w:ascii="Times New Roman CE" w:hAnsi="Times New Roman CE" w:cs="Times New Roman CE"/>
                <w:sz w:val="22"/>
                <w:szCs w:val="22"/>
              </w:rPr>
            </w:pPr>
            <w:r w:rsidRPr="00DB2665">
              <w:rPr>
                <w:rFonts w:ascii="Times New Roman CE" w:hAnsi="Times New Roman CE" w:cs="Times New Roman CE"/>
                <w:sz w:val="22"/>
                <w:szCs w:val="22"/>
              </w:rPr>
              <w:t>247</w:t>
            </w:r>
          </w:p>
        </w:tc>
        <w:tc>
          <w:tcPr>
            <w:tcW w:w="1024" w:type="dxa"/>
            <w:gridSpan w:val="2"/>
            <w:tcBorders>
              <w:top w:val="nil"/>
              <w:left w:val="nil"/>
              <w:bottom w:val="nil"/>
              <w:right w:val="nil"/>
            </w:tcBorders>
            <w:shd w:val="clear" w:color="auto" w:fill="auto"/>
            <w:noWrap/>
            <w:vAlign w:val="bottom"/>
            <w:hideMark/>
          </w:tcPr>
          <w:p w:rsidR="00DB2665" w:rsidRPr="00DB2665" w:rsidRDefault="00DB2665" w:rsidP="00DB2665">
            <w:pPr>
              <w:jc w:val="right"/>
              <w:rPr>
                <w:rFonts w:ascii="Times New Roman CE" w:hAnsi="Times New Roman CE" w:cs="Times New Roman CE"/>
                <w:sz w:val="22"/>
                <w:szCs w:val="22"/>
              </w:rPr>
            </w:pPr>
            <w:r w:rsidRPr="00DB2665">
              <w:rPr>
                <w:rFonts w:ascii="Times New Roman CE" w:hAnsi="Times New Roman CE" w:cs="Times New Roman CE"/>
                <w:sz w:val="22"/>
                <w:szCs w:val="22"/>
              </w:rPr>
              <w:t>100,0%</w:t>
            </w:r>
          </w:p>
        </w:tc>
        <w:tc>
          <w:tcPr>
            <w:tcW w:w="1021" w:type="dxa"/>
            <w:gridSpan w:val="2"/>
            <w:tcBorders>
              <w:top w:val="nil"/>
              <w:left w:val="nil"/>
              <w:bottom w:val="nil"/>
              <w:right w:val="nil"/>
            </w:tcBorders>
            <w:shd w:val="clear" w:color="auto" w:fill="auto"/>
            <w:noWrap/>
            <w:vAlign w:val="bottom"/>
            <w:hideMark/>
          </w:tcPr>
          <w:p w:rsidR="00DB2665" w:rsidRPr="00DB2665" w:rsidRDefault="00DB2665" w:rsidP="00DB2665">
            <w:pPr>
              <w:jc w:val="right"/>
              <w:rPr>
                <w:rFonts w:ascii="Times New Roman CE" w:hAnsi="Times New Roman CE" w:cs="Times New Roman CE"/>
                <w:sz w:val="22"/>
                <w:szCs w:val="22"/>
              </w:rPr>
            </w:pPr>
          </w:p>
        </w:tc>
      </w:tr>
      <w:tr w:rsidR="00DB2665" w:rsidRPr="00DB2665" w:rsidTr="002C6D60">
        <w:trPr>
          <w:gridAfter w:val="3"/>
          <w:wAfter w:w="1127" w:type="dxa"/>
          <w:trHeight w:val="375"/>
        </w:trPr>
        <w:tc>
          <w:tcPr>
            <w:tcW w:w="3762" w:type="dxa"/>
            <w:tcBorders>
              <w:top w:val="nil"/>
              <w:left w:val="nil"/>
              <w:bottom w:val="nil"/>
              <w:right w:val="nil"/>
            </w:tcBorders>
            <w:shd w:val="clear" w:color="auto" w:fill="auto"/>
            <w:noWrap/>
            <w:vAlign w:val="bottom"/>
            <w:hideMark/>
          </w:tcPr>
          <w:p w:rsidR="00DB2665" w:rsidRPr="00DB2665" w:rsidRDefault="00DB2665" w:rsidP="00DB2665">
            <w:pPr>
              <w:jc w:val="left"/>
              <w:rPr>
                <w:rFonts w:ascii="Times New Roman CE" w:hAnsi="Times New Roman CE" w:cs="Times New Roman CE"/>
                <w:sz w:val="22"/>
                <w:szCs w:val="22"/>
              </w:rPr>
            </w:pPr>
            <w:r w:rsidRPr="00DB2665">
              <w:rPr>
                <w:rFonts w:ascii="Times New Roman CE" w:hAnsi="Times New Roman CE" w:cs="Times New Roman CE"/>
                <w:sz w:val="22"/>
                <w:szCs w:val="22"/>
              </w:rPr>
              <w:t>Ivóvíz termelés</w:t>
            </w:r>
          </w:p>
        </w:tc>
        <w:tc>
          <w:tcPr>
            <w:tcW w:w="1058" w:type="dxa"/>
            <w:gridSpan w:val="2"/>
            <w:tcBorders>
              <w:top w:val="nil"/>
              <w:left w:val="nil"/>
              <w:bottom w:val="nil"/>
              <w:right w:val="nil"/>
            </w:tcBorders>
            <w:shd w:val="clear" w:color="auto" w:fill="auto"/>
            <w:noWrap/>
            <w:vAlign w:val="bottom"/>
            <w:hideMark/>
          </w:tcPr>
          <w:p w:rsidR="00DB2665" w:rsidRPr="00DB2665" w:rsidRDefault="00DB2665" w:rsidP="00DB2665">
            <w:pPr>
              <w:jc w:val="center"/>
              <w:rPr>
                <w:rFonts w:ascii="Times New Roman CE" w:hAnsi="Times New Roman CE" w:cs="Times New Roman CE"/>
                <w:sz w:val="22"/>
                <w:szCs w:val="22"/>
              </w:rPr>
            </w:pPr>
            <w:r w:rsidRPr="00DB2665">
              <w:rPr>
                <w:rFonts w:ascii="Times New Roman CE" w:hAnsi="Times New Roman CE" w:cs="Times New Roman CE"/>
                <w:sz w:val="22"/>
                <w:szCs w:val="22"/>
              </w:rPr>
              <w:t>em</w:t>
            </w:r>
            <w:r w:rsidRPr="00DB2665">
              <w:rPr>
                <w:rFonts w:ascii="Times New Roman CE" w:hAnsi="Times New Roman CE" w:cs="Times New Roman CE"/>
                <w:sz w:val="22"/>
                <w:szCs w:val="22"/>
                <w:vertAlign w:val="superscript"/>
              </w:rPr>
              <w:t>3</w:t>
            </w:r>
          </w:p>
        </w:tc>
        <w:tc>
          <w:tcPr>
            <w:tcW w:w="1134" w:type="dxa"/>
            <w:gridSpan w:val="3"/>
            <w:tcBorders>
              <w:top w:val="nil"/>
              <w:left w:val="nil"/>
              <w:bottom w:val="nil"/>
              <w:right w:val="nil"/>
            </w:tcBorders>
            <w:shd w:val="clear" w:color="auto" w:fill="auto"/>
            <w:noWrap/>
            <w:vAlign w:val="bottom"/>
            <w:hideMark/>
          </w:tcPr>
          <w:p w:rsidR="00DB2665" w:rsidRPr="00DB2665" w:rsidRDefault="00DB2665" w:rsidP="00DB2665">
            <w:pPr>
              <w:jc w:val="right"/>
              <w:rPr>
                <w:rFonts w:ascii="Times New Roman CE" w:hAnsi="Times New Roman CE" w:cs="Times New Roman CE"/>
                <w:sz w:val="22"/>
                <w:szCs w:val="22"/>
              </w:rPr>
            </w:pPr>
            <w:r w:rsidRPr="00DB2665">
              <w:rPr>
                <w:rFonts w:ascii="Times New Roman CE" w:hAnsi="Times New Roman CE" w:cs="Times New Roman CE"/>
                <w:sz w:val="22"/>
                <w:szCs w:val="22"/>
              </w:rPr>
              <w:t>14 426</w:t>
            </w:r>
          </w:p>
        </w:tc>
        <w:tc>
          <w:tcPr>
            <w:tcW w:w="992" w:type="dxa"/>
            <w:gridSpan w:val="3"/>
            <w:tcBorders>
              <w:top w:val="nil"/>
              <w:left w:val="nil"/>
              <w:bottom w:val="nil"/>
              <w:right w:val="nil"/>
            </w:tcBorders>
            <w:shd w:val="clear" w:color="auto" w:fill="auto"/>
            <w:noWrap/>
            <w:vAlign w:val="bottom"/>
            <w:hideMark/>
          </w:tcPr>
          <w:p w:rsidR="00DB2665" w:rsidRPr="00DB2665" w:rsidRDefault="00DB2665" w:rsidP="00DB2665">
            <w:pPr>
              <w:jc w:val="right"/>
              <w:rPr>
                <w:rFonts w:ascii="Times New Roman CE" w:hAnsi="Times New Roman CE" w:cs="Times New Roman CE"/>
                <w:sz w:val="22"/>
                <w:szCs w:val="22"/>
              </w:rPr>
            </w:pPr>
            <w:r w:rsidRPr="00DB2665">
              <w:rPr>
                <w:rFonts w:ascii="Times New Roman CE" w:hAnsi="Times New Roman CE" w:cs="Times New Roman CE"/>
                <w:sz w:val="22"/>
                <w:szCs w:val="22"/>
              </w:rPr>
              <w:t>14 328</w:t>
            </w:r>
          </w:p>
        </w:tc>
        <w:tc>
          <w:tcPr>
            <w:tcW w:w="992" w:type="dxa"/>
            <w:gridSpan w:val="3"/>
            <w:tcBorders>
              <w:top w:val="nil"/>
              <w:left w:val="nil"/>
              <w:bottom w:val="nil"/>
              <w:right w:val="nil"/>
            </w:tcBorders>
            <w:shd w:val="clear" w:color="auto" w:fill="auto"/>
            <w:noWrap/>
            <w:vAlign w:val="bottom"/>
            <w:hideMark/>
          </w:tcPr>
          <w:p w:rsidR="00DB2665" w:rsidRPr="00DB2665" w:rsidRDefault="00DB2665" w:rsidP="00DB2665">
            <w:pPr>
              <w:jc w:val="right"/>
              <w:rPr>
                <w:rFonts w:ascii="Times New Roman CE" w:hAnsi="Times New Roman CE" w:cs="Times New Roman CE"/>
                <w:sz w:val="22"/>
                <w:szCs w:val="22"/>
              </w:rPr>
            </w:pPr>
            <w:r w:rsidRPr="00DB2665">
              <w:rPr>
                <w:rFonts w:ascii="Times New Roman CE" w:hAnsi="Times New Roman CE" w:cs="Times New Roman CE"/>
                <w:sz w:val="22"/>
                <w:szCs w:val="22"/>
              </w:rPr>
              <w:t>14 531</w:t>
            </w:r>
          </w:p>
        </w:tc>
        <w:tc>
          <w:tcPr>
            <w:tcW w:w="1024" w:type="dxa"/>
            <w:gridSpan w:val="2"/>
            <w:tcBorders>
              <w:top w:val="nil"/>
              <w:left w:val="nil"/>
              <w:bottom w:val="nil"/>
              <w:right w:val="nil"/>
            </w:tcBorders>
            <w:shd w:val="clear" w:color="auto" w:fill="auto"/>
            <w:noWrap/>
            <w:vAlign w:val="bottom"/>
            <w:hideMark/>
          </w:tcPr>
          <w:p w:rsidR="00DB2665" w:rsidRPr="00DB2665" w:rsidRDefault="00DB2665" w:rsidP="00DB2665">
            <w:pPr>
              <w:jc w:val="right"/>
              <w:rPr>
                <w:rFonts w:ascii="Times New Roman CE" w:hAnsi="Times New Roman CE" w:cs="Times New Roman CE"/>
                <w:sz w:val="22"/>
                <w:szCs w:val="22"/>
              </w:rPr>
            </w:pPr>
            <w:r w:rsidRPr="00DB2665">
              <w:rPr>
                <w:rFonts w:ascii="Times New Roman CE" w:hAnsi="Times New Roman CE" w:cs="Times New Roman CE"/>
                <w:sz w:val="22"/>
                <w:szCs w:val="22"/>
              </w:rPr>
              <w:t>100,7%</w:t>
            </w:r>
          </w:p>
        </w:tc>
        <w:tc>
          <w:tcPr>
            <w:tcW w:w="1021" w:type="dxa"/>
            <w:gridSpan w:val="2"/>
            <w:tcBorders>
              <w:top w:val="nil"/>
              <w:left w:val="nil"/>
              <w:bottom w:val="nil"/>
              <w:right w:val="nil"/>
            </w:tcBorders>
            <w:shd w:val="clear" w:color="auto" w:fill="auto"/>
            <w:noWrap/>
            <w:vAlign w:val="bottom"/>
            <w:hideMark/>
          </w:tcPr>
          <w:p w:rsidR="00DB2665" w:rsidRPr="00DB2665" w:rsidRDefault="00DB2665" w:rsidP="00DB2665">
            <w:pPr>
              <w:jc w:val="right"/>
              <w:rPr>
                <w:rFonts w:ascii="Times New Roman CE" w:hAnsi="Times New Roman CE" w:cs="Times New Roman CE"/>
                <w:sz w:val="22"/>
                <w:szCs w:val="22"/>
              </w:rPr>
            </w:pPr>
            <w:r w:rsidRPr="00DB2665">
              <w:rPr>
                <w:rFonts w:ascii="Times New Roman CE" w:hAnsi="Times New Roman CE" w:cs="Times New Roman CE"/>
                <w:sz w:val="22"/>
                <w:szCs w:val="22"/>
              </w:rPr>
              <w:t>101,4%</w:t>
            </w:r>
          </w:p>
        </w:tc>
      </w:tr>
      <w:tr w:rsidR="00DB2665" w:rsidRPr="00DB2665" w:rsidTr="002C6D60">
        <w:trPr>
          <w:gridAfter w:val="3"/>
          <w:wAfter w:w="1127" w:type="dxa"/>
          <w:trHeight w:val="600"/>
        </w:trPr>
        <w:tc>
          <w:tcPr>
            <w:tcW w:w="3762" w:type="dxa"/>
            <w:tcBorders>
              <w:top w:val="nil"/>
              <w:left w:val="nil"/>
              <w:bottom w:val="nil"/>
              <w:right w:val="nil"/>
            </w:tcBorders>
            <w:shd w:val="clear" w:color="auto" w:fill="auto"/>
            <w:vAlign w:val="bottom"/>
            <w:hideMark/>
          </w:tcPr>
          <w:p w:rsidR="00DB2665" w:rsidRPr="00DB2665" w:rsidRDefault="00DB2665" w:rsidP="00DB2665">
            <w:pPr>
              <w:jc w:val="left"/>
              <w:rPr>
                <w:rFonts w:ascii="Times New Roman CE" w:hAnsi="Times New Roman CE" w:cs="Times New Roman CE"/>
                <w:sz w:val="22"/>
                <w:szCs w:val="22"/>
              </w:rPr>
            </w:pPr>
            <w:r w:rsidRPr="00DB2665">
              <w:rPr>
                <w:rFonts w:ascii="Times New Roman CE" w:hAnsi="Times New Roman CE" w:cs="Times New Roman CE"/>
                <w:sz w:val="22"/>
                <w:szCs w:val="22"/>
              </w:rPr>
              <w:t xml:space="preserve">  ebből: kezelt</w:t>
            </w:r>
            <w:r w:rsidRPr="00DB2665">
              <w:rPr>
                <w:rFonts w:ascii="Times New Roman CE" w:hAnsi="Times New Roman CE" w:cs="Times New Roman CE"/>
                <w:sz w:val="20"/>
              </w:rPr>
              <w:t xml:space="preserve"> (vastalanítás, </w:t>
            </w:r>
            <w:r w:rsidRPr="00DB2665">
              <w:rPr>
                <w:rFonts w:ascii="Times New Roman CE" w:hAnsi="Times New Roman CE" w:cs="Times New Roman CE"/>
                <w:sz w:val="20"/>
              </w:rPr>
              <w:br/>
              <w:t xml:space="preserve">   ammónia- és arzénmentesítés)</w:t>
            </w:r>
            <w:r w:rsidRPr="00DB2665">
              <w:rPr>
                <w:rFonts w:ascii="Times New Roman CE" w:hAnsi="Times New Roman CE" w:cs="Times New Roman CE"/>
                <w:sz w:val="22"/>
                <w:szCs w:val="22"/>
              </w:rPr>
              <w:t xml:space="preserve"> ivóvíz</w:t>
            </w:r>
          </w:p>
        </w:tc>
        <w:tc>
          <w:tcPr>
            <w:tcW w:w="1058" w:type="dxa"/>
            <w:gridSpan w:val="2"/>
            <w:tcBorders>
              <w:top w:val="nil"/>
              <w:left w:val="nil"/>
              <w:bottom w:val="nil"/>
              <w:right w:val="nil"/>
            </w:tcBorders>
            <w:shd w:val="clear" w:color="auto" w:fill="auto"/>
            <w:noWrap/>
            <w:vAlign w:val="bottom"/>
            <w:hideMark/>
          </w:tcPr>
          <w:p w:rsidR="00DB2665" w:rsidRPr="00DB2665" w:rsidRDefault="00DB2665" w:rsidP="00DB2665">
            <w:pPr>
              <w:jc w:val="center"/>
              <w:rPr>
                <w:rFonts w:ascii="Times New Roman CE" w:hAnsi="Times New Roman CE" w:cs="Times New Roman CE"/>
                <w:sz w:val="22"/>
                <w:szCs w:val="22"/>
              </w:rPr>
            </w:pPr>
            <w:r w:rsidRPr="00DB2665">
              <w:rPr>
                <w:rFonts w:ascii="Times New Roman CE" w:hAnsi="Times New Roman CE" w:cs="Times New Roman CE"/>
                <w:sz w:val="22"/>
                <w:szCs w:val="22"/>
              </w:rPr>
              <w:t>em</w:t>
            </w:r>
            <w:r w:rsidRPr="00DB2665">
              <w:rPr>
                <w:rFonts w:ascii="Times New Roman CE" w:hAnsi="Times New Roman CE" w:cs="Times New Roman CE"/>
                <w:sz w:val="22"/>
                <w:szCs w:val="22"/>
                <w:vertAlign w:val="superscript"/>
              </w:rPr>
              <w:t>3</w:t>
            </w:r>
          </w:p>
        </w:tc>
        <w:tc>
          <w:tcPr>
            <w:tcW w:w="1134" w:type="dxa"/>
            <w:gridSpan w:val="3"/>
            <w:tcBorders>
              <w:top w:val="nil"/>
              <w:left w:val="nil"/>
              <w:bottom w:val="nil"/>
              <w:right w:val="nil"/>
            </w:tcBorders>
            <w:shd w:val="clear" w:color="auto" w:fill="auto"/>
            <w:noWrap/>
            <w:vAlign w:val="bottom"/>
            <w:hideMark/>
          </w:tcPr>
          <w:p w:rsidR="00DB2665" w:rsidRPr="00DB2665" w:rsidRDefault="00DB2665" w:rsidP="00DB2665">
            <w:pPr>
              <w:jc w:val="right"/>
              <w:rPr>
                <w:rFonts w:ascii="Times New Roman CE" w:hAnsi="Times New Roman CE" w:cs="Times New Roman CE"/>
                <w:sz w:val="22"/>
                <w:szCs w:val="22"/>
              </w:rPr>
            </w:pPr>
            <w:r w:rsidRPr="00DB2665">
              <w:rPr>
                <w:rFonts w:ascii="Times New Roman CE" w:hAnsi="Times New Roman CE" w:cs="Times New Roman CE"/>
                <w:sz w:val="22"/>
                <w:szCs w:val="22"/>
              </w:rPr>
              <w:t>8 545</w:t>
            </w:r>
          </w:p>
        </w:tc>
        <w:tc>
          <w:tcPr>
            <w:tcW w:w="992" w:type="dxa"/>
            <w:gridSpan w:val="3"/>
            <w:tcBorders>
              <w:top w:val="nil"/>
              <w:left w:val="nil"/>
              <w:bottom w:val="nil"/>
              <w:right w:val="nil"/>
            </w:tcBorders>
            <w:shd w:val="clear" w:color="auto" w:fill="auto"/>
            <w:noWrap/>
            <w:vAlign w:val="bottom"/>
            <w:hideMark/>
          </w:tcPr>
          <w:p w:rsidR="00DB2665" w:rsidRPr="00DB2665" w:rsidRDefault="00DB2665" w:rsidP="00DB2665">
            <w:pPr>
              <w:jc w:val="right"/>
              <w:rPr>
                <w:rFonts w:ascii="Times New Roman CE" w:hAnsi="Times New Roman CE" w:cs="Times New Roman CE"/>
                <w:sz w:val="22"/>
                <w:szCs w:val="22"/>
              </w:rPr>
            </w:pPr>
          </w:p>
        </w:tc>
        <w:tc>
          <w:tcPr>
            <w:tcW w:w="992" w:type="dxa"/>
            <w:gridSpan w:val="3"/>
            <w:tcBorders>
              <w:top w:val="nil"/>
              <w:left w:val="nil"/>
              <w:bottom w:val="nil"/>
              <w:right w:val="nil"/>
            </w:tcBorders>
            <w:shd w:val="clear" w:color="auto" w:fill="auto"/>
            <w:noWrap/>
            <w:vAlign w:val="bottom"/>
            <w:hideMark/>
          </w:tcPr>
          <w:p w:rsidR="00DB2665" w:rsidRPr="00DB2665" w:rsidRDefault="00DB2665" w:rsidP="00DB2665">
            <w:pPr>
              <w:jc w:val="right"/>
              <w:rPr>
                <w:rFonts w:ascii="Times New Roman CE" w:hAnsi="Times New Roman CE" w:cs="Times New Roman CE"/>
                <w:sz w:val="22"/>
                <w:szCs w:val="22"/>
              </w:rPr>
            </w:pPr>
            <w:r w:rsidRPr="00DB2665">
              <w:rPr>
                <w:rFonts w:ascii="Times New Roman CE" w:hAnsi="Times New Roman CE" w:cs="Times New Roman CE"/>
                <w:sz w:val="22"/>
                <w:szCs w:val="22"/>
              </w:rPr>
              <w:t>7 420</w:t>
            </w:r>
          </w:p>
        </w:tc>
        <w:tc>
          <w:tcPr>
            <w:tcW w:w="1024" w:type="dxa"/>
            <w:gridSpan w:val="2"/>
            <w:tcBorders>
              <w:top w:val="nil"/>
              <w:left w:val="nil"/>
              <w:bottom w:val="nil"/>
              <w:right w:val="nil"/>
            </w:tcBorders>
            <w:shd w:val="clear" w:color="auto" w:fill="auto"/>
            <w:noWrap/>
            <w:vAlign w:val="bottom"/>
            <w:hideMark/>
          </w:tcPr>
          <w:p w:rsidR="00DB2665" w:rsidRPr="00DB2665" w:rsidRDefault="00DB2665" w:rsidP="00DB2665">
            <w:pPr>
              <w:jc w:val="right"/>
              <w:rPr>
                <w:rFonts w:ascii="Times New Roman CE" w:hAnsi="Times New Roman CE" w:cs="Times New Roman CE"/>
                <w:sz w:val="22"/>
                <w:szCs w:val="22"/>
              </w:rPr>
            </w:pPr>
            <w:r w:rsidRPr="00DB2665">
              <w:rPr>
                <w:rFonts w:ascii="Times New Roman CE" w:hAnsi="Times New Roman CE" w:cs="Times New Roman CE"/>
                <w:sz w:val="22"/>
                <w:szCs w:val="22"/>
              </w:rPr>
              <w:t>86,8%</w:t>
            </w:r>
          </w:p>
        </w:tc>
        <w:tc>
          <w:tcPr>
            <w:tcW w:w="1021" w:type="dxa"/>
            <w:gridSpan w:val="2"/>
            <w:tcBorders>
              <w:top w:val="nil"/>
              <w:left w:val="nil"/>
              <w:bottom w:val="nil"/>
              <w:right w:val="nil"/>
            </w:tcBorders>
            <w:shd w:val="clear" w:color="auto" w:fill="auto"/>
            <w:noWrap/>
            <w:vAlign w:val="bottom"/>
            <w:hideMark/>
          </w:tcPr>
          <w:p w:rsidR="00DB2665" w:rsidRPr="00DB2665" w:rsidRDefault="00DB2665" w:rsidP="00DB2665">
            <w:pPr>
              <w:jc w:val="right"/>
              <w:rPr>
                <w:rFonts w:ascii="Times New Roman CE" w:hAnsi="Times New Roman CE" w:cs="Times New Roman CE"/>
                <w:sz w:val="22"/>
                <w:szCs w:val="22"/>
              </w:rPr>
            </w:pPr>
          </w:p>
        </w:tc>
      </w:tr>
      <w:tr w:rsidR="00DB2665" w:rsidRPr="00DB2665" w:rsidTr="002C6D60">
        <w:trPr>
          <w:gridAfter w:val="3"/>
          <w:wAfter w:w="1127" w:type="dxa"/>
          <w:trHeight w:val="375"/>
        </w:trPr>
        <w:tc>
          <w:tcPr>
            <w:tcW w:w="3762" w:type="dxa"/>
            <w:tcBorders>
              <w:top w:val="nil"/>
              <w:left w:val="nil"/>
              <w:bottom w:val="nil"/>
              <w:right w:val="nil"/>
            </w:tcBorders>
            <w:shd w:val="clear" w:color="auto" w:fill="auto"/>
            <w:noWrap/>
            <w:vAlign w:val="bottom"/>
            <w:hideMark/>
          </w:tcPr>
          <w:p w:rsidR="00DB2665" w:rsidRPr="00DB2665" w:rsidRDefault="00DB2665" w:rsidP="00DB2665">
            <w:pPr>
              <w:jc w:val="left"/>
              <w:rPr>
                <w:rFonts w:ascii="Times New Roman CE" w:hAnsi="Times New Roman CE" w:cs="Times New Roman CE"/>
                <w:sz w:val="22"/>
                <w:szCs w:val="22"/>
              </w:rPr>
            </w:pPr>
            <w:r w:rsidRPr="00DB2665">
              <w:rPr>
                <w:rFonts w:ascii="Times New Roman CE" w:hAnsi="Times New Roman CE" w:cs="Times New Roman CE"/>
                <w:sz w:val="22"/>
                <w:szCs w:val="22"/>
              </w:rPr>
              <w:t>Ivóvíz értékesítés összesen</w:t>
            </w:r>
          </w:p>
        </w:tc>
        <w:tc>
          <w:tcPr>
            <w:tcW w:w="1058" w:type="dxa"/>
            <w:gridSpan w:val="2"/>
            <w:tcBorders>
              <w:top w:val="nil"/>
              <w:left w:val="nil"/>
              <w:bottom w:val="nil"/>
              <w:right w:val="nil"/>
            </w:tcBorders>
            <w:shd w:val="clear" w:color="auto" w:fill="auto"/>
            <w:noWrap/>
            <w:vAlign w:val="bottom"/>
            <w:hideMark/>
          </w:tcPr>
          <w:p w:rsidR="00DB2665" w:rsidRPr="00DB2665" w:rsidRDefault="00DB2665" w:rsidP="00DB2665">
            <w:pPr>
              <w:jc w:val="center"/>
              <w:rPr>
                <w:rFonts w:ascii="Times New Roman CE" w:hAnsi="Times New Roman CE" w:cs="Times New Roman CE"/>
                <w:sz w:val="22"/>
                <w:szCs w:val="22"/>
              </w:rPr>
            </w:pPr>
            <w:r w:rsidRPr="00DB2665">
              <w:rPr>
                <w:rFonts w:ascii="Times New Roman CE" w:hAnsi="Times New Roman CE" w:cs="Times New Roman CE"/>
                <w:sz w:val="22"/>
                <w:szCs w:val="22"/>
              </w:rPr>
              <w:t>em</w:t>
            </w:r>
            <w:r w:rsidRPr="00DB2665">
              <w:rPr>
                <w:rFonts w:ascii="Times New Roman CE" w:hAnsi="Times New Roman CE" w:cs="Times New Roman CE"/>
                <w:sz w:val="22"/>
                <w:szCs w:val="22"/>
                <w:vertAlign w:val="superscript"/>
              </w:rPr>
              <w:t>3</w:t>
            </w:r>
          </w:p>
        </w:tc>
        <w:tc>
          <w:tcPr>
            <w:tcW w:w="1134" w:type="dxa"/>
            <w:gridSpan w:val="3"/>
            <w:tcBorders>
              <w:top w:val="nil"/>
              <w:left w:val="nil"/>
              <w:bottom w:val="nil"/>
              <w:right w:val="nil"/>
            </w:tcBorders>
            <w:shd w:val="clear" w:color="auto" w:fill="auto"/>
            <w:noWrap/>
            <w:vAlign w:val="bottom"/>
            <w:hideMark/>
          </w:tcPr>
          <w:p w:rsidR="00DB2665" w:rsidRPr="00DB2665" w:rsidRDefault="00DB2665" w:rsidP="00DB2665">
            <w:pPr>
              <w:jc w:val="right"/>
              <w:rPr>
                <w:rFonts w:ascii="Times New Roman CE" w:hAnsi="Times New Roman CE" w:cs="Times New Roman CE"/>
                <w:sz w:val="22"/>
                <w:szCs w:val="22"/>
              </w:rPr>
            </w:pPr>
            <w:r w:rsidRPr="00DB2665">
              <w:rPr>
                <w:rFonts w:ascii="Times New Roman CE" w:hAnsi="Times New Roman CE" w:cs="Times New Roman CE"/>
                <w:sz w:val="22"/>
                <w:szCs w:val="22"/>
              </w:rPr>
              <w:t>11 560</w:t>
            </w:r>
          </w:p>
        </w:tc>
        <w:tc>
          <w:tcPr>
            <w:tcW w:w="992" w:type="dxa"/>
            <w:gridSpan w:val="3"/>
            <w:tcBorders>
              <w:top w:val="nil"/>
              <w:left w:val="nil"/>
              <w:bottom w:val="nil"/>
              <w:right w:val="nil"/>
            </w:tcBorders>
            <w:shd w:val="clear" w:color="auto" w:fill="auto"/>
            <w:noWrap/>
            <w:vAlign w:val="bottom"/>
            <w:hideMark/>
          </w:tcPr>
          <w:p w:rsidR="00DB2665" w:rsidRPr="00DB2665" w:rsidRDefault="00DB2665" w:rsidP="00DB2665">
            <w:pPr>
              <w:jc w:val="right"/>
              <w:rPr>
                <w:rFonts w:ascii="Times New Roman CE" w:hAnsi="Times New Roman CE" w:cs="Times New Roman CE"/>
                <w:sz w:val="22"/>
                <w:szCs w:val="22"/>
              </w:rPr>
            </w:pPr>
            <w:r w:rsidRPr="00DB2665">
              <w:rPr>
                <w:rFonts w:ascii="Times New Roman CE" w:hAnsi="Times New Roman CE" w:cs="Times New Roman CE"/>
                <w:sz w:val="22"/>
                <w:szCs w:val="22"/>
              </w:rPr>
              <w:t>11 278</w:t>
            </w:r>
          </w:p>
        </w:tc>
        <w:tc>
          <w:tcPr>
            <w:tcW w:w="992" w:type="dxa"/>
            <w:gridSpan w:val="3"/>
            <w:tcBorders>
              <w:top w:val="nil"/>
              <w:left w:val="nil"/>
              <w:bottom w:val="nil"/>
              <w:right w:val="nil"/>
            </w:tcBorders>
            <w:shd w:val="clear" w:color="auto" w:fill="auto"/>
            <w:noWrap/>
            <w:vAlign w:val="bottom"/>
            <w:hideMark/>
          </w:tcPr>
          <w:p w:rsidR="00DB2665" w:rsidRPr="00DB2665" w:rsidRDefault="00DB2665" w:rsidP="00DB2665">
            <w:pPr>
              <w:jc w:val="right"/>
              <w:rPr>
                <w:rFonts w:ascii="Times New Roman CE" w:hAnsi="Times New Roman CE" w:cs="Times New Roman CE"/>
                <w:sz w:val="22"/>
                <w:szCs w:val="22"/>
              </w:rPr>
            </w:pPr>
            <w:r w:rsidRPr="00DB2665">
              <w:rPr>
                <w:rFonts w:ascii="Times New Roman CE" w:hAnsi="Times New Roman CE" w:cs="Times New Roman CE"/>
                <w:sz w:val="22"/>
                <w:szCs w:val="22"/>
              </w:rPr>
              <w:t>11 537</w:t>
            </w:r>
          </w:p>
        </w:tc>
        <w:tc>
          <w:tcPr>
            <w:tcW w:w="1024" w:type="dxa"/>
            <w:gridSpan w:val="2"/>
            <w:tcBorders>
              <w:top w:val="nil"/>
              <w:left w:val="nil"/>
              <w:bottom w:val="nil"/>
              <w:right w:val="nil"/>
            </w:tcBorders>
            <w:shd w:val="clear" w:color="auto" w:fill="auto"/>
            <w:noWrap/>
            <w:vAlign w:val="bottom"/>
            <w:hideMark/>
          </w:tcPr>
          <w:p w:rsidR="00DB2665" w:rsidRPr="00DB2665" w:rsidRDefault="00DB2665" w:rsidP="00DB2665">
            <w:pPr>
              <w:jc w:val="right"/>
              <w:rPr>
                <w:rFonts w:ascii="Times New Roman CE" w:hAnsi="Times New Roman CE" w:cs="Times New Roman CE"/>
                <w:sz w:val="22"/>
                <w:szCs w:val="22"/>
              </w:rPr>
            </w:pPr>
            <w:r w:rsidRPr="00DB2665">
              <w:rPr>
                <w:rFonts w:ascii="Times New Roman CE" w:hAnsi="Times New Roman CE" w:cs="Times New Roman CE"/>
                <w:sz w:val="22"/>
                <w:szCs w:val="22"/>
              </w:rPr>
              <w:t>99,8%</w:t>
            </w:r>
          </w:p>
        </w:tc>
        <w:tc>
          <w:tcPr>
            <w:tcW w:w="1021" w:type="dxa"/>
            <w:gridSpan w:val="2"/>
            <w:tcBorders>
              <w:top w:val="nil"/>
              <w:left w:val="nil"/>
              <w:bottom w:val="nil"/>
              <w:right w:val="nil"/>
            </w:tcBorders>
            <w:shd w:val="clear" w:color="auto" w:fill="auto"/>
            <w:noWrap/>
            <w:vAlign w:val="bottom"/>
            <w:hideMark/>
          </w:tcPr>
          <w:p w:rsidR="00DB2665" w:rsidRPr="00DB2665" w:rsidRDefault="00DB2665" w:rsidP="00DB2665">
            <w:pPr>
              <w:jc w:val="right"/>
              <w:rPr>
                <w:rFonts w:ascii="Times New Roman CE" w:hAnsi="Times New Roman CE" w:cs="Times New Roman CE"/>
                <w:sz w:val="22"/>
                <w:szCs w:val="22"/>
              </w:rPr>
            </w:pPr>
            <w:r w:rsidRPr="00DB2665">
              <w:rPr>
                <w:rFonts w:ascii="Times New Roman CE" w:hAnsi="Times New Roman CE" w:cs="Times New Roman CE"/>
                <w:sz w:val="22"/>
                <w:szCs w:val="22"/>
              </w:rPr>
              <w:t>102,3%</w:t>
            </w:r>
          </w:p>
        </w:tc>
      </w:tr>
      <w:tr w:rsidR="00DB2665" w:rsidRPr="00DB2665" w:rsidTr="002C6D60">
        <w:trPr>
          <w:gridAfter w:val="3"/>
          <w:wAfter w:w="1127" w:type="dxa"/>
          <w:trHeight w:val="289"/>
        </w:trPr>
        <w:tc>
          <w:tcPr>
            <w:tcW w:w="3762" w:type="dxa"/>
            <w:tcBorders>
              <w:top w:val="nil"/>
              <w:left w:val="nil"/>
              <w:bottom w:val="nil"/>
              <w:right w:val="nil"/>
            </w:tcBorders>
            <w:shd w:val="clear" w:color="auto" w:fill="auto"/>
            <w:noWrap/>
            <w:vAlign w:val="bottom"/>
            <w:hideMark/>
          </w:tcPr>
          <w:p w:rsidR="00DB2665" w:rsidRPr="00DB2665" w:rsidRDefault="00DB2665" w:rsidP="00DB2665">
            <w:pPr>
              <w:jc w:val="left"/>
              <w:rPr>
                <w:rFonts w:ascii="Times New Roman CE" w:hAnsi="Times New Roman CE" w:cs="Times New Roman CE"/>
                <w:sz w:val="22"/>
                <w:szCs w:val="22"/>
              </w:rPr>
            </w:pPr>
            <w:r w:rsidRPr="00DB2665">
              <w:rPr>
                <w:rFonts w:ascii="Times New Roman CE" w:hAnsi="Times New Roman CE" w:cs="Times New Roman CE"/>
                <w:sz w:val="22"/>
                <w:szCs w:val="22"/>
              </w:rPr>
              <w:t xml:space="preserve">          lakosság</w:t>
            </w:r>
          </w:p>
        </w:tc>
        <w:tc>
          <w:tcPr>
            <w:tcW w:w="1058" w:type="dxa"/>
            <w:gridSpan w:val="2"/>
            <w:tcBorders>
              <w:top w:val="nil"/>
              <w:left w:val="nil"/>
              <w:bottom w:val="nil"/>
              <w:right w:val="nil"/>
            </w:tcBorders>
            <w:shd w:val="clear" w:color="auto" w:fill="auto"/>
            <w:noWrap/>
            <w:vAlign w:val="bottom"/>
            <w:hideMark/>
          </w:tcPr>
          <w:p w:rsidR="00DB2665" w:rsidRPr="00DB2665" w:rsidRDefault="00DB2665" w:rsidP="00DB2665">
            <w:pPr>
              <w:jc w:val="center"/>
              <w:rPr>
                <w:rFonts w:ascii="Times New Roman CE" w:hAnsi="Times New Roman CE" w:cs="Times New Roman CE"/>
                <w:sz w:val="22"/>
                <w:szCs w:val="22"/>
              </w:rPr>
            </w:pPr>
            <w:r w:rsidRPr="00DB2665">
              <w:rPr>
                <w:rFonts w:ascii="Times New Roman CE" w:hAnsi="Times New Roman CE" w:cs="Times New Roman CE"/>
                <w:sz w:val="22"/>
                <w:szCs w:val="22"/>
              </w:rPr>
              <w:t>em</w:t>
            </w:r>
            <w:r w:rsidRPr="00DB2665">
              <w:rPr>
                <w:rFonts w:ascii="Times New Roman CE" w:hAnsi="Times New Roman CE" w:cs="Times New Roman CE"/>
                <w:sz w:val="22"/>
                <w:szCs w:val="22"/>
                <w:vertAlign w:val="superscript"/>
              </w:rPr>
              <w:t>3</w:t>
            </w:r>
          </w:p>
        </w:tc>
        <w:tc>
          <w:tcPr>
            <w:tcW w:w="1134" w:type="dxa"/>
            <w:gridSpan w:val="3"/>
            <w:tcBorders>
              <w:top w:val="nil"/>
              <w:left w:val="nil"/>
              <w:bottom w:val="nil"/>
              <w:right w:val="nil"/>
            </w:tcBorders>
            <w:shd w:val="clear" w:color="auto" w:fill="auto"/>
            <w:noWrap/>
            <w:vAlign w:val="bottom"/>
            <w:hideMark/>
          </w:tcPr>
          <w:p w:rsidR="00DB2665" w:rsidRPr="00DB2665" w:rsidRDefault="00DB2665" w:rsidP="00DB2665">
            <w:pPr>
              <w:jc w:val="right"/>
              <w:rPr>
                <w:rFonts w:ascii="Times New Roman CE" w:hAnsi="Times New Roman CE" w:cs="Times New Roman CE"/>
                <w:sz w:val="22"/>
                <w:szCs w:val="22"/>
              </w:rPr>
            </w:pPr>
            <w:r w:rsidRPr="00DB2665">
              <w:rPr>
                <w:rFonts w:ascii="Times New Roman CE" w:hAnsi="Times New Roman CE" w:cs="Times New Roman CE"/>
                <w:sz w:val="22"/>
                <w:szCs w:val="22"/>
              </w:rPr>
              <w:t>8 949</w:t>
            </w:r>
          </w:p>
        </w:tc>
        <w:tc>
          <w:tcPr>
            <w:tcW w:w="992" w:type="dxa"/>
            <w:gridSpan w:val="3"/>
            <w:tcBorders>
              <w:top w:val="nil"/>
              <w:left w:val="nil"/>
              <w:bottom w:val="nil"/>
              <w:right w:val="nil"/>
            </w:tcBorders>
            <w:shd w:val="clear" w:color="auto" w:fill="auto"/>
            <w:noWrap/>
            <w:vAlign w:val="bottom"/>
            <w:hideMark/>
          </w:tcPr>
          <w:p w:rsidR="00DB2665" w:rsidRPr="00DB2665" w:rsidRDefault="00DB2665" w:rsidP="00DB2665">
            <w:pPr>
              <w:jc w:val="right"/>
              <w:rPr>
                <w:rFonts w:ascii="Times New Roman CE" w:hAnsi="Times New Roman CE" w:cs="Times New Roman CE"/>
                <w:sz w:val="22"/>
                <w:szCs w:val="22"/>
              </w:rPr>
            </w:pPr>
          </w:p>
        </w:tc>
        <w:tc>
          <w:tcPr>
            <w:tcW w:w="992" w:type="dxa"/>
            <w:gridSpan w:val="3"/>
            <w:tcBorders>
              <w:top w:val="nil"/>
              <w:left w:val="nil"/>
              <w:bottom w:val="nil"/>
              <w:right w:val="nil"/>
            </w:tcBorders>
            <w:shd w:val="clear" w:color="auto" w:fill="auto"/>
            <w:noWrap/>
            <w:vAlign w:val="bottom"/>
            <w:hideMark/>
          </w:tcPr>
          <w:p w:rsidR="00DB2665" w:rsidRPr="00DB2665" w:rsidRDefault="00DB2665" w:rsidP="00DB2665">
            <w:pPr>
              <w:jc w:val="right"/>
              <w:rPr>
                <w:rFonts w:ascii="Times New Roman CE" w:hAnsi="Times New Roman CE" w:cs="Times New Roman CE"/>
                <w:sz w:val="22"/>
                <w:szCs w:val="22"/>
              </w:rPr>
            </w:pPr>
            <w:r w:rsidRPr="00DB2665">
              <w:rPr>
                <w:rFonts w:ascii="Times New Roman CE" w:hAnsi="Times New Roman CE" w:cs="Times New Roman CE"/>
                <w:sz w:val="22"/>
                <w:szCs w:val="22"/>
              </w:rPr>
              <w:t>8 776</w:t>
            </w:r>
          </w:p>
        </w:tc>
        <w:tc>
          <w:tcPr>
            <w:tcW w:w="1024" w:type="dxa"/>
            <w:gridSpan w:val="2"/>
            <w:tcBorders>
              <w:top w:val="nil"/>
              <w:left w:val="nil"/>
              <w:bottom w:val="nil"/>
              <w:right w:val="nil"/>
            </w:tcBorders>
            <w:shd w:val="clear" w:color="auto" w:fill="auto"/>
            <w:noWrap/>
            <w:vAlign w:val="bottom"/>
            <w:hideMark/>
          </w:tcPr>
          <w:p w:rsidR="00DB2665" w:rsidRPr="00DB2665" w:rsidRDefault="00DB2665" w:rsidP="00DB2665">
            <w:pPr>
              <w:jc w:val="right"/>
              <w:rPr>
                <w:rFonts w:ascii="Times New Roman CE" w:hAnsi="Times New Roman CE" w:cs="Times New Roman CE"/>
                <w:sz w:val="22"/>
                <w:szCs w:val="22"/>
              </w:rPr>
            </w:pPr>
            <w:r w:rsidRPr="00DB2665">
              <w:rPr>
                <w:rFonts w:ascii="Times New Roman CE" w:hAnsi="Times New Roman CE" w:cs="Times New Roman CE"/>
                <w:sz w:val="22"/>
                <w:szCs w:val="22"/>
              </w:rPr>
              <w:t>98,1%</w:t>
            </w:r>
          </w:p>
        </w:tc>
        <w:tc>
          <w:tcPr>
            <w:tcW w:w="1021" w:type="dxa"/>
            <w:gridSpan w:val="2"/>
            <w:tcBorders>
              <w:top w:val="nil"/>
              <w:left w:val="nil"/>
              <w:bottom w:val="nil"/>
              <w:right w:val="nil"/>
            </w:tcBorders>
            <w:shd w:val="clear" w:color="auto" w:fill="auto"/>
            <w:noWrap/>
            <w:vAlign w:val="bottom"/>
            <w:hideMark/>
          </w:tcPr>
          <w:p w:rsidR="00DB2665" w:rsidRPr="00DB2665" w:rsidRDefault="00DB2665" w:rsidP="00DB2665">
            <w:pPr>
              <w:jc w:val="right"/>
              <w:rPr>
                <w:rFonts w:ascii="Times New Roman CE" w:hAnsi="Times New Roman CE" w:cs="Times New Roman CE"/>
                <w:sz w:val="22"/>
                <w:szCs w:val="22"/>
              </w:rPr>
            </w:pPr>
          </w:p>
        </w:tc>
      </w:tr>
      <w:tr w:rsidR="00DB2665" w:rsidRPr="00DB2665" w:rsidTr="002C6D60">
        <w:trPr>
          <w:gridAfter w:val="3"/>
          <w:wAfter w:w="1127" w:type="dxa"/>
          <w:trHeight w:val="289"/>
        </w:trPr>
        <w:tc>
          <w:tcPr>
            <w:tcW w:w="3762" w:type="dxa"/>
            <w:tcBorders>
              <w:top w:val="nil"/>
              <w:left w:val="nil"/>
              <w:bottom w:val="nil"/>
              <w:right w:val="nil"/>
            </w:tcBorders>
            <w:shd w:val="clear" w:color="auto" w:fill="auto"/>
            <w:noWrap/>
            <w:vAlign w:val="bottom"/>
            <w:hideMark/>
          </w:tcPr>
          <w:p w:rsidR="00DB2665" w:rsidRPr="00DB2665" w:rsidRDefault="00DB2665" w:rsidP="00DB2665">
            <w:pPr>
              <w:jc w:val="left"/>
              <w:rPr>
                <w:rFonts w:ascii="Times New Roman CE" w:hAnsi="Times New Roman CE" w:cs="Times New Roman CE"/>
                <w:sz w:val="22"/>
                <w:szCs w:val="22"/>
              </w:rPr>
            </w:pPr>
            <w:r w:rsidRPr="00DB2665">
              <w:rPr>
                <w:rFonts w:ascii="Times New Roman CE" w:hAnsi="Times New Roman CE" w:cs="Times New Roman CE"/>
                <w:sz w:val="22"/>
                <w:szCs w:val="22"/>
              </w:rPr>
              <w:t xml:space="preserve">          nem lakosság</w:t>
            </w:r>
          </w:p>
        </w:tc>
        <w:tc>
          <w:tcPr>
            <w:tcW w:w="1058" w:type="dxa"/>
            <w:gridSpan w:val="2"/>
            <w:tcBorders>
              <w:top w:val="nil"/>
              <w:left w:val="nil"/>
              <w:bottom w:val="nil"/>
              <w:right w:val="nil"/>
            </w:tcBorders>
            <w:shd w:val="clear" w:color="auto" w:fill="auto"/>
            <w:noWrap/>
            <w:vAlign w:val="bottom"/>
            <w:hideMark/>
          </w:tcPr>
          <w:p w:rsidR="00DB2665" w:rsidRPr="00DB2665" w:rsidRDefault="00DB2665" w:rsidP="00DB2665">
            <w:pPr>
              <w:jc w:val="center"/>
              <w:rPr>
                <w:rFonts w:ascii="Times New Roman CE" w:hAnsi="Times New Roman CE" w:cs="Times New Roman CE"/>
                <w:sz w:val="22"/>
                <w:szCs w:val="22"/>
              </w:rPr>
            </w:pPr>
            <w:r w:rsidRPr="00DB2665">
              <w:rPr>
                <w:rFonts w:ascii="Times New Roman CE" w:hAnsi="Times New Roman CE" w:cs="Times New Roman CE"/>
                <w:sz w:val="22"/>
                <w:szCs w:val="22"/>
              </w:rPr>
              <w:t>em</w:t>
            </w:r>
            <w:r w:rsidRPr="00DB2665">
              <w:rPr>
                <w:rFonts w:ascii="Times New Roman CE" w:hAnsi="Times New Roman CE" w:cs="Times New Roman CE"/>
                <w:sz w:val="22"/>
                <w:szCs w:val="22"/>
                <w:vertAlign w:val="superscript"/>
              </w:rPr>
              <w:t>3</w:t>
            </w:r>
          </w:p>
        </w:tc>
        <w:tc>
          <w:tcPr>
            <w:tcW w:w="1134" w:type="dxa"/>
            <w:gridSpan w:val="3"/>
            <w:tcBorders>
              <w:top w:val="nil"/>
              <w:left w:val="nil"/>
              <w:bottom w:val="nil"/>
              <w:right w:val="nil"/>
            </w:tcBorders>
            <w:shd w:val="clear" w:color="auto" w:fill="auto"/>
            <w:noWrap/>
            <w:vAlign w:val="bottom"/>
            <w:hideMark/>
          </w:tcPr>
          <w:p w:rsidR="00DB2665" w:rsidRPr="00DB2665" w:rsidRDefault="00DB2665" w:rsidP="00DB2665">
            <w:pPr>
              <w:jc w:val="right"/>
              <w:rPr>
                <w:rFonts w:ascii="Times New Roman CE" w:hAnsi="Times New Roman CE" w:cs="Times New Roman CE"/>
                <w:sz w:val="22"/>
                <w:szCs w:val="22"/>
              </w:rPr>
            </w:pPr>
            <w:r w:rsidRPr="00DB2665">
              <w:rPr>
                <w:rFonts w:ascii="Times New Roman CE" w:hAnsi="Times New Roman CE" w:cs="Times New Roman CE"/>
                <w:sz w:val="22"/>
                <w:szCs w:val="22"/>
              </w:rPr>
              <w:t>2 611</w:t>
            </w:r>
          </w:p>
        </w:tc>
        <w:tc>
          <w:tcPr>
            <w:tcW w:w="992" w:type="dxa"/>
            <w:gridSpan w:val="3"/>
            <w:tcBorders>
              <w:top w:val="nil"/>
              <w:left w:val="nil"/>
              <w:bottom w:val="nil"/>
              <w:right w:val="nil"/>
            </w:tcBorders>
            <w:shd w:val="clear" w:color="auto" w:fill="auto"/>
            <w:noWrap/>
            <w:vAlign w:val="bottom"/>
            <w:hideMark/>
          </w:tcPr>
          <w:p w:rsidR="00DB2665" w:rsidRPr="00DB2665" w:rsidRDefault="00DB2665" w:rsidP="00DB2665">
            <w:pPr>
              <w:jc w:val="right"/>
              <w:rPr>
                <w:rFonts w:ascii="Times New Roman CE" w:hAnsi="Times New Roman CE" w:cs="Times New Roman CE"/>
                <w:sz w:val="22"/>
                <w:szCs w:val="22"/>
              </w:rPr>
            </w:pPr>
          </w:p>
        </w:tc>
        <w:tc>
          <w:tcPr>
            <w:tcW w:w="992" w:type="dxa"/>
            <w:gridSpan w:val="3"/>
            <w:tcBorders>
              <w:top w:val="nil"/>
              <w:left w:val="nil"/>
              <w:bottom w:val="nil"/>
              <w:right w:val="nil"/>
            </w:tcBorders>
            <w:shd w:val="clear" w:color="auto" w:fill="auto"/>
            <w:noWrap/>
            <w:vAlign w:val="bottom"/>
            <w:hideMark/>
          </w:tcPr>
          <w:p w:rsidR="00DB2665" w:rsidRPr="00DB2665" w:rsidRDefault="00DB2665" w:rsidP="00DB2665">
            <w:pPr>
              <w:jc w:val="right"/>
              <w:rPr>
                <w:rFonts w:ascii="Times New Roman CE" w:hAnsi="Times New Roman CE" w:cs="Times New Roman CE"/>
                <w:sz w:val="22"/>
                <w:szCs w:val="22"/>
              </w:rPr>
            </w:pPr>
            <w:r w:rsidRPr="00DB2665">
              <w:rPr>
                <w:rFonts w:ascii="Times New Roman CE" w:hAnsi="Times New Roman CE" w:cs="Times New Roman CE"/>
                <w:sz w:val="22"/>
                <w:szCs w:val="22"/>
              </w:rPr>
              <w:t>2 761</w:t>
            </w:r>
          </w:p>
        </w:tc>
        <w:tc>
          <w:tcPr>
            <w:tcW w:w="1024" w:type="dxa"/>
            <w:gridSpan w:val="2"/>
            <w:tcBorders>
              <w:top w:val="nil"/>
              <w:left w:val="nil"/>
              <w:bottom w:val="nil"/>
              <w:right w:val="nil"/>
            </w:tcBorders>
            <w:shd w:val="clear" w:color="auto" w:fill="auto"/>
            <w:noWrap/>
            <w:vAlign w:val="bottom"/>
            <w:hideMark/>
          </w:tcPr>
          <w:p w:rsidR="00DB2665" w:rsidRPr="00DB2665" w:rsidRDefault="00DB2665" w:rsidP="00DB2665">
            <w:pPr>
              <w:jc w:val="right"/>
              <w:rPr>
                <w:rFonts w:ascii="Times New Roman CE" w:hAnsi="Times New Roman CE" w:cs="Times New Roman CE"/>
                <w:sz w:val="22"/>
                <w:szCs w:val="22"/>
              </w:rPr>
            </w:pPr>
            <w:r w:rsidRPr="00DB2665">
              <w:rPr>
                <w:rFonts w:ascii="Times New Roman CE" w:hAnsi="Times New Roman CE" w:cs="Times New Roman CE"/>
                <w:sz w:val="22"/>
                <w:szCs w:val="22"/>
              </w:rPr>
              <w:t>105,7%</w:t>
            </w:r>
          </w:p>
        </w:tc>
        <w:tc>
          <w:tcPr>
            <w:tcW w:w="1021" w:type="dxa"/>
            <w:gridSpan w:val="2"/>
            <w:tcBorders>
              <w:top w:val="nil"/>
              <w:left w:val="nil"/>
              <w:bottom w:val="nil"/>
              <w:right w:val="nil"/>
            </w:tcBorders>
            <w:shd w:val="clear" w:color="auto" w:fill="auto"/>
            <w:noWrap/>
            <w:vAlign w:val="bottom"/>
            <w:hideMark/>
          </w:tcPr>
          <w:p w:rsidR="00DB2665" w:rsidRPr="00DB2665" w:rsidRDefault="00DB2665" w:rsidP="00DB2665">
            <w:pPr>
              <w:jc w:val="right"/>
              <w:rPr>
                <w:rFonts w:ascii="Times New Roman CE" w:hAnsi="Times New Roman CE" w:cs="Times New Roman CE"/>
                <w:sz w:val="22"/>
                <w:szCs w:val="22"/>
              </w:rPr>
            </w:pPr>
          </w:p>
        </w:tc>
      </w:tr>
      <w:tr w:rsidR="00DB2665" w:rsidRPr="00DB2665" w:rsidTr="002C6D60">
        <w:trPr>
          <w:gridAfter w:val="1"/>
          <w:wAfter w:w="366" w:type="dxa"/>
          <w:trHeight w:val="135"/>
        </w:trPr>
        <w:tc>
          <w:tcPr>
            <w:tcW w:w="3762" w:type="dxa"/>
            <w:tcBorders>
              <w:top w:val="nil"/>
              <w:left w:val="nil"/>
              <w:bottom w:val="nil"/>
              <w:right w:val="nil"/>
            </w:tcBorders>
            <w:shd w:val="clear" w:color="auto" w:fill="auto"/>
            <w:noWrap/>
            <w:vAlign w:val="bottom"/>
            <w:hideMark/>
          </w:tcPr>
          <w:p w:rsidR="00DB2665" w:rsidRPr="00DB2665" w:rsidRDefault="00DB2665" w:rsidP="00DB2665">
            <w:pPr>
              <w:jc w:val="right"/>
              <w:rPr>
                <w:rFonts w:ascii="Times New Roman CE" w:hAnsi="Times New Roman CE" w:cs="Times New Roman CE"/>
                <w:sz w:val="22"/>
                <w:szCs w:val="22"/>
              </w:rPr>
            </w:pPr>
          </w:p>
        </w:tc>
        <w:tc>
          <w:tcPr>
            <w:tcW w:w="1323" w:type="dxa"/>
            <w:gridSpan w:val="3"/>
            <w:tcBorders>
              <w:top w:val="nil"/>
              <w:left w:val="nil"/>
              <w:bottom w:val="nil"/>
              <w:right w:val="nil"/>
            </w:tcBorders>
            <w:shd w:val="clear" w:color="auto" w:fill="auto"/>
            <w:noWrap/>
            <w:vAlign w:val="bottom"/>
            <w:hideMark/>
          </w:tcPr>
          <w:p w:rsidR="00DB2665" w:rsidRPr="00DB2665" w:rsidRDefault="00DB2665" w:rsidP="00DB2665">
            <w:pPr>
              <w:jc w:val="left"/>
              <w:rPr>
                <w:sz w:val="20"/>
              </w:rPr>
            </w:pPr>
          </w:p>
        </w:tc>
        <w:tc>
          <w:tcPr>
            <w:tcW w:w="1230" w:type="dxa"/>
            <w:gridSpan w:val="3"/>
            <w:tcBorders>
              <w:top w:val="nil"/>
              <w:left w:val="nil"/>
              <w:bottom w:val="nil"/>
              <w:right w:val="nil"/>
            </w:tcBorders>
            <w:shd w:val="clear" w:color="auto" w:fill="auto"/>
            <w:noWrap/>
            <w:vAlign w:val="bottom"/>
            <w:hideMark/>
          </w:tcPr>
          <w:p w:rsidR="00DB2665" w:rsidRPr="00DB2665" w:rsidRDefault="00DB2665" w:rsidP="00DB2665">
            <w:pPr>
              <w:jc w:val="left"/>
              <w:rPr>
                <w:sz w:val="20"/>
              </w:rPr>
            </w:pPr>
          </w:p>
        </w:tc>
        <w:tc>
          <w:tcPr>
            <w:tcW w:w="1086" w:type="dxa"/>
            <w:gridSpan w:val="3"/>
            <w:tcBorders>
              <w:top w:val="nil"/>
              <w:left w:val="nil"/>
              <w:bottom w:val="nil"/>
              <w:right w:val="nil"/>
            </w:tcBorders>
            <w:shd w:val="clear" w:color="auto" w:fill="auto"/>
            <w:noWrap/>
            <w:vAlign w:val="bottom"/>
            <w:hideMark/>
          </w:tcPr>
          <w:p w:rsidR="00DB2665" w:rsidRPr="00DB2665" w:rsidRDefault="00DB2665" w:rsidP="00DB2665">
            <w:pPr>
              <w:jc w:val="left"/>
              <w:rPr>
                <w:sz w:val="20"/>
              </w:rPr>
            </w:pPr>
          </w:p>
        </w:tc>
        <w:tc>
          <w:tcPr>
            <w:tcW w:w="1146" w:type="dxa"/>
            <w:gridSpan w:val="3"/>
            <w:tcBorders>
              <w:top w:val="nil"/>
              <w:left w:val="nil"/>
              <w:bottom w:val="nil"/>
              <w:right w:val="nil"/>
            </w:tcBorders>
            <w:shd w:val="clear" w:color="auto" w:fill="auto"/>
            <w:noWrap/>
            <w:vAlign w:val="bottom"/>
            <w:hideMark/>
          </w:tcPr>
          <w:p w:rsidR="00DB2665" w:rsidRPr="00DB2665" w:rsidRDefault="00DB2665" w:rsidP="00DB2665">
            <w:pPr>
              <w:jc w:val="left"/>
              <w:rPr>
                <w:sz w:val="20"/>
              </w:rPr>
            </w:pPr>
          </w:p>
        </w:tc>
        <w:tc>
          <w:tcPr>
            <w:tcW w:w="1176" w:type="dxa"/>
            <w:gridSpan w:val="2"/>
            <w:tcBorders>
              <w:top w:val="nil"/>
              <w:left w:val="nil"/>
              <w:bottom w:val="nil"/>
              <w:right w:val="nil"/>
            </w:tcBorders>
            <w:shd w:val="clear" w:color="auto" w:fill="auto"/>
            <w:noWrap/>
            <w:vAlign w:val="bottom"/>
            <w:hideMark/>
          </w:tcPr>
          <w:p w:rsidR="00DB2665" w:rsidRPr="00DB2665" w:rsidRDefault="00DB2665" w:rsidP="00DB2665">
            <w:pPr>
              <w:jc w:val="left"/>
              <w:rPr>
                <w:sz w:val="20"/>
              </w:rPr>
            </w:pPr>
          </w:p>
        </w:tc>
        <w:tc>
          <w:tcPr>
            <w:tcW w:w="1021" w:type="dxa"/>
            <w:gridSpan w:val="3"/>
            <w:tcBorders>
              <w:top w:val="nil"/>
              <w:left w:val="nil"/>
              <w:bottom w:val="nil"/>
              <w:right w:val="nil"/>
            </w:tcBorders>
            <w:shd w:val="clear" w:color="auto" w:fill="auto"/>
            <w:noWrap/>
            <w:vAlign w:val="bottom"/>
            <w:hideMark/>
          </w:tcPr>
          <w:p w:rsidR="00DB2665" w:rsidRPr="00DB2665" w:rsidRDefault="00DB2665" w:rsidP="00DB2665">
            <w:pPr>
              <w:jc w:val="left"/>
              <w:rPr>
                <w:sz w:val="20"/>
              </w:rPr>
            </w:pPr>
          </w:p>
        </w:tc>
      </w:tr>
      <w:tr w:rsidR="00DB2665" w:rsidRPr="00DB2665" w:rsidTr="002C6D60">
        <w:trPr>
          <w:trHeight w:val="240"/>
        </w:trPr>
        <w:tc>
          <w:tcPr>
            <w:tcW w:w="4177" w:type="dxa"/>
            <w:gridSpan w:val="2"/>
            <w:tcBorders>
              <w:top w:val="nil"/>
              <w:left w:val="nil"/>
              <w:bottom w:val="nil"/>
              <w:right w:val="nil"/>
            </w:tcBorders>
            <w:shd w:val="clear" w:color="auto" w:fill="auto"/>
            <w:noWrap/>
            <w:vAlign w:val="bottom"/>
            <w:hideMark/>
          </w:tcPr>
          <w:p w:rsidR="00DB2665" w:rsidRPr="00DB2665" w:rsidRDefault="00DB2665" w:rsidP="00DB2665">
            <w:pPr>
              <w:jc w:val="left"/>
              <w:rPr>
                <w:rFonts w:ascii="Times New Roman CE" w:hAnsi="Times New Roman CE" w:cs="Times New Roman CE"/>
                <w:sz w:val="20"/>
              </w:rPr>
            </w:pPr>
            <w:r w:rsidRPr="00DB2665">
              <w:rPr>
                <w:rFonts w:ascii="Times New Roman CE" w:hAnsi="Times New Roman CE" w:cs="Times New Roman CE"/>
                <w:sz w:val="20"/>
              </w:rPr>
              <w:t>* 2012. évtől technológiai vezeték nélkül</w:t>
            </w:r>
          </w:p>
        </w:tc>
        <w:tc>
          <w:tcPr>
            <w:tcW w:w="1323" w:type="dxa"/>
            <w:gridSpan w:val="3"/>
            <w:tcBorders>
              <w:top w:val="nil"/>
              <w:left w:val="nil"/>
              <w:bottom w:val="nil"/>
              <w:right w:val="nil"/>
            </w:tcBorders>
            <w:shd w:val="clear" w:color="auto" w:fill="auto"/>
            <w:noWrap/>
            <w:vAlign w:val="bottom"/>
            <w:hideMark/>
          </w:tcPr>
          <w:p w:rsidR="00DB2665" w:rsidRPr="00DB2665" w:rsidRDefault="00DB2665" w:rsidP="00DB2665">
            <w:pPr>
              <w:jc w:val="left"/>
              <w:rPr>
                <w:rFonts w:ascii="Times New Roman CE" w:hAnsi="Times New Roman CE" w:cs="Times New Roman CE"/>
                <w:sz w:val="20"/>
              </w:rPr>
            </w:pPr>
          </w:p>
        </w:tc>
        <w:tc>
          <w:tcPr>
            <w:tcW w:w="1230" w:type="dxa"/>
            <w:gridSpan w:val="3"/>
            <w:tcBorders>
              <w:top w:val="nil"/>
              <w:left w:val="nil"/>
              <w:bottom w:val="nil"/>
              <w:right w:val="nil"/>
            </w:tcBorders>
            <w:shd w:val="clear" w:color="auto" w:fill="auto"/>
            <w:noWrap/>
            <w:vAlign w:val="bottom"/>
            <w:hideMark/>
          </w:tcPr>
          <w:p w:rsidR="00DB2665" w:rsidRPr="00DB2665" w:rsidRDefault="00DB2665" w:rsidP="00DB2665">
            <w:pPr>
              <w:jc w:val="left"/>
              <w:rPr>
                <w:sz w:val="20"/>
              </w:rPr>
            </w:pPr>
          </w:p>
        </w:tc>
        <w:tc>
          <w:tcPr>
            <w:tcW w:w="1086" w:type="dxa"/>
            <w:gridSpan w:val="3"/>
            <w:tcBorders>
              <w:top w:val="nil"/>
              <w:left w:val="nil"/>
              <w:bottom w:val="nil"/>
              <w:right w:val="nil"/>
            </w:tcBorders>
            <w:shd w:val="clear" w:color="auto" w:fill="auto"/>
            <w:noWrap/>
            <w:vAlign w:val="bottom"/>
            <w:hideMark/>
          </w:tcPr>
          <w:p w:rsidR="00DB2665" w:rsidRPr="00DB2665" w:rsidRDefault="00DB2665" w:rsidP="00DB2665">
            <w:pPr>
              <w:jc w:val="left"/>
              <w:rPr>
                <w:sz w:val="20"/>
              </w:rPr>
            </w:pPr>
          </w:p>
        </w:tc>
        <w:tc>
          <w:tcPr>
            <w:tcW w:w="1146" w:type="dxa"/>
            <w:gridSpan w:val="3"/>
            <w:tcBorders>
              <w:top w:val="nil"/>
              <w:left w:val="nil"/>
              <w:bottom w:val="nil"/>
              <w:right w:val="nil"/>
            </w:tcBorders>
            <w:shd w:val="clear" w:color="auto" w:fill="auto"/>
            <w:noWrap/>
            <w:vAlign w:val="bottom"/>
            <w:hideMark/>
          </w:tcPr>
          <w:p w:rsidR="00DB2665" w:rsidRPr="00DB2665" w:rsidRDefault="00DB2665" w:rsidP="00DB2665">
            <w:pPr>
              <w:jc w:val="left"/>
              <w:rPr>
                <w:sz w:val="20"/>
              </w:rPr>
            </w:pPr>
          </w:p>
        </w:tc>
        <w:tc>
          <w:tcPr>
            <w:tcW w:w="1127" w:type="dxa"/>
            <w:gridSpan w:val="3"/>
            <w:tcBorders>
              <w:top w:val="nil"/>
              <w:left w:val="nil"/>
              <w:bottom w:val="nil"/>
              <w:right w:val="nil"/>
            </w:tcBorders>
            <w:shd w:val="clear" w:color="auto" w:fill="auto"/>
            <w:noWrap/>
            <w:vAlign w:val="bottom"/>
            <w:hideMark/>
          </w:tcPr>
          <w:p w:rsidR="00DB2665" w:rsidRPr="00DB2665" w:rsidRDefault="00DB2665" w:rsidP="00DB2665">
            <w:pPr>
              <w:jc w:val="left"/>
              <w:rPr>
                <w:sz w:val="20"/>
              </w:rPr>
            </w:pPr>
          </w:p>
        </w:tc>
        <w:tc>
          <w:tcPr>
            <w:tcW w:w="1021" w:type="dxa"/>
            <w:gridSpan w:val="2"/>
            <w:tcBorders>
              <w:top w:val="nil"/>
              <w:left w:val="nil"/>
              <w:bottom w:val="nil"/>
              <w:right w:val="nil"/>
            </w:tcBorders>
            <w:shd w:val="clear" w:color="auto" w:fill="auto"/>
            <w:noWrap/>
            <w:vAlign w:val="bottom"/>
            <w:hideMark/>
          </w:tcPr>
          <w:p w:rsidR="00DB2665" w:rsidRPr="00DB2665" w:rsidRDefault="00DB2665" w:rsidP="00DB2665">
            <w:pPr>
              <w:jc w:val="left"/>
              <w:rPr>
                <w:sz w:val="20"/>
              </w:rPr>
            </w:pPr>
          </w:p>
        </w:tc>
      </w:tr>
      <w:tr w:rsidR="00DB2665" w:rsidRPr="00DB2665" w:rsidTr="002C6D60">
        <w:trPr>
          <w:gridAfter w:val="1"/>
          <w:wAfter w:w="366" w:type="dxa"/>
          <w:trHeight w:val="240"/>
        </w:trPr>
        <w:tc>
          <w:tcPr>
            <w:tcW w:w="9723" w:type="dxa"/>
            <w:gridSpan w:val="15"/>
            <w:tcBorders>
              <w:top w:val="nil"/>
              <w:left w:val="nil"/>
              <w:bottom w:val="nil"/>
              <w:right w:val="nil"/>
            </w:tcBorders>
            <w:shd w:val="clear" w:color="auto" w:fill="auto"/>
            <w:noWrap/>
            <w:vAlign w:val="bottom"/>
            <w:hideMark/>
          </w:tcPr>
          <w:p w:rsidR="00DB2665" w:rsidRPr="00DB2665" w:rsidRDefault="001E70D7" w:rsidP="00DB2665">
            <w:pPr>
              <w:jc w:val="left"/>
              <w:rPr>
                <w:sz w:val="20"/>
              </w:rPr>
            </w:pPr>
            <w:r>
              <w:rPr>
                <w:sz w:val="20"/>
              </w:rPr>
              <w:t xml:space="preserve">** 2013. évtől </w:t>
            </w:r>
            <w:r w:rsidR="00DB2665" w:rsidRPr="00DB2665">
              <w:rPr>
                <w:sz w:val="20"/>
              </w:rPr>
              <w:t>MEKH</w:t>
            </w:r>
            <w:r>
              <w:rPr>
                <w:sz w:val="20"/>
              </w:rPr>
              <w:t xml:space="preserve"> adatszolgáltatáshoz igazítva: </w:t>
            </w:r>
            <w:r w:rsidR="00DB2665" w:rsidRPr="00DB2665">
              <w:rPr>
                <w:sz w:val="20"/>
              </w:rPr>
              <w:t xml:space="preserve">szüneteltetett (ledugózott) felhasználóhelyek </w:t>
            </w:r>
          </w:p>
        </w:tc>
        <w:tc>
          <w:tcPr>
            <w:tcW w:w="1021" w:type="dxa"/>
            <w:gridSpan w:val="3"/>
            <w:tcBorders>
              <w:top w:val="nil"/>
              <w:left w:val="nil"/>
              <w:bottom w:val="nil"/>
              <w:right w:val="nil"/>
            </w:tcBorders>
            <w:shd w:val="clear" w:color="auto" w:fill="auto"/>
            <w:noWrap/>
            <w:vAlign w:val="bottom"/>
            <w:hideMark/>
          </w:tcPr>
          <w:p w:rsidR="00DB2665" w:rsidRPr="00DB2665" w:rsidRDefault="00DB2665" w:rsidP="00DB2665">
            <w:pPr>
              <w:jc w:val="left"/>
              <w:rPr>
                <w:sz w:val="20"/>
              </w:rPr>
            </w:pPr>
          </w:p>
        </w:tc>
      </w:tr>
      <w:tr w:rsidR="00DB2665" w:rsidRPr="00DB2665" w:rsidTr="002C6D60">
        <w:trPr>
          <w:trHeight w:val="240"/>
        </w:trPr>
        <w:tc>
          <w:tcPr>
            <w:tcW w:w="4177" w:type="dxa"/>
            <w:gridSpan w:val="2"/>
            <w:tcBorders>
              <w:top w:val="nil"/>
              <w:left w:val="nil"/>
              <w:bottom w:val="nil"/>
              <w:right w:val="nil"/>
            </w:tcBorders>
            <w:shd w:val="clear" w:color="auto" w:fill="auto"/>
            <w:noWrap/>
            <w:vAlign w:val="bottom"/>
            <w:hideMark/>
          </w:tcPr>
          <w:p w:rsidR="00DB2665" w:rsidRPr="00DB2665" w:rsidRDefault="00DB2665" w:rsidP="00025408">
            <w:pPr>
              <w:jc w:val="left"/>
              <w:rPr>
                <w:sz w:val="20"/>
              </w:rPr>
            </w:pPr>
            <w:r w:rsidRPr="00DB2665">
              <w:rPr>
                <w:sz w:val="20"/>
              </w:rPr>
              <w:t xml:space="preserve">     és a</w:t>
            </w:r>
            <w:r w:rsidR="00025408">
              <w:rPr>
                <w:sz w:val="20"/>
              </w:rPr>
              <w:t xml:space="preserve"> z</w:t>
            </w:r>
            <w:r w:rsidRPr="00DB2665">
              <w:rPr>
                <w:sz w:val="20"/>
              </w:rPr>
              <w:t>rt. saját felhasználóhelyei nélkül</w:t>
            </w:r>
          </w:p>
        </w:tc>
        <w:tc>
          <w:tcPr>
            <w:tcW w:w="1323" w:type="dxa"/>
            <w:gridSpan w:val="3"/>
            <w:tcBorders>
              <w:top w:val="nil"/>
              <w:left w:val="nil"/>
              <w:bottom w:val="nil"/>
              <w:right w:val="nil"/>
            </w:tcBorders>
            <w:shd w:val="clear" w:color="auto" w:fill="auto"/>
            <w:noWrap/>
            <w:vAlign w:val="bottom"/>
            <w:hideMark/>
          </w:tcPr>
          <w:p w:rsidR="00DB2665" w:rsidRPr="00DB2665" w:rsidRDefault="00DB2665" w:rsidP="00DB2665">
            <w:pPr>
              <w:jc w:val="left"/>
              <w:rPr>
                <w:sz w:val="20"/>
              </w:rPr>
            </w:pPr>
          </w:p>
        </w:tc>
        <w:tc>
          <w:tcPr>
            <w:tcW w:w="1230" w:type="dxa"/>
            <w:gridSpan w:val="3"/>
            <w:tcBorders>
              <w:top w:val="nil"/>
              <w:left w:val="nil"/>
              <w:bottom w:val="nil"/>
              <w:right w:val="nil"/>
            </w:tcBorders>
            <w:shd w:val="clear" w:color="auto" w:fill="auto"/>
            <w:noWrap/>
            <w:vAlign w:val="bottom"/>
            <w:hideMark/>
          </w:tcPr>
          <w:p w:rsidR="00DB2665" w:rsidRPr="00DB2665" w:rsidRDefault="00DB2665" w:rsidP="00DB2665">
            <w:pPr>
              <w:jc w:val="left"/>
              <w:rPr>
                <w:sz w:val="20"/>
              </w:rPr>
            </w:pPr>
          </w:p>
        </w:tc>
        <w:tc>
          <w:tcPr>
            <w:tcW w:w="1086" w:type="dxa"/>
            <w:gridSpan w:val="3"/>
            <w:tcBorders>
              <w:top w:val="nil"/>
              <w:left w:val="nil"/>
              <w:bottom w:val="nil"/>
              <w:right w:val="nil"/>
            </w:tcBorders>
            <w:shd w:val="clear" w:color="auto" w:fill="auto"/>
            <w:noWrap/>
            <w:vAlign w:val="bottom"/>
            <w:hideMark/>
          </w:tcPr>
          <w:p w:rsidR="00DB2665" w:rsidRPr="00DB2665" w:rsidRDefault="00DB2665" w:rsidP="00DB2665">
            <w:pPr>
              <w:jc w:val="left"/>
              <w:rPr>
                <w:sz w:val="20"/>
              </w:rPr>
            </w:pPr>
          </w:p>
        </w:tc>
        <w:tc>
          <w:tcPr>
            <w:tcW w:w="1146" w:type="dxa"/>
            <w:gridSpan w:val="3"/>
            <w:tcBorders>
              <w:top w:val="nil"/>
              <w:left w:val="nil"/>
              <w:bottom w:val="nil"/>
              <w:right w:val="nil"/>
            </w:tcBorders>
            <w:shd w:val="clear" w:color="auto" w:fill="auto"/>
            <w:noWrap/>
            <w:vAlign w:val="bottom"/>
            <w:hideMark/>
          </w:tcPr>
          <w:p w:rsidR="00DB2665" w:rsidRPr="00DB2665" w:rsidRDefault="00DB2665" w:rsidP="00DB2665">
            <w:pPr>
              <w:jc w:val="left"/>
              <w:rPr>
                <w:sz w:val="20"/>
              </w:rPr>
            </w:pPr>
          </w:p>
        </w:tc>
        <w:tc>
          <w:tcPr>
            <w:tcW w:w="1127" w:type="dxa"/>
            <w:gridSpan w:val="3"/>
            <w:tcBorders>
              <w:top w:val="nil"/>
              <w:left w:val="nil"/>
              <w:bottom w:val="nil"/>
              <w:right w:val="nil"/>
            </w:tcBorders>
            <w:shd w:val="clear" w:color="auto" w:fill="auto"/>
            <w:noWrap/>
            <w:vAlign w:val="bottom"/>
            <w:hideMark/>
          </w:tcPr>
          <w:p w:rsidR="00DB2665" w:rsidRPr="00DB2665" w:rsidRDefault="00DB2665" w:rsidP="00DB2665">
            <w:pPr>
              <w:jc w:val="left"/>
              <w:rPr>
                <w:sz w:val="20"/>
              </w:rPr>
            </w:pPr>
          </w:p>
        </w:tc>
        <w:tc>
          <w:tcPr>
            <w:tcW w:w="1021" w:type="dxa"/>
            <w:gridSpan w:val="2"/>
            <w:tcBorders>
              <w:top w:val="nil"/>
              <w:left w:val="nil"/>
              <w:bottom w:val="nil"/>
              <w:right w:val="nil"/>
            </w:tcBorders>
            <w:shd w:val="clear" w:color="auto" w:fill="auto"/>
            <w:noWrap/>
            <w:vAlign w:val="bottom"/>
            <w:hideMark/>
          </w:tcPr>
          <w:p w:rsidR="00DB2665" w:rsidRPr="00DB2665" w:rsidRDefault="00DB2665" w:rsidP="00DB2665">
            <w:pPr>
              <w:jc w:val="left"/>
              <w:rPr>
                <w:sz w:val="20"/>
              </w:rPr>
            </w:pPr>
          </w:p>
        </w:tc>
      </w:tr>
    </w:tbl>
    <w:p w:rsidR="00702CF8" w:rsidRDefault="00702CF8">
      <w:r>
        <w:br w:type="page"/>
      </w:r>
    </w:p>
    <w:tbl>
      <w:tblPr>
        <w:tblW w:w="10744" w:type="dxa"/>
        <w:tblCellMar>
          <w:left w:w="70" w:type="dxa"/>
          <w:right w:w="70" w:type="dxa"/>
        </w:tblCellMar>
        <w:tblLook w:val="04A0" w:firstRow="1" w:lastRow="0" w:firstColumn="1" w:lastColumn="0" w:noHBand="0" w:noVBand="1"/>
      </w:tblPr>
      <w:tblGrid>
        <w:gridCol w:w="9723"/>
        <w:gridCol w:w="1021"/>
      </w:tblGrid>
      <w:tr w:rsidR="00DB2665" w:rsidRPr="00DB2665" w:rsidTr="00702CF8">
        <w:trPr>
          <w:trHeight w:val="255"/>
        </w:trPr>
        <w:tc>
          <w:tcPr>
            <w:tcW w:w="9723" w:type="dxa"/>
            <w:tcBorders>
              <w:top w:val="nil"/>
              <w:left w:val="nil"/>
              <w:bottom w:val="nil"/>
              <w:right w:val="nil"/>
            </w:tcBorders>
            <w:shd w:val="clear" w:color="auto" w:fill="auto"/>
            <w:noWrap/>
            <w:vAlign w:val="bottom"/>
            <w:hideMark/>
          </w:tcPr>
          <w:p w:rsidR="00BB3AAA" w:rsidRPr="00702CF8" w:rsidRDefault="00BB3AAA" w:rsidP="00DB2665">
            <w:pPr>
              <w:jc w:val="left"/>
              <w:rPr>
                <w:rFonts w:ascii="Times New Roman CE" w:hAnsi="Times New Roman CE" w:cs="Times New Roman CE"/>
                <w:sz w:val="16"/>
                <w:szCs w:val="16"/>
              </w:rPr>
            </w:pPr>
          </w:p>
          <w:p w:rsidR="002C6D60" w:rsidRPr="00702CF8" w:rsidRDefault="002C6D60" w:rsidP="00DB2665">
            <w:pPr>
              <w:jc w:val="left"/>
              <w:rPr>
                <w:rFonts w:ascii="Times New Roman CE" w:hAnsi="Times New Roman CE" w:cs="Times New Roman CE"/>
                <w:sz w:val="16"/>
                <w:szCs w:val="16"/>
              </w:rPr>
            </w:pPr>
          </w:p>
          <w:tbl>
            <w:tblPr>
              <w:tblW w:w="9580" w:type="dxa"/>
              <w:tblCellMar>
                <w:left w:w="70" w:type="dxa"/>
                <w:right w:w="70" w:type="dxa"/>
              </w:tblCellMar>
              <w:tblLook w:val="04A0" w:firstRow="1" w:lastRow="0" w:firstColumn="1" w:lastColumn="0" w:noHBand="0" w:noVBand="1"/>
            </w:tblPr>
            <w:tblGrid>
              <w:gridCol w:w="3253"/>
              <w:gridCol w:w="1167"/>
              <w:gridCol w:w="1095"/>
              <w:gridCol w:w="972"/>
              <w:gridCol w:w="1027"/>
              <w:gridCol w:w="1033"/>
              <w:gridCol w:w="1033"/>
            </w:tblGrid>
            <w:tr w:rsidR="002C6D60" w:rsidRPr="002C6D60" w:rsidTr="002C6D60">
              <w:trPr>
                <w:trHeight w:val="289"/>
              </w:trPr>
              <w:tc>
                <w:tcPr>
                  <w:tcW w:w="3253" w:type="dxa"/>
                  <w:vMerge w:val="restart"/>
                  <w:tcBorders>
                    <w:top w:val="single" w:sz="4" w:space="0" w:color="auto"/>
                    <w:left w:val="nil"/>
                    <w:bottom w:val="single" w:sz="4" w:space="0" w:color="000000"/>
                    <w:right w:val="nil"/>
                  </w:tcBorders>
                  <w:shd w:val="clear" w:color="auto" w:fill="auto"/>
                  <w:vAlign w:val="center"/>
                  <w:hideMark/>
                </w:tcPr>
                <w:p w:rsidR="002C6D60" w:rsidRPr="002C6D60" w:rsidRDefault="002C6D60" w:rsidP="002C6D60">
                  <w:pPr>
                    <w:jc w:val="center"/>
                    <w:rPr>
                      <w:rFonts w:ascii="Times New Roman CE" w:hAnsi="Times New Roman CE" w:cs="Times New Roman CE"/>
                      <w:i/>
                      <w:iCs/>
                      <w:sz w:val="22"/>
                      <w:szCs w:val="22"/>
                    </w:rPr>
                  </w:pPr>
                  <w:r w:rsidRPr="002C6D60">
                    <w:rPr>
                      <w:rFonts w:ascii="Times New Roman CE" w:hAnsi="Times New Roman CE" w:cs="Times New Roman CE"/>
                      <w:i/>
                      <w:iCs/>
                      <w:sz w:val="22"/>
                      <w:szCs w:val="22"/>
                    </w:rPr>
                    <w:t>Megnevezés</w:t>
                  </w:r>
                </w:p>
              </w:tc>
              <w:tc>
                <w:tcPr>
                  <w:tcW w:w="1167" w:type="dxa"/>
                  <w:vMerge w:val="restart"/>
                  <w:tcBorders>
                    <w:top w:val="single" w:sz="4" w:space="0" w:color="auto"/>
                    <w:left w:val="nil"/>
                    <w:bottom w:val="single" w:sz="4" w:space="0" w:color="000000"/>
                    <w:right w:val="nil"/>
                  </w:tcBorders>
                  <w:shd w:val="clear" w:color="auto" w:fill="auto"/>
                  <w:vAlign w:val="center"/>
                  <w:hideMark/>
                </w:tcPr>
                <w:p w:rsidR="002C6D60" w:rsidRPr="002C6D60" w:rsidRDefault="002C6D60" w:rsidP="002C6D60">
                  <w:pPr>
                    <w:jc w:val="center"/>
                    <w:rPr>
                      <w:rFonts w:ascii="Times New Roman CE" w:hAnsi="Times New Roman CE" w:cs="Times New Roman CE"/>
                      <w:i/>
                      <w:iCs/>
                      <w:sz w:val="21"/>
                      <w:szCs w:val="21"/>
                    </w:rPr>
                  </w:pPr>
                  <w:r w:rsidRPr="002C6D60">
                    <w:rPr>
                      <w:rFonts w:ascii="Times New Roman CE" w:hAnsi="Times New Roman CE" w:cs="Times New Roman CE"/>
                      <w:i/>
                      <w:iCs/>
                      <w:sz w:val="21"/>
                      <w:szCs w:val="21"/>
                    </w:rPr>
                    <w:t>Mértékegység</w:t>
                  </w:r>
                </w:p>
              </w:tc>
              <w:tc>
                <w:tcPr>
                  <w:tcW w:w="1095" w:type="dxa"/>
                  <w:vMerge w:val="restart"/>
                  <w:tcBorders>
                    <w:top w:val="single" w:sz="4" w:space="0" w:color="auto"/>
                    <w:left w:val="nil"/>
                    <w:bottom w:val="single" w:sz="4" w:space="0" w:color="000000"/>
                    <w:right w:val="nil"/>
                  </w:tcBorders>
                  <w:shd w:val="clear" w:color="auto" w:fill="auto"/>
                  <w:vAlign w:val="center"/>
                  <w:hideMark/>
                </w:tcPr>
                <w:p w:rsidR="002C6D60" w:rsidRPr="002C6D60" w:rsidRDefault="002C6D60" w:rsidP="002C6D60">
                  <w:pPr>
                    <w:jc w:val="center"/>
                    <w:rPr>
                      <w:rFonts w:ascii="Times New Roman CE" w:hAnsi="Times New Roman CE" w:cs="Times New Roman CE"/>
                      <w:i/>
                      <w:iCs/>
                      <w:sz w:val="21"/>
                      <w:szCs w:val="21"/>
                    </w:rPr>
                  </w:pPr>
                  <w:r w:rsidRPr="002C6D60">
                    <w:rPr>
                      <w:rFonts w:ascii="Times New Roman CE" w:hAnsi="Times New Roman CE" w:cs="Times New Roman CE"/>
                      <w:i/>
                      <w:iCs/>
                      <w:sz w:val="21"/>
                      <w:szCs w:val="21"/>
                    </w:rPr>
                    <w:t>2021. évi tény</w:t>
                  </w:r>
                </w:p>
              </w:tc>
              <w:tc>
                <w:tcPr>
                  <w:tcW w:w="972" w:type="dxa"/>
                  <w:vMerge w:val="restart"/>
                  <w:tcBorders>
                    <w:top w:val="single" w:sz="4" w:space="0" w:color="auto"/>
                    <w:left w:val="nil"/>
                    <w:bottom w:val="single" w:sz="4" w:space="0" w:color="000000"/>
                    <w:right w:val="nil"/>
                  </w:tcBorders>
                  <w:shd w:val="clear" w:color="auto" w:fill="auto"/>
                  <w:vAlign w:val="center"/>
                  <w:hideMark/>
                </w:tcPr>
                <w:p w:rsidR="002C6D60" w:rsidRPr="002C6D60" w:rsidRDefault="002C6D60" w:rsidP="002C6D60">
                  <w:pPr>
                    <w:jc w:val="center"/>
                    <w:rPr>
                      <w:rFonts w:ascii="Times New Roman CE" w:hAnsi="Times New Roman CE" w:cs="Times New Roman CE"/>
                      <w:i/>
                      <w:iCs/>
                      <w:sz w:val="21"/>
                      <w:szCs w:val="21"/>
                    </w:rPr>
                  </w:pPr>
                  <w:r w:rsidRPr="002C6D60">
                    <w:rPr>
                      <w:rFonts w:ascii="Times New Roman CE" w:hAnsi="Times New Roman CE" w:cs="Times New Roman CE"/>
                      <w:i/>
                      <w:iCs/>
                      <w:sz w:val="21"/>
                      <w:szCs w:val="21"/>
                    </w:rPr>
                    <w:t>2022. évi</w:t>
                  </w:r>
                  <w:r w:rsidRPr="002C6D60">
                    <w:rPr>
                      <w:rFonts w:ascii="Times New Roman CE" w:hAnsi="Times New Roman CE" w:cs="Times New Roman CE"/>
                      <w:i/>
                      <w:iCs/>
                      <w:sz w:val="21"/>
                      <w:szCs w:val="21"/>
                    </w:rPr>
                    <w:br/>
                    <w:t>terv</w:t>
                  </w:r>
                </w:p>
              </w:tc>
              <w:tc>
                <w:tcPr>
                  <w:tcW w:w="1027" w:type="dxa"/>
                  <w:vMerge w:val="restart"/>
                  <w:tcBorders>
                    <w:top w:val="single" w:sz="4" w:space="0" w:color="auto"/>
                    <w:left w:val="nil"/>
                    <w:bottom w:val="single" w:sz="4" w:space="0" w:color="000000"/>
                    <w:right w:val="nil"/>
                  </w:tcBorders>
                  <w:shd w:val="clear" w:color="auto" w:fill="auto"/>
                  <w:vAlign w:val="center"/>
                  <w:hideMark/>
                </w:tcPr>
                <w:p w:rsidR="002C6D60" w:rsidRPr="002C6D60" w:rsidRDefault="002C6D60" w:rsidP="002C6D60">
                  <w:pPr>
                    <w:jc w:val="center"/>
                    <w:rPr>
                      <w:rFonts w:ascii="Times New Roman CE" w:hAnsi="Times New Roman CE" w:cs="Times New Roman CE"/>
                      <w:i/>
                      <w:iCs/>
                      <w:sz w:val="21"/>
                      <w:szCs w:val="21"/>
                    </w:rPr>
                  </w:pPr>
                  <w:r w:rsidRPr="002C6D60">
                    <w:rPr>
                      <w:rFonts w:ascii="Times New Roman CE" w:hAnsi="Times New Roman CE" w:cs="Times New Roman CE"/>
                      <w:i/>
                      <w:iCs/>
                      <w:sz w:val="21"/>
                      <w:szCs w:val="21"/>
                    </w:rPr>
                    <w:t>2022. évi tény</w:t>
                  </w:r>
                </w:p>
              </w:tc>
              <w:tc>
                <w:tcPr>
                  <w:tcW w:w="1033" w:type="dxa"/>
                  <w:vMerge w:val="restart"/>
                  <w:tcBorders>
                    <w:top w:val="single" w:sz="4" w:space="0" w:color="auto"/>
                    <w:left w:val="nil"/>
                    <w:bottom w:val="single" w:sz="4" w:space="0" w:color="000000"/>
                    <w:right w:val="nil"/>
                  </w:tcBorders>
                  <w:shd w:val="clear" w:color="auto" w:fill="auto"/>
                  <w:vAlign w:val="center"/>
                  <w:hideMark/>
                </w:tcPr>
                <w:p w:rsidR="002C6D60" w:rsidRPr="002C6D60" w:rsidRDefault="002C6D60" w:rsidP="002C6D60">
                  <w:pPr>
                    <w:jc w:val="center"/>
                    <w:rPr>
                      <w:rFonts w:ascii="Times New Roman CE" w:hAnsi="Times New Roman CE" w:cs="Times New Roman CE"/>
                      <w:i/>
                      <w:iCs/>
                      <w:sz w:val="21"/>
                      <w:szCs w:val="21"/>
                    </w:rPr>
                  </w:pPr>
                  <w:r w:rsidRPr="002C6D60">
                    <w:rPr>
                      <w:rFonts w:ascii="Times New Roman CE" w:hAnsi="Times New Roman CE" w:cs="Times New Roman CE"/>
                      <w:i/>
                      <w:iCs/>
                      <w:sz w:val="21"/>
                      <w:szCs w:val="21"/>
                    </w:rPr>
                    <w:t xml:space="preserve">2022.tény/ </w:t>
                  </w:r>
                  <w:r w:rsidRPr="002C6D60">
                    <w:rPr>
                      <w:rFonts w:ascii="Times New Roman CE" w:hAnsi="Times New Roman CE" w:cs="Times New Roman CE"/>
                      <w:i/>
                      <w:iCs/>
                      <w:sz w:val="21"/>
                      <w:szCs w:val="21"/>
                    </w:rPr>
                    <w:br/>
                    <w:t>2021.tény</w:t>
                  </w:r>
                </w:p>
              </w:tc>
              <w:tc>
                <w:tcPr>
                  <w:tcW w:w="1033" w:type="dxa"/>
                  <w:vMerge w:val="restart"/>
                  <w:tcBorders>
                    <w:top w:val="single" w:sz="4" w:space="0" w:color="auto"/>
                    <w:left w:val="nil"/>
                    <w:bottom w:val="single" w:sz="4" w:space="0" w:color="000000"/>
                    <w:right w:val="nil"/>
                  </w:tcBorders>
                  <w:shd w:val="clear" w:color="auto" w:fill="auto"/>
                  <w:vAlign w:val="center"/>
                  <w:hideMark/>
                </w:tcPr>
                <w:p w:rsidR="002C6D60" w:rsidRPr="002C6D60" w:rsidRDefault="002C6D60" w:rsidP="002C6D60">
                  <w:pPr>
                    <w:jc w:val="center"/>
                    <w:rPr>
                      <w:rFonts w:ascii="Times New Roman CE" w:hAnsi="Times New Roman CE" w:cs="Times New Roman CE"/>
                      <w:i/>
                      <w:iCs/>
                      <w:sz w:val="21"/>
                      <w:szCs w:val="21"/>
                    </w:rPr>
                  </w:pPr>
                  <w:r w:rsidRPr="002C6D60">
                    <w:rPr>
                      <w:rFonts w:ascii="Times New Roman CE" w:hAnsi="Times New Roman CE" w:cs="Times New Roman CE"/>
                      <w:i/>
                      <w:iCs/>
                      <w:sz w:val="21"/>
                      <w:szCs w:val="21"/>
                    </w:rPr>
                    <w:t>2022.tény/</w:t>
                  </w:r>
                  <w:r w:rsidRPr="002C6D60">
                    <w:rPr>
                      <w:rFonts w:ascii="Times New Roman CE" w:hAnsi="Times New Roman CE" w:cs="Times New Roman CE"/>
                      <w:i/>
                      <w:iCs/>
                      <w:sz w:val="21"/>
                      <w:szCs w:val="21"/>
                    </w:rPr>
                    <w:br/>
                    <w:t xml:space="preserve"> 2022.terv</w:t>
                  </w:r>
                </w:p>
              </w:tc>
            </w:tr>
            <w:tr w:rsidR="002C6D60" w:rsidRPr="002C6D60" w:rsidTr="002C6D60">
              <w:trPr>
                <w:trHeight w:val="276"/>
              </w:trPr>
              <w:tc>
                <w:tcPr>
                  <w:tcW w:w="3253" w:type="dxa"/>
                  <w:vMerge/>
                  <w:tcBorders>
                    <w:top w:val="single" w:sz="4" w:space="0" w:color="auto"/>
                    <w:left w:val="nil"/>
                    <w:bottom w:val="single" w:sz="4" w:space="0" w:color="000000"/>
                    <w:right w:val="nil"/>
                  </w:tcBorders>
                  <w:vAlign w:val="center"/>
                  <w:hideMark/>
                </w:tcPr>
                <w:p w:rsidR="002C6D60" w:rsidRPr="002C6D60" w:rsidRDefault="002C6D60" w:rsidP="002C6D60">
                  <w:pPr>
                    <w:jc w:val="left"/>
                    <w:rPr>
                      <w:rFonts w:ascii="Times New Roman CE" w:hAnsi="Times New Roman CE" w:cs="Times New Roman CE"/>
                      <w:i/>
                      <w:iCs/>
                      <w:sz w:val="22"/>
                      <w:szCs w:val="22"/>
                    </w:rPr>
                  </w:pPr>
                </w:p>
              </w:tc>
              <w:tc>
                <w:tcPr>
                  <w:tcW w:w="1167" w:type="dxa"/>
                  <w:vMerge/>
                  <w:tcBorders>
                    <w:top w:val="single" w:sz="4" w:space="0" w:color="auto"/>
                    <w:left w:val="nil"/>
                    <w:bottom w:val="single" w:sz="4" w:space="0" w:color="000000"/>
                    <w:right w:val="nil"/>
                  </w:tcBorders>
                  <w:vAlign w:val="center"/>
                  <w:hideMark/>
                </w:tcPr>
                <w:p w:rsidR="002C6D60" w:rsidRPr="002C6D60" w:rsidRDefault="002C6D60" w:rsidP="002C6D60">
                  <w:pPr>
                    <w:jc w:val="left"/>
                    <w:rPr>
                      <w:rFonts w:ascii="Times New Roman CE" w:hAnsi="Times New Roman CE" w:cs="Times New Roman CE"/>
                      <w:i/>
                      <w:iCs/>
                      <w:sz w:val="21"/>
                      <w:szCs w:val="21"/>
                    </w:rPr>
                  </w:pPr>
                </w:p>
              </w:tc>
              <w:tc>
                <w:tcPr>
                  <w:tcW w:w="1095" w:type="dxa"/>
                  <w:vMerge/>
                  <w:tcBorders>
                    <w:top w:val="single" w:sz="4" w:space="0" w:color="auto"/>
                    <w:left w:val="nil"/>
                    <w:bottom w:val="single" w:sz="4" w:space="0" w:color="000000"/>
                    <w:right w:val="nil"/>
                  </w:tcBorders>
                  <w:vAlign w:val="center"/>
                  <w:hideMark/>
                </w:tcPr>
                <w:p w:rsidR="002C6D60" w:rsidRPr="002C6D60" w:rsidRDefault="002C6D60" w:rsidP="002C6D60">
                  <w:pPr>
                    <w:jc w:val="left"/>
                    <w:rPr>
                      <w:rFonts w:ascii="Times New Roman CE" w:hAnsi="Times New Roman CE" w:cs="Times New Roman CE"/>
                      <w:i/>
                      <w:iCs/>
                      <w:sz w:val="21"/>
                      <w:szCs w:val="21"/>
                    </w:rPr>
                  </w:pPr>
                </w:p>
              </w:tc>
              <w:tc>
                <w:tcPr>
                  <w:tcW w:w="972" w:type="dxa"/>
                  <w:vMerge/>
                  <w:tcBorders>
                    <w:top w:val="single" w:sz="4" w:space="0" w:color="auto"/>
                    <w:left w:val="nil"/>
                    <w:bottom w:val="single" w:sz="4" w:space="0" w:color="000000"/>
                    <w:right w:val="nil"/>
                  </w:tcBorders>
                  <w:vAlign w:val="center"/>
                  <w:hideMark/>
                </w:tcPr>
                <w:p w:rsidR="002C6D60" w:rsidRPr="002C6D60" w:rsidRDefault="002C6D60" w:rsidP="002C6D60">
                  <w:pPr>
                    <w:jc w:val="left"/>
                    <w:rPr>
                      <w:rFonts w:ascii="Times New Roman CE" w:hAnsi="Times New Roman CE" w:cs="Times New Roman CE"/>
                      <w:i/>
                      <w:iCs/>
                      <w:sz w:val="21"/>
                      <w:szCs w:val="21"/>
                    </w:rPr>
                  </w:pPr>
                </w:p>
              </w:tc>
              <w:tc>
                <w:tcPr>
                  <w:tcW w:w="1027" w:type="dxa"/>
                  <w:vMerge/>
                  <w:tcBorders>
                    <w:top w:val="single" w:sz="4" w:space="0" w:color="auto"/>
                    <w:left w:val="nil"/>
                    <w:bottom w:val="single" w:sz="4" w:space="0" w:color="000000"/>
                    <w:right w:val="nil"/>
                  </w:tcBorders>
                  <w:vAlign w:val="center"/>
                  <w:hideMark/>
                </w:tcPr>
                <w:p w:rsidR="002C6D60" w:rsidRPr="002C6D60" w:rsidRDefault="002C6D60" w:rsidP="002C6D60">
                  <w:pPr>
                    <w:jc w:val="left"/>
                    <w:rPr>
                      <w:rFonts w:ascii="Times New Roman CE" w:hAnsi="Times New Roman CE" w:cs="Times New Roman CE"/>
                      <w:i/>
                      <w:iCs/>
                      <w:sz w:val="21"/>
                      <w:szCs w:val="21"/>
                    </w:rPr>
                  </w:pPr>
                </w:p>
              </w:tc>
              <w:tc>
                <w:tcPr>
                  <w:tcW w:w="1033" w:type="dxa"/>
                  <w:vMerge/>
                  <w:tcBorders>
                    <w:top w:val="single" w:sz="4" w:space="0" w:color="auto"/>
                    <w:left w:val="nil"/>
                    <w:bottom w:val="single" w:sz="4" w:space="0" w:color="000000"/>
                    <w:right w:val="nil"/>
                  </w:tcBorders>
                  <w:vAlign w:val="center"/>
                  <w:hideMark/>
                </w:tcPr>
                <w:p w:rsidR="002C6D60" w:rsidRPr="002C6D60" w:rsidRDefault="002C6D60" w:rsidP="002C6D60">
                  <w:pPr>
                    <w:jc w:val="left"/>
                    <w:rPr>
                      <w:rFonts w:ascii="Times New Roman CE" w:hAnsi="Times New Roman CE" w:cs="Times New Roman CE"/>
                      <w:i/>
                      <w:iCs/>
                      <w:sz w:val="21"/>
                      <w:szCs w:val="21"/>
                    </w:rPr>
                  </w:pPr>
                </w:p>
              </w:tc>
              <w:tc>
                <w:tcPr>
                  <w:tcW w:w="1033" w:type="dxa"/>
                  <w:vMerge/>
                  <w:tcBorders>
                    <w:top w:val="single" w:sz="4" w:space="0" w:color="auto"/>
                    <w:left w:val="nil"/>
                    <w:bottom w:val="single" w:sz="4" w:space="0" w:color="000000"/>
                    <w:right w:val="nil"/>
                  </w:tcBorders>
                  <w:vAlign w:val="center"/>
                  <w:hideMark/>
                </w:tcPr>
                <w:p w:rsidR="002C6D60" w:rsidRPr="002C6D60" w:rsidRDefault="002C6D60" w:rsidP="002C6D60">
                  <w:pPr>
                    <w:jc w:val="left"/>
                    <w:rPr>
                      <w:rFonts w:ascii="Times New Roman CE" w:hAnsi="Times New Roman CE" w:cs="Times New Roman CE"/>
                      <w:i/>
                      <w:iCs/>
                      <w:sz w:val="21"/>
                      <w:szCs w:val="21"/>
                    </w:rPr>
                  </w:pPr>
                </w:p>
              </w:tc>
            </w:tr>
            <w:tr w:rsidR="002C6D60" w:rsidRPr="002C6D60" w:rsidTr="002C6D60">
              <w:trPr>
                <w:trHeight w:val="282"/>
              </w:trPr>
              <w:tc>
                <w:tcPr>
                  <w:tcW w:w="3253" w:type="dxa"/>
                  <w:tcBorders>
                    <w:top w:val="nil"/>
                    <w:left w:val="nil"/>
                    <w:bottom w:val="nil"/>
                    <w:right w:val="nil"/>
                  </w:tcBorders>
                  <w:shd w:val="clear" w:color="auto" w:fill="auto"/>
                  <w:noWrap/>
                  <w:vAlign w:val="bottom"/>
                  <w:hideMark/>
                </w:tcPr>
                <w:p w:rsidR="002C6D60" w:rsidRPr="002C6D60" w:rsidRDefault="002C6D60" w:rsidP="002C6D60">
                  <w:pPr>
                    <w:jc w:val="left"/>
                    <w:rPr>
                      <w:rFonts w:ascii="Times New Roman CE" w:hAnsi="Times New Roman CE" w:cs="Times New Roman CE"/>
                      <w:b/>
                      <w:bCs/>
                      <w:i/>
                      <w:iCs/>
                      <w:sz w:val="22"/>
                      <w:szCs w:val="22"/>
                    </w:rPr>
                  </w:pPr>
                  <w:r w:rsidRPr="002C6D60">
                    <w:rPr>
                      <w:rFonts w:ascii="Times New Roman CE" w:hAnsi="Times New Roman CE" w:cs="Times New Roman CE"/>
                      <w:b/>
                      <w:bCs/>
                      <w:i/>
                      <w:iCs/>
                      <w:sz w:val="22"/>
                      <w:szCs w:val="22"/>
                    </w:rPr>
                    <w:t>Ipari víz termelés és -értékesítés</w:t>
                  </w:r>
                </w:p>
              </w:tc>
              <w:tc>
                <w:tcPr>
                  <w:tcW w:w="1167" w:type="dxa"/>
                  <w:tcBorders>
                    <w:top w:val="nil"/>
                    <w:left w:val="nil"/>
                    <w:bottom w:val="nil"/>
                    <w:right w:val="nil"/>
                  </w:tcBorders>
                  <w:shd w:val="clear" w:color="auto" w:fill="auto"/>
                  <w:noWrap/>
                  <w:vAlign w:val="bottom"/>
                  <w:hideMark/>
                </w:tcPr>
                <w:p w:rsidR="002C6D60" w:rsidRPr="002C6D60" w:rsidRDefault="002C6D60" w:rsidP="002C6D60">
                  <w:pPr>
                    <w:jc w:val="left"/>
                    <w:rPr>
                      <w:rFonts w:ascii="Times New Roman CE" w:hAnsi="Times New Roman CE" w:cs="Times New Roman CE"/>
                      <w:b/>
                      <w:bCs/>
                      <w:i/>
                      <w:iCs/>
                      <w:sz w:val="22"/>
                      <w:szCs w:val="22"/>
                    </w:rPr>
                  </w:pPr>
                </w:p>
              </w:tc>
              <w:tc>
                <w:tcPr>
                  <w:tcW w:w="1095" w:type="dxa"/>
                  <w:tcBorders>
                    <w:top w:val="nil"/>
                    <w:left w:val="nil"/>
                    <w:bottom w:val="nil"/>
                    <w:right w:val="nil"/>
                  </w:tcBorders>
                  <w:shd w:val="clear" w:color="auto" w:fill="auto"/>
                  <w:noWrap/>
                  <w:vAlign w:val="bottom"/>
                  <w:hideMark/>
                </w:tcPr>
                <w:p w:rsidR="002C6D60" w:rsidRPr="002C6D60" w:rsidRDefault="002C6D60" w:rsidP="002C6D60">
                  <w:pPr>
                    <w:jc w:val="center"/>
                    <w:rPr>
                      <w:sz w:val="20"/>
                    </w:rPr>
                  </w:pPr>
                </w:p>
              </w:tc>
              <w:tc>
                <w:tcPr>
                  <w:tcW w:w="972" w:type="dxa"/>
                  <w:tcBorders>
                    <w:top w:val="nil"/>
                    <w:left w:val="nil"/>
                    <w:bottom w:val="nil"/>
                    <w:right w:val="nil"/>
                  </w:tcBorders>
                  <w:shd w:val="clear" w:color="auto" w:fill="auto"/>
                  <w:noWrap/>
                  <w:vAlign w:val="bottom"/>
                  <w:hideMark/>
                </w:tcPr>
                <w:p w:rsidR="002C6D60" w:rsidRPr="002C6D60" w:rsidRDefault="002C6D60" w:rsidP="002C6D60">
                  <w:pPr>
                    <w:jc w:val="left"/>
                    <w:rPr>
                      <w:sz w:val="20"/>
                    </w:rPr>
                  </w:pPr>
                </w:p>
              </w:tc>
              <w:tc>
                <w:tcPr>
                  <w:tcW w:w="1027" w:type="dxa"/>
                  <w:tcBorders>
                    <w:top w:val="nil"/>
                    <w:left w:val="nil"/>
                    <w:bottom w:val="nil"/>
                    <w:right w:val="nil"/>
                  </w:tcBorders>
                  <w:shd w:val="clear" w:color="auto" w:fill="auto"/>
                  <w:noWrap/>
                  <w:vAlign w:val="bottom"/>
                  <w:hideMark/>
                </w:tcPr>
                <w:p w:rsidR="002C6D60" w:rsidRPr="002C6D60" w:rsidRDefault="002C6D60" w:rsidP="002C6D60">
                  <w:pPr>
                    <w:jc w:val="left"/>
                    <w:rPr>
                      <w:sz w:val="20"/>
                    </w:rPr>
                  </w:pPr>
                </w:p>
              </w:tc>
              <w:tc>
                <w:tcPr>
                  <w:tcW w:w="1033" w:type="dxa"/>
                  <w:tcBorders>
                    <w:top w:val="nil"/>
                    <w:left w:val="nil"/>
                    <w:bottom w:val="nil"/>
                    <w:right w:val="nil"/>
                  </w:tcBorders>
                  <w:shd w:val="clear" w:color="auto" w:fill="auto"/>
                  <w:noWrap/>
                  <w:vAlign w:val="bottom"/>
                  <w:hideMark/>
                </w:tcPr>
                <w:p w:rsidR="002C6D60" w:rsidRPr="002C6D60" w:rsidRDefault="002C6D60" w:rsidP="002C6D60">
                  <w:pPr>
                    <w:jc w:val="left"/>
                    <w:rPr>
                      <w:sz w:val="20"/>
                    </w:rPr>
                  </w:pPr>
                </w:p>
              </w:tc>
              <w:tc>
                <w:tcPr>
                  <w:tcW w:w="1033" w:type="dxa"/>
                  <w:tcBorders>
                    <w:top w:val="nil"/>
                    <w:left w:val="nil"/>
                    <w:bottom w:val="nil"/>
                    <w:right w:val="nil"/>
                  </w:tcBorders>
                  <w:shd w:val="clear" w:color="auto" w:fill="auto"/>
                  <w:noWrap/>
                  <w:vAlign w:val="bottom"/>
                  <w:hideMark/>
                </w:tcPr>
                <w:p w:rsidR="002C6D60" w:rsidRPr="002C6D60" w:rsidRDefault="002C6D60" w:rsidP="002C6D60">
                  <w:pPr>
                    <w:jc w:val="left"/>
                    <w:rPr>
                      <w:sz w:val="20"/>
                    </w:rPr>
                  </w:pPr>
                </w:p>
              </w:tc>
            </w:tr>
            <w:tr w:rsidR="002C6D60" w:rsidRPr="002C6D60" w:rsidTr="002C6D60">
              <w:trPr>
                <w:trHeight w:val="360"/>
              </w:trPr>
              <w:tc>
                <w:tcPr>
                  <w:tcW w:w="3253" w:type="dxa"/>
                  <w:tcBorders>
                    <w:top w:val="nil"/>
                    <w:left w:val="nil"/>
                    <w:bottom w:val="nil"/>
                    <w:right w:val="nil"/>
                  </w:tcBorders>
                  <w:shd w:val="clear" w:color="auto" w:fill="auto"/>
                  <w:noWrap/>
                  <w:vAlign w:val="bottom"/>
                  <w:hideMark/>
                </w:tcPr>
                <w:p w:rsidR="002C6D60" w:rsidRPr="002C6D60" w:rsidRDefault="002C6D60" w:rsidP="002C6D60">
                  <w:pPr>
                    <w:jc w:val="left"/>
                    <w:rPr>
                      <w:rFonts w:ascii="Times New Roman CE" w:hAnsi="Times New Roman CE" w:cs="Times New Roman CE"/>
                      <w:sz w:val="22"/>
                      <w:szCs w:val="22"/>
                    </w:rPr>
                  </w:pPr>
                  <w:r w:rsidRPr="002C6D60">
                    <w:rPr>
                      <w:rFonts w:ascii="Times New Roman CE" w:hAnsi="Times New Roman CE" w:cs="Times New Roman CE"/>
                      <w:sz w:val="22"/>
                      <w:szCs w:val="22"/>
                    </w:rPr>
                    <w:t>Kutak száma</w:t>
                  </w:r>
                </w:p>
              </w:tc>
              <w:tc>
                <w:tcPr>
                  <w:tcW w:w="1167" w:type="dxa"/>
                  <w:tcBorders>
                    <w:top w:val="nil"/>
                    <w:left w:val="nil"/>
                    <w:bottom w:val="nil"/>
                    <w:right w:val="nil"/>
                  </w:tcBorders>
                  <w:shd w:val="clear" w:color="auto" w:fill="auto"/>
                  <w:noWrap/>
                  <w:vAlign w:val="bottom"/>
                  <w:hideMark/>
                </w:tcPr>
                <w:p w:rsidR="002C6D60" w:rsidRPr="002C6D60" w:rsidRDefault="002C6D60" w:rsidP="002C6D60">
                  <w:pPr>
                    <w:jc w:val="center"/>
                    <w:rPr>
                      <w:rFonts w:ascii="Times New Roman CE" w:hAnsi="Times New Roman CE" w:cs="Times New Roman CE"/>
                      <w:sz w:val="22"/>
                      <w:szCs w:val="22"/>
                    </w:rPr>
                  </w:pPr>
                  <w:r w:rsidRPr="002C6D60">
                    <w:rPr>
                      <w:rFonts w:ascii="Times New Roman CE" w:hAnsi="Times New Roman CE" w:cs="Times New Roman CE"/>
                      <w:sz w:val="22"/>
                      <w:szCs w:val="22"/>
                    </w:rPr>
                    <w:t>db</w:t>
                  </w:r>
                </w:p>
              </w:tc>
              <w:tc>
                <w:tcPr>
                  <w:tcW w:w="1095" w:type="dxa"/>
                  <w:tcBorders>
                    <w:top w:val="nil"/>
                    <w:left w:val="nil"/>
                    <w:bottom w:val="nil"/>
                    <w:right w:val="nil"/>
                  </w:tcBorders>
                  <w:shd w:val="clear" w:color="auto" w:fill="auto"/>
                  <w:noWrap/>
                  <w:vAlign w:val="bottom"/>
                  <w:hideMark/>
                </w:tcPr>
                <w:p w:rsidR="002C6D60" w:rsidRPr="002C6D60" w:rsidRDefault="002C6D60" w:rsidP="002C6D60">
                  <w:pPr>
                    <w:jc w:val="right"/>
                    <w:rPr>
                      <w:rFonts w:ascii="Times New Roman CE" w:hAnsi="Times New Roman CE" w:cs="Times New Roman CE"/>
                      <w:sz w:val="22"/>
                      <w:szCs w:val="22"/>
                    </w:rPr>
                  </w:pPr>
                  <w:r w:rsidRPr="002C6D60">
                    <w:rPr>
                      <w:rFonts w:ascii="Times New Roman CE" w:hAnsi="Times New Roman CE" w:cs="Times New Roman CE"/>
                      <w:sz w:val="22"/>
                      <w:szCs w:val="22"/>
                    </w:rPr>
                    <w:t>2</w:t>
                  </w:r>
                </w:p>
              </w:tc>
              <w:tc>
                <w:tcPr>
                  <w:tcW w:w="972" w:type="dxa"/>
                  <w:tcBorders>
                    <w:top w:val="nil"/>
                    <w:left w:val="nil"/>
                    <w:bottom w:val="nil"/>
                    <w:right w:val="nil"/>
                  </w:tcBorders>
                  <w:shd w:val="clear" w:color="auto" w:fill="auto"/>
                  <w:noWrap/>
                  <w:vAlign w:val="bottom"/>
                  <w:hideMark/>
                </w:tcPr>
                <w:p w:rsidR="002C6D60" w:rsidRPr="002C6D60" w:rsidRDefault="002C6D60" w:rsidP="002C6D60">
                  <w:pPr>
                    <w:jc w:val="right"/>
                    <w:rPr>
                      <w:rFonts w:ascii="Times New Roman CE" w:hAnsi="Times New Roman CE" w:cs="Times New Roman CE"/>
                      <w:sz w:val="22"/>
                      <w:szCs w:val="22"/>
                    </w:rPr>
                  </w:pPr>
                </w:p>
              </w:tc>
              <w:tc>
                <w:tcPr>
                  <w:tcW w:w="1027" w:type="dxa"/>
                  <w:tcBorders>
                    <w:top w:val="nil"/>
                    <w:left w:val="nil"/>
                    <w:bottom w:val="nil"/>
                    <w:right w:val="nil"/>
                  </w:tcBorders>
                  <w:shd w:val="clear" w:color="auto" w:fill="auto"/>
                  <w:noWrap/>
                  <w:vAlign w:val="bottom"/>
                  <w:hideMark/>
                </w:tcPr>
                <w:p w:rsidR="002C6D60" w:rsidRPr="002C6D60" w:rsidRDefault="002C6D60" w:rsidP="002C6D60">
                  <w:pPr>
                    <w:jc w:val="right"/>
                    <w:rPr>
                      <w:rFonts w:ascii="Times New Roman CE" w:hAnsi="Times New Roman CE" w:cs="Times New Roman CE"/>
                      <w:sz w:val="22"/>
                      <w:szCs w:val="22"/>
                    </w:rPr>
                  </w:pPr>
                  <w:r w:rsidRPr="002C6D60">
                    <w:rPr>
                      <w:rFonts w:ascii="Times New Roman CE" w:hAnsi="Times New Roman CE" w:cs="Times New Roman CE"/>
                      <w:sz w:val="22"/>
                      <w:szCs w:val="22"/>
                    </w:rPr>
                    <w:t>2</w:t>
                  </w:r>
                </w:p>
              </w:tc>
              <w:tc>
                <w:tcPr>
                  <w:tcW w:w="1033" w:type="dxa"/>
                  <w:tcBorders>
                    <w:top w:val="nil"/>
                    <w:left w:val="nil"/>
                    <w:bottom w:val="nil"/>
                    <w:right w:val="nil"/>
                  </w:tcBorders>
                  <w:shd w:val="clear" w:color="auto" w:fill="auto"/>
                  <w:noWrap/>
                  <w:vAlign w:val="bottom"/>
                  <w:hideMark/>
                </w:tcPr>
                <w:p w:rsidR="002C6D60" w:rsidRPr="002C6D60" w:rsidRDefault="002C6D60" w:rsidP="002C6D60">
                  <w:pPr>
                    <w:jc w:val="right"/>
                    <w:rPr>
                      <w:rFonts w:ascii="Times New Roman CE" w:hAnsi="Times New Roman CE" w:cs="Times New Roman CE"/>
                      <w:sz w:val="22"/>
                      <w:szCs w:val="22"/>
                    </w:rPr>
                  </w:pPr>
                  <w:r w:rsidRPr="002C6D60">
                    <w:rPr>
                      <w:rFonts w:ascii="Times New Roman CE" w:hAnsi="Times New Roman CE" w:cs="Times New Roman CE"/>
                      <w:sz w:val="22"/>
                      <w:szCs w:val="22"/>
                    </w:rPr>
                    <w:t>100,0%</w:t>
                  </w:r>
                </w:p>
              </w:tc>
              <w:tc>
                <w:tcPr>
                  <w:tcW w:w="1033" w:type="dxa"/>
                  <w:tcBorders>
                    <w:top w:val="nil"/>
                    <w:left w:val="nil"/>
                    <w:bottom w:val="nil"/>
                    <w:right w:val="nil"/>
                  </w:tcBorders>
                  <w:shd w:val="clear" w:color="auto" w:fill="auto"/>
                  <w:noWrap/>
                  <w:vAlign w:val="bottom"/>
                  <w:hideMark/>
                </w:tcPr>
                <w:p w:rsidR="002C6D60" w:rsidRPr="002C6D60" w:rsidRDefault="002C6D60" w:rsidP="002C6D60">
                  <w:pPr>
                    <w:jc w:val="right"/>
                    <w:rPr>
                      <w:rFonts w:ascii="Times New Roman CE" w:hAnsi="Times New Roman CE" w:cs="Times New Roman CE"/>
                      <w:sz w:val="22"/>
                      <w:szCs w:val="22"/>
                    </w:rPr>
                  </w:pPr>
                </w:p>
              </w:tc>
            </w:tr>
            <w:tr w:rsidR="002C6D60" w:rsidRPr="002C6D60" w:rsidTr="002C6D60">
              <w:trPr>
                <w:trHeight w:val="289"/>
              </w:trPr>
              <w:tc>
                <w:tcPr>
                  <w:tcW w:w="3253" w:type="dxa"/>
                  <w:tcBorders>
                    <w:top w:val="nil"/>
                    <w:left w:val="nil"/>
                    <w:bottom w:val="nil"/>
                    <w:right w:val="nil"/>
                  </w:tcBorders>
                  <w:shd w:val="clear" w:color="auto" w:fill="auto"/>
                  <w:noWrap/>
                  <w:vAlign w:val="bottom"/>
                  <w:hideMark/>
                </w:tcPr>
                <w:p w:rsidR="002C6D60" w:rsidRPr="002C6D60" w:rsidRDefault="002C6D60" w:rsidP="002C6D60">
                  <w:pPr>
                    <w:jc w:val="left"/>
                    <w:rPr>
                      <w:rFonts w:ascii="Times New Roman CE" w:hAnsi="Times New Roman CE" w:cs="Times New Roman CE"/>
                      <w:sz w:val="22"/>
                      <w:szCs w:val="22"/>
                    </w:rPr>
                  </w:pPr>
                  <w:r w:rsidRPr="002C6D60">
                    <w:rPr>
                      <w:rFonts w:ascii="Times New Roman CE" w:hAnsi="Times New Roman CE" w:cs="Times New Roman CE"/>
                      <w:sz w:val="22"/>
                      <w:szCs w:val="22"/>
                    </w:rPr>
                    <w:t>Kút-kapacitás</w:t>
                  </w:r>
                </w:p>
              </w:tc>
              <w:tc>
                <w:tcPr>
                  <w:tcW w:w="1167" w:type="dxa"/>
                  <w:tcBorders>
                    <w:top w:val="nil"/>
                    <w:left w:val="nil"/>
                    <w:bottom w:val="nil"/>
                    <w:right w:val="nil"/>
                  </w:tcBorders>
                  <w:shd w:val="clear" w:color="auto" w:fill="auto"/>
                  <w:noWrap/>
                  <w:vAlign w:val="bottom"/>
                  <w:hideMark/>
                </w:tcPr>
                <w:p w:rsidR="002C6D60" w:rsidRPr="002C6D60" w:rsidRDefault="002C6D60" w:rsidP="002C6D60">
                  <w:pPr>
                    <w:jc w:val="center"/>
                    <w:rPr>
                      <w:rFonts w:ascii="Times New Roman CE" w:hAnsi="Times New Roman CE" w:cs="Times New Roman CE"/>
                      <w:sz w:val="22"/>
                      <w:szCs w:val="22"/>
                    </w:rPr>
                  </w:pPr>
                  <w:r w:rsidRPr="002C6D60">
                    <w:rPr>
                      <w:rFonts w:ascii="Times New Roman CE" w:hAnsi="Times New Roman CE" w:cs="Times New Roman CE"/>
                      <w:sz w:val="22"/>
                      <w:szCs w:val="22"/>
                    </w:rPr>
                    <w:t>m</w:t>
                  </w:r>
                  <w:r w:rsidRPr="002C6D60">
                    <w:rPr>
                      <w:rFonts w:ascii="Times New Roman CE" w:hAnsi="Times New Roman CE" w:cs="Times New Roman CE"/>
                      <w:sz w:val="22"/>
                      <w:szCs w:val="22"/>
                      <w:vertAlign w:val="superscript"/>
                    </w:rPr>
                    <w:t>3</w:t>
                  </w:r>
                  <w:r w:rsidRPr="002C6D60">
                    <w:rPr>
                      <w:rFonts w:ascii="Times New Roman CE" w:hAnsi="Times New Roman CE" w:cs="Times New Roman CE"/>
                      <w:sz w:val="22"/>
                      <w:szCs w:val="22"/>
                    </w:rPr>
                    <w:t>/d</w:t>
                  </w:r>
                </w:p>
              </w:tc>
              <w:tc>
                <w:tcPr>
                  <w:tcW w:w="1095" w:type="dxa"/>
                  <w:tcBorders>
                    <w:top w:val="nil"/>
                    <w:left w:val="nil"/>
                    <w:bottom w:val="nil"/>
                    <w:right w:val="nil"/>
                  </w:tcBorders>
                  <w:shd w:val="clear" w:color="auto" w:fill="auto"/>
                  <w:noWrap/>
                  <w:vAlign w:val="bottom"/>
                  <w:hideMark/>
                </w:tcPr>
                <w:p w:rsidR="002C6D60" w:rsidRPr="002C6D60" w:rsidRDefault="002C6D60" w:rsidP="002C6D60">
                  <w:pPr>
                    <w:jc w:val="right"/>
                    <w:rPr>
                      <w:rFonts w:ascii="Times New Roman CE" w:hAnsi="Times New Roman CE" w:cs="Times New Roman CE"/>
                      <w:sz w:val="22"/>
                      <w:szCs w:val="22"/>
                    </w:rPr>
                  </w:pPr>
                  <w:r w:rsidRPr="002C6D60">
                    <w:rPr>
                      <w:rFonts w:ascii="Times New Roman CE" w:hAnsi="Times New Roman CE" w:cs="Times New Roman CE"/>
                      <w:sz w:val="22"/>
                      <w:szCs w:val="22"/>
                    </w:rPr>
                    <w:t>1 944</w:t>
                  </w:r>
                </w:p>
              </w:tc>
              <w:tc>
                <w:tcPr>
                  <w:tcW w:w="972" w:type="dxa"/>
                  <w:tcBorders>
                    <w:top w:val="nil"/>
                    <w:left w:val="nil"/>
                    <w:bottom w:val="nil"/>
                    <w:right w:val="nil"/>
                  </w:tcBorders>
                  <w:shd w:val="clear" w:color="auto" w:fill="auto"/>
                  <w:noWrap/>
                  <w:vAlign w:val="bottom"/>
                  <w:hideMark/>
                </w:tcPr>
                <w:p w:rsidR="002C6D60" w:rsidRPr="002C6D60" w:rsidRDefault="002C6D60" w:rsidP="002C6D60">
                  <w:pPr>
                    <w:jc w:val="right"/>
                    <w:rPr>
                      <w:rFonts w:ascii="Times New Roman CE" w:hAnsi="Times New Roman CE" w:cs="Times New Roman CE"/>
                      <w:sz w:val="22"/>
                      <w:szCs w:val="22"/>
                    </w:rPr>
                  </w:pPr>
                </w:p>
              </w:tc>
              <w:tc>
                <w:tcPr>
                  <w:tcW w:w="1027" w:type="dxa"/>
                  <w:tcBorders>
                    <w:top w:val="nil"/>
                    <w:left w:val="nil"/>
                    <w:bottom w:val="nil"/>
                    <w:right w:val="nil"/>
                  </w:tcBorders>
                  <w:shd w:val="clear" w:color="auto" w:fill="auto"/>
                  <w:noWrap/>
                  <w:vAlign w:val="bottom"/>
                  <w:hideMark/>
                </w:tcPr>
                <w:p w:rsidR="002C6D60" w:rsidRPr="002C6D60" w:rsidRDefault="002C6D60" w:rsidP="002C6D60">
                  <w:pPr>
                    <w:jc w:val="right"/>
                    <w:rPr>
                      <w:rFonts w:ascii="Times New Roman CE" w:hAnsi="Times New Roman CE" w:cs="Times New Roman CE"/>
                      <w:sz w:val="22"/>
                      <w:szCs w:val="22"/>
                    </w:rPr>
                  </w:pPr>
                  <w:r w:rsidRPr="002C6D60">
                    <w:rPr>
                      <w:rFonts w:ascii="Times New Roman CE" w:hAnsi="Times New Roman CE" w:cs="Times New Roman CE"/>
                      <w:sz w:val="22"/>
                      <w:szCs w:val="22"/>
                    </w:rPr>
                    <w:t>1 944</w:t>
                  </w:r>
                </w:p>
              </w:tc>
              <w:tc>
                <w:tcPr>
                  <w:tcW w:w="1033" w:type="dxa"/>
                  <w:tcBorders>
                    <w:top w:val="nil"/>
                    <w:left w:val="nil"/>
                    <w:bottom w:val="nil"/>
                    <w:right w:val="nil"/>
                  </w:tcBorders>
                  <w:shd w:val="clear" w:color="auto" w:fill="auto"/>
                  <w:noWrap/>
                  <w:vAlign w:val="bottom"/>
                  <w:hideMark/>
                </w:tcPr>
                <w:p w:rsidR="002C6D60" w:rsidRPr="002C6D60" w:rsidRDefault="002C6D60" w:rsidP="002C6D60">
                  <w:pPr>
                    <w:jc w:val="right"/>
                    <w:rPr>
                      <w:rFonts w:ascii="Times New Roman CE" w:hAnsi="Times New Roman CE" w:cs="Times New Roman CE"/>
                      <w:sz w:val="22"/>
                      <w:szCs w:val="22"/>
                    </w:rPr>
                  </w:pPr>
                  <w:r w:rsidRPr="002C6D60">
                    <w:rPr>
                      <w:rFonts w:ascii="Times New Roman CE" w:hAnsi="Times New Roman CE" w:cs="Times New Roman CE"/>
                      <w:sz w:val="22"/>
                      <w:szCs w:val="22"/>
                    </w:rPr>
                    <w:t>100,0%</w:t>
                  </w:r>
                </w:p>
              </w:tc>
              <w:tc>
                <w:tcPr>
                  <w:tcW w:w="1033" w:type="dxa"/>
                  <w:tcBorders>
                    <w:top w:val="nil"/>
                    <w:left w:val="nil"/>
                    <w:bottom w:val="nil"/>
                    <w:right w:val="nil"/>
                  </w:tcBorders>
                  <w:shd w:val="clear" w:color="auto" w:fill="auto"/>
                  <w:noWrap/>
                  <w:vAlign w:val="bottom"/>
                  <w:hideMark/>
                </w:tcPr>
                <w:p w:rsidR="002C6D60" w:rsidRPr="002C6D60" w:rsidRDefault="002C6D60" w:rsidP="002C6D60">
                  <w:pPr>
                    <w:jc w:val="right"/>
                    <w:rPr>
                      <w:rFonts w:ascii="Times New Roman CE" w:hAnsi="Times New Roman CE" w:cs="Times New Roman CE"/>
                      <w:sz w:val="22"/>
                      <w:szCs w:val="22"/>
                    </w:rPr>
                  </w:pPr>
                </w:p>
              </w:tc>
            </w:tr>
            <w:tr w:rsidR="002C6D60" w:rsidRPr="002C6D60" w:rsidTr="002C6D60">
              <w:trPr>
                <w:trHeight w:val="282"/>
              </w:trPr>
              <w:tc>
                <w:tcPr>
                  <w:tcW w:w="3253" w:type="dxa"/>
                  <w:tcBorders>
                    <w:top w:val="nil"/>
                    <w:left w:val="nil"/>
                    <w:bottom w:val="nil"/>
                    <w:right w:val="nil"/>
                  </w:tcBorders>
                  <w:shd w:val="clear" w:color="auto" w:fill="auto"/>
                  <w:noWrap/>
                  <w:vAlign w:val="bottom"/>
                  <w:hideMark/>
                </w:tcPr>
                <w:p w:rsidR="002C6D60" w:rsidRPr="002C6D60" w:rsidRDefault="002C6D60" w:rsidP="002C6D60">
                  <w:pPr>
                    <w:jc w:val="left"/>
                    <w:rPr>
                      <w:rFonts w:ascii="Times New Roman CE" w:hAnsi="Times New Roman CE" w:cs="Times New Roman CE"/>
                      <w:sz w:val="22"/>
                      <w:szCs w:val="22"/>
                    </w:rPr>
                  </w:pPr>
                  <w:r w:rsidRPr="002C6D60">
                    <w:rPr>
                      <w:rFonts w:ascii="Times New Roman CE" w:hAnsi="Times New Roman CE" w:cs="Times New Roman CE"/>
                      <w:sz w:val="22"/>
                      <w:szCs w:val="22"/>
                    </w:rPr>
                    <w:t>Hálózat hossza</w:t>
                  </w:r>
                </w:p>
              </w:tc>
              <w:tc>
                <w:tcPr>
                  <w:tcW w:w="1167" w:type="dxa"/>
                  <w:tcBorders>
                    <w:top w:val="nil"/>
                    <w:left w:val="nil"/>
                    <w:bottom w:val="nil"/>
                    <w:right w:val="nil"/>
                  </w:tcBorders>
                  <w:shd w:val="clear" w:color="auto" w:fill="auto"/>
                  <w:noWrap/>
                  <w:vAlign w:val="bottom"/>
                  <w:hideMark/>
                </w:tcPr>
                <w:p w:rsidR="002C6D60" w:rsidRPr="002C6D60" w:rsidRDefault="002C6D60" w:rsidP="002C6D60">
                  <w:pPr>
                    <w:jc w:val="center"/>
                    <w:rPr>
                      <w:rFonts w:ascii="Times New Roman CE" w:hAnsi="Times New Roman CE" w:cs="Times New Roman CE"/>
                      <w:sz w:val="22"/>
                      <w:szCs w:val="22"/>
                    </w:rPr>
                  </w:pPr>
                  <w:r w:rsidRPr="002C6D60">
                    <w:rPr>
                      <w:rFonts w:ascii="Times New Roman CE" w:hAnsi="Times New Roman CE" w:cs="Times New Roman CE"/>
                      <w:sz w:val="22"/>
                      <w:szCs w:val="22"/>
                    </w:rPr>
                    <w:t>km</w:t>
                  </w:r>
                </w:p>
              </w:tc>
              <w:tc>
                <w:tcPr>
                  <w:tcW w:w="1095" w:type="dxa"/>
                  <w:tcBorders>
                    <w:top w:val="nil"/>
                    <w:left w:val="nil"/>
                    <w:bottom w:val="nil"/>
                    <w:right w:val="nil"/>
                  </w:tcBorders>
                  <w:shd w:val="clear" w:color="auto" w:fill="auto"/>
                  <w:noWrap/>
                  <w:vAlign w:val="bottom"/>
                  <w:hideMark/>
                </w:tcPr>
                <w:p w:rsidR="002C6D60" w:rsidRPr="002C6D60" w:rsidRDefault="002C6D60" w:rsidP="002C6D60">
                  <w:pPr>
                    <w:jc w:val="right"/>
                    <w:rPr>
                      <w:rFonts w:ascii="Times New Roman CE" w:hAnsi="Times New Roman CE" w:cs="Times New Roman CE"/>
                      <w:sz w:val="22"/>
                      <w:szCs w:val="22"/>
                    </w:rPr>
                  </w:pPr>
                  <w:r w:rsidRPr="002C6D60">
                    <w:rPr>
                      <w:rFonts w:ascii="Times New Roman CE" w:hAnsi="Times New Roman CE" w:cs="Times New Roman CE"/>
                      <w:sz w:val="22"/>
                      <w:szCs w:val="22"/>
                    </w:rPr>
                    <w:t>3</w:t>
                  </w:r>
                </w:p>
              </w:tc>
              <w:tc>
                <w:tcPr>
                  <w:tcW w:w="972" w:type="dxa"/>
                  <w:tcBorders>
                    <w:top w:val="nil"/>
                    <w:left w:val="nil"/>
                    <w:bottom w:val="nil"/>
                    <w:right w:val="nil"/>
                  </w:tcBorders>
                  <w:shd w:val="clear" w:color="auto" w:fill="auto"/>
                  <w:noWrap/>
                  <w:vAlign w:val="bottom"/>
                  <w:hideMark/>
                </w:tcPr>
                <w:p w:rsidR="002C6D60" w:rsidRPr="002C6D60" w:rsidRDefault="002C6D60" w:rsidP="002C6D60">
                  <w:pPr>
                    <w:jc w:val="right"/>
                    <w:rPr>
                      <w:rFonts w:ascii="Times New Roman CE" w:hAnsi="Times New Roman CE" w:cs="Times New Roman CE"/>
                      <w:sz w:val="22"/>
                      <w:szCs w:val="22"/>
                    </w:rPr>
                  </w:pPr>
                </w:p>
              </w:tc>
              <w:tc>
                <w:tcPr>
                  <w:tcW w:w="1027" w:type="dxa"/>
                  <w:tcBorders>
                    <w:top w:val="nil"/>
                    <w:left w:val="nil"/>
                    <w:bottom w:val="nil"/>
                    <w:right w:val="nil"/>
                  </w:tcBorders>
                  <w:shd w:val="clear" w:color="auto" w:fill="auto"/>
                  <w:noWrap/>
                  <w:vAlign w:val="bottom"/>
                  <w:hideMark/>
                </w:tcPr>
                <w:p w:rsidR="002C6D60" w:rsidRPr="002C6D60" w:rsidRDefault="002C6D60" w:rsidP="002C6D60">
                  <w:pPr>
                    <w:jc w:val="right"/>
                    <w:rPr>
                      <w:rFonts w:ascii="Times New Roman CE" w:hAnsi="Times New Roman CE" w:cs="Times New Roman CE"/>
                      <w:sz w:val="22"/>
                      <w:szCs w:val="22"/>
                    </w:rPr>
                  </w:pPr>
                  <w:r w:rsidRPr="002C6D60">
                    <w:rPr>
                      <w:rFonts w:ascii="Times New Roman CE" w:hAnsi="Times New Roman CE" w:cs="Times New Roman CE"/>
                      <w:sz w:val="22"/>
                      <w:szCs w:val="22"/>
                    </w:rPr>
                    <w:t>3</w:t>
                  </w:r>
                </w:p>
              </w:tc>
              <w:tc>
                <w:tcPr>
                  <w:tcW w:w="1033" w:type="dxa"/>
                  <w:tcBorders>
                    <w:top w:val="nil"/>
                    <w:left w:val="nil"/>
                    <w:bottom w:val="nil"/>
                    <w:right w:val="nil"/>
                  </w:tcBorders>
                  <w:shd w:val="clear" w:color="auto" w:fill="auto"/>
                  <w:noWrap/>
                  <w:vAlign w:val="bottom"/>
                  <w:hideMark/>
                </w:tcPr>
                <w:p w:rsidR="002C6D60" w:rsidRPr="002C6D60" w:rsidRDefault="002C6D60" w:rsidP="002C6D60">
                  <w:pPr>
                    <w:jc w:val="right"/>
                    <w:rPr>
                      <w:rFonts w:ascii="Times New Roman CE" w:hAnsi="Times New Roman CE" w:cs="Times New Roman CE"/>
                      <w:sz w:val="22"/>
                      <w:szCs w:val="22"/>
                    </w:rPr>
                  </w:pPr>
                  <w:r w:rsidRPr="002C6D60">
                    <w:rPr>
                      <w:rFonts w:ascii="Times New Roman CE" w:hAnsi="Times New Roman CE" w:cs="Times New Roman CE"/>
                      <w:sz w:val="22"/>
                      <w:szCs w:val="22"/>
                    </w:rPr>
                    <w:t>100,0%</w:t>
                  </w:r>
                </w:p>
              </w:tc>
              <w:tc>
                <w:tcPr>
                  <w:tcW w:w="1033" w:type="dxa"/>
                  <w:tcBorders>
                    <w:top w:val="nil"/>
                    <w:left w:val="nil"/>
                    <w:bottom w:val="nil"/>
                    <w:right w:val="nil"/>
                  </w:tcBorders>
                  <w:shd w:val="clear" w:color="auto" w:fill="auto"/>
                  <w:noWrap/>
                  <w:vAlign w:val="bottom"/>
                  <w:hideMark/>
                </w:tcPr>
                <w:p w:rsidR="002C6D60" w:rsidRPr="002C6D60" w:rsidRDefault="002C6D60" w:rsidP="002C6D60">
                  <w:pPr>
                    <w:jc w:val="right"/>
                    <w:rPr>
                      <w:rFonts w:ascii="Times New Roman CE" w:hAnsi="Times New Roman CE" w:cs="Times New Roman CE"/>
                      <w:sz w:val="22"/>
                      <w:szCs w:val="22"/>
                    </w:rPr>
                  </w:pPr>
                </w:p>
              </w:tc>
            </w:tr>
            <w:tr w:rsidR="002C6D60" w:rsidRPr="002C6D60" w:rsidTr="002C6D60">
              <w:trPr>
                <w:trHeight w:val="285"/>
              </w:trPr>
              <w:tc>
                <w:tcPr>
                  <w:tcW w:w="3253" w:type="dxa"/>
                  <w:tcBorders>
                    <w:top w:val="nil"/>
                    <w:left w:val="nil"/>
                    <w:bottom w:val="nil"/>
                    <w:right w:val="nil"/>
                  </w:tcBorders>
                  <w:shd w:val="clear" w:color="auto" w:fill="auto"/>
                  <w:noWrap/>
                  <w:vAlign w:val="bottom"/>
                  <w:hideMark/>
                </w:tcPr>
                <w:p w:rsidR="002C6D60" w:rsidRPr="002C6D60" w:rsidRDefault="002C6D60" w:rsidP="002C6D60">
                  <w:pPr>
                    <w:jc w:val="left"/>
                    <w:rPr>
                      <w:rFonts w:ascii="Times New Roman CE" w:hAnsi="Times New Roman CE" w:cs="Times New Roman CE"/>
                      <w:sz w:val="22"/>
                      <w:szCs w:val="22"/>
                    </w:rPr>
                  </w:pPr>
                  <w:r w:rsidRPr="002C6D60">
                    <w:rPr>
                      <w:rFonts w:ascii="Times New Roman CE" w:hAnsi="Times New Roman CE" w:cs="Times New Roman CE"/>
                      <w:sz w:val="22"/>
                      <w:szCs w:val="22"/>
                    </w:rPr>
                    <w:t>Ipari víz termelés***</w:t>
                  </w:r>
                </w:p>
              </w:tc>
              <w:tc>
                <w:tcPr>
                  <w:tcW w:w="1167" w:type="dxa"/>
                  <w:tcBorders>
                    <w:top w:val="nil"/>
                    <w:left w:val="nil"/>
                    <w:bottom w:val="nil"/>
                    <w:right w:val="nil"/>
                  </w:tcBorders>
                  <w:shd w:val="clear" w:color="auto" w:fill="auto"/>
                  <w:noWrap/>
                  <w:vAlign w:val="bottom"/>
                  <w:hideMark/>
                </w:tcPr>
                <w:p w:rsidR="002C6D60" w:rsidRPr="002C6D60" w:rsidRDefault="002C6D60" w:rsidP="002C6D60">
                  <w:pPr>
                    <w:jc w:val="center"/>
                    <w:rPr>
                      <w:rFonts w:ascii="Times New Roman CE" w:hAnsi="Times New Roman CE" w:cs="Times New Roman CE"/>
                      <w:sz w:val="22"/>
                      <w:szCs w:val="22"/>
                    </w:rPr>
                  </w:pPr>
                  <w:r w:rsidRPr="002C6D60">
                    <w:rPr>
                      <w:rFonts w:ascii="Times New Roman CE" w:hAnsi="Times New Roman CE" w:cs="Times New Roman CE"/>
                      <w:sz w:val="22"/>
                      <w:szCs w:val="22"/>
                    </w:rPr>
                    <w:t>em</w:t>
                  </w:r>
                  <w:r w:rsidRPr="002C6D60">
                    <w:rPr>
                      <w:rFonts w:ascii="Times New Roman CE" w:hAnsi="Times New Roman CE" w:cs="Times New Roman CE"/>
                      <w:sz w:val="22"/>
                      <w:szCs w:val="22"/>
                      <w:vertAlign w:val="superscript"/>
                    </w:rPr>
                    <w:t>3</w:t>
                  </w:r>
                </w:p>
              </w:tc>
              <w:tc>
                <w:tcPr>
                  <w:tcW w:w="1095" w:type="dxa"/>
                  <w:tcBorders>
                    <w:top w:val="nil"/>
                    <w:left w:val="nil"/>
                    <w:bottom w:val="nil"/>
                    <w:right w:val="nil"/>
                  </w:tcBorders>
                  <w:shd w:val="clear" w:color="auto" w:fill="auto"/>
                  <w:noWrap/>
                  <w:vAlign w:val="bottom"/>
                  <w:hideMark/>
                </w:tcPr>
                <w:p w:rsidR="002C6D60" w:rsidRPr="002C6D60" w:rsidRDefault="002C6D60" w:rsidP="002C6D60">
                  <w:pPr>
                    <w:jc w:val="right"/>
                    <w:rPr>
                      <w:rFonts w:ascii="Times New Roman CE" w:hAnsi="Times New Roman CE" w:cs="Times New Roman CE"/>
                      <w:sz w:val="22"/>
                      <w:szCs w:val="22"/>
                    </w:rPr>
                  </w:pPr>
                  <w:r w:rsidRPr="002C6D60">
                    <w:rPr>
                      <w:rFonts w:ascii="Times New Roman CE" w:hAnsi="Times New Roman CE" w:cs="Times New Roman CE"/>
                      <w:sz w:val="22"/>
                      <w:szCs w:val="22"/>
                    </w:rPr>
                    <w:t>83</w:t>
                  </w:r>
                </w:p>
              </w:tc>
              <w:tc>
                <w:tcPr>
                  <w:tcW w:w="972" w:type="dxa"/>
                  <w:tcBorders>
                    <w:top w:val="nil"/>
                    <w:left w:val="nil"/>
                    <w:bottom w:val="nil"/>
                    <w:right w:val="nil"/>
                  </w:tcBorders>
                  <w:shd w:val="clear" w:color="auto" w:fill="auto"/>
                  <w:noWrap/>
                  <w:vAlign w:val="bottom"/>
                  <w:hideMark/>
                </w:tcPr>
                <w:p w:rsidR="002C6D60" w:rsidRPr="002C6D60" w:rsidRDefault="002C6D60" w:rsidP="002C6D60">
                  <w:pPr>
                    <w:jc w:val="right"/>
                    <w:rPr>
                      <w:rFonts w:ascii="Times New Roman CE" w:hAnsi="Times New Roman CE" w:cs="Times New Roman CE"/>
                      <w:sz w:val="22"/>
                      <w:szCs w:val="22"/>
                    </w:rPr>
                  </w:pPr>
                  <w:r w:rsidRPr="002C6D60">
                    <w:rPr>
                      <w:rFonts w:ascii="Times New Roman CE" w:hAnsi="Times New Roman CE" w:cs="Times New Roman CE"/>
                      <w:sz w:val="22"/>
                      <w:szCs w:val="22"/>
                    </w:rPr>
                    <w:t>120</w:t>
                  </w:r>
                </w:p>
              </w:tc>
              <w:tc>
                <w:tcPr>
                  <w:tcW w:w="1027" w:type="dxa"/>
                  <w:tcBorders>
                    <w:top w:val="nil"/>
                    <w:left w:val="nil"/>
                    <w:bottom w:val="nil"/>
                    <w:right w:val="nil"/>
                  </w:tcBorders>
                  <w:shd w:val="clear" w:color="auto" w:fill="auto"/>
                  <w:noWrap/>
                  <w:vAlign w:val="bottom"/>
                  <w:hideMark/>
                </w:tcPr>
                <w:p w:rsidR="002C6D60" w:rsidRPr="002C6D60" w:rsidRDefault="002C6D60" w:rsidP="002C6D60">
                  <w:pPr>
                    <w:jc w:val="right"/>
                    <w:rPr>
                      <w:rFonts w:ascii="Times New Roman CE" w:hAnsi="Times New Roman CE" w:cs="Times New Roman CE"/>
                      <w:sz w:val="22"/>
                      <w:szCs w:val="22"/>
                    </w:rPr>
                  </w:pPr>
                  <w:r w:rsidRPr="002C6D60">
                    <w:rPr>
                      <w:rFonts w:ascii="Times New Roman CE" w:hAnsi="Times New Roman CE" w:cs="Times New Roman CE"/>
                      <w:sz w:val="22"/>
                      <w:szCs w:val="22"/>
                    </w:rPr>
                    <w:t>12</w:t>
                  </w:r>
                </w:p>
              </w:tc>
              <w:tc>
                <w:tcPr>
                  <w:tcW w:w="1033" w:type="dxa"/>
                  <w:tcBorders>
                    <w:top w:val="nil"/>
                    <w:left w:val="nil"/>
                    <w:bottom w:val="nil"/>
                    <w:right w:val="nil"/>
                  </w:tcBorders>
                  <w:shd w:val="clear" w:color="auto" w:fill="auto"/>
                  <w:noWrap/>
                  <w:vAlign w:val="bottom"/>
                  <w:hideMark/>
                </w:tcPr>
                <w:p w:rsidR="002C6D60" w:rsidRPr="002C6D60" w:rsidRDefault="002C6D60" w:rsidP="002C6D60">
                  <w:pPr>
                    <w:jc w:val="right"/>
                    <w:rPr>
                      <w:rFonts w:ascii="Times New Roman CE" w:hAnsi="Times New Roman CE" w:cs="Times New Roman CE"/>
                      <w:sz w:val="22"/>
                      <w:szCs w:val="22"/>
                    </w:rPr>
                  </w:pPr>
                  <w:r w:rsidRPr="002C6D60">
                    <w:rPr>
                      <w:rFonts w:ascii="Times New Roman CE" w:hAnsi="Times New Roman CE" w:cs="Times New Roman CE"/>
                      <w:sz w:val="22"/>
                      <w:szCs w:val="22"/>
                    </w:rPr>
                    <w:t>14,5%</w:t>
                  </w:r>
                </w:p>
              </w:tc>
              <w:tc>
                <w:tcPr>
                  <w:tcW w:w="1033" w:type="dxa"/>
                  <w:tcBorders>
                    <w:top w:val="nil"/>
                    <w:left w:val="nil"/>
                    <w:bottom w:val="nil"/>
                    <w:right w:val="nil"/>
                  </w:tcBorders>
                  <w:shd w:val="clear" w:color="auto" w:fill="auto"/>
                  <w:noWrap/>
                  <w:vAlign w:val="bottom"/>
                  <w:hideMark/>
                </w:tcPr>
                <w:p w:rsidR="002C6D60" w:rsidRPr="002C6D60" w:rsidRDefault="002C6D60" w:rsidP="002C6D60">
                  <w:pPr>
                    <w:jc w:val="right"/>
                    <w:rPr>
                      <w:rFonts w:ascii="Times New Roman CE" w:hAnsi="Times New Roman CE" w:cs="Times New Roman CE"/>
                      <w:sz w:val="22"/>
                      <w:szCs w:val="22"/>
                    </w:rPr>
                  </w:pPr>
                  <w:r w:rsidRPr="002C6D60">
                    <w:rPr>
                      <w:rFonts w:ascii="Times New Roman CE" w:hAnsi="Times New Roman CE" w:cs="Times New Roman CE"/>
                      <w:sz w:val="22"/>
                      <w:szCs w:val="22"/>
                    </w:rPr>
                    <w:t>10,0%</w:t>
                  </w:r>
                </w:p>
              </w:tc>
            </w:tr>
            <w:tr w:rsidR="002C6D60" w:rsidRPr="002C6D60" w:rsidTr="002C6D60">
              <w:trPr>
                <w:trHeight w:val="289"/>
              </w:trPr>
              <w:tc>
                <w:tcPr>
                  <w:tcW w:w="3253" w:type="dxa"/>
                  <w:tcBorders>
                    <w:top w:val="nil"/>
                    <w:left w:val="nil"/>
                    <w:bottom w:val="nil"/>
                    <w:right w:val="nil"/>
                  </w:tcBorders>
                  <w:shd w:val="clear" w:color="auto" w:fill="auto"/>
                  <w:noWrap/>
                  <w:vAlign w:val="bottom"/>
                  <w:hideMark/>
                </w:tcPr>
                <w:p w:rsidR="002C6D60" w:rsidRPr="002C6D60" w:rsidRDefault="002C6D60" w:rsidP="002C6D60">
                  <w:pPr>
                    <w:jc w:val="left"/>
                    <w:rPr>
                      <w:rFonts w:ascii="Times New Roman CE" w:hAnsi="Times New Roman CE" w:cs="Times New Roman CE"/>
                      <w:sz w:val="22"/>
                      <w:szCs w:val="22"/>
                    </w:rPr>
                  </w:pPr>
                  <w:r w:rsidRPr="002C6D60">
                    <w:rPr>
                      <w:rFonts w:ascii="Times New Roman CE" w:hAnsi="Times New Roman CE" w:cs="Times New Roman CE"/>
                      <w:sz w:val="22"/>
                      <w:szCs w:val="22"/>
                    </w:rPr>
                    <w:t>Ipari víz szolgáltatás***</w:t>
                  </w:r>
                </w:p>
              </w:tc>
              <w:tc>
                <w:tcPr>
                  <w:tcW w:w="1167" w:type="dxa"/>
                  <w:tcBorders>
                    <w:top w:val="nil"/>
                    <w:left w:val="nil"/>
                    <w:bottom w:val="nil"/>
                    <w:right w:val="nil"/>
                  </w:tcBorders>
                  <w:shd w:val="clear" w:color="auto" w:fill="auto"/>
                  <w:noWrap/>
                  <w:vAlign w:val="bottom"/>
                  <w:hideMark/>
                </w:tcPr>
                <w:p w:rsidR="002C6D60" w:rsidRPr="002C6D60" w:rsidRDefault="002C6D60" w:rsidP="002C6D60">
                  <w:pPr>
                    <w:jc w:val="center"/>
                    <w:rPr>
                      <w:rFonts w:ascii="Times New Roman CE" w:hAnsi="Times New Roman CE" w:cs="Times New Roman CE"/>
                      <w:sz w:val="22"/>
                      <w:szCs w:val="22"/>
                    </w:rPr>
                  </w:pPr>
                  <w:r w:rsidRPr="002C6D60">
                    <w:rPr>
                      <w:rFonts w:ascii="Times New Roman CE" w:hAnsi="Times New Roman CE" w:cs="Times New Roman CE"/>
                      <w:sz w:val="22"/>
                      <w:szCs w:val="22"/>
                    </w:rPr>
                    <w:t>em</w:t>
                  </w:r>
                  <w:r w:rsidRPr="002C6D60">
                    <w:rPr>
                      <w:rFonts w:ascii="Times New Roman CE" w:hAnsi="Times New Roman CE" w:cs="Times New Roman CE"/>
                      <w:sz w:val="22"/>
                      <w:szCs w:val="22"/>
                      <w:vertAlign w:val="superscript"/>
                    </w:rPr>
                    <w:t>3</w:t>
                  </w:r>
                </w:p>
              </w:tc>
              <w:tc>
                <w:tcPr>
                  <w:tcW w:w="1095" w:type="dxa"/>
                  <w:tcBorders>
                    <w:top w:val="nil"/>
                    <w:left w:val="nil"/>
                    <w:bottom w:val="nil"/>
                    <w:right w:val="nil"/>
                  </w:tcBorders>
                  <w:shd w:val="clear" w:color="auto" w:fill="auto"/>
                  <w:noWrap/>
                  <w:vAlign w:val="bottom"/>
                  <w:hideMark/>
                </w:tcPr>
                <w:p w:rsidR="002C6D60" w:rsidRPr="002C6D60" w:rsidRDefault="002C6D60" w:rsidP="002C6D60">
                  <w:pPr>
                    <w:jc w:val="right"/>
                    <w:rPr>
                      <w:rFonts w:ascii="Times New Roman CE" w:hAnsi="Times New Roman CE" w:cs="Times New Roman CE"/>
                      <w:sz w:val="22"/>
                      <w:szCs w:val="22"/>
                    </w:rPr>
                  </w:pPr>
                  <w:r w:rsidRPr="002C6D60">
                    <w:rPr>
                      <w:rFonts w:ascii="Times New Roman CE" w:hAnsi="Times New Roman CE" w:cs="Times New Roman CE"/>
                      <w:sz w:val="22"/>
                      <w:szCs w:val="22"/>
                    </w:rPr>
                    <w:t>71</w:t>
                  </w:r>
                </w:p>
              </w:tc>
              <w:tc>
                <w:tcPr>
                  <w:tcW w:w="972" w:type="dxa"/>
                  <w:tcBorders>
                    <w:top w:val="nil"/>
                    <w:left w:val="nil"/>
                    <w:bottom w:val="nil"/>
                    <w:right w:val="nil"/>
                  </w:tcBorders>
                  <w:shd w:val="clear" w:color="auto" w:fill="auto"/>
                  <w:noWrap/>
                  <w:vAlign w:val="bottom"/>
                  <w:hideMark/>
                </w:tcPr>
                <w:p w:rsidR="002C6D60" w:rsidRPr="002C6D60" w:rsidRDefault="002C6D60" w:rsidP="002C6D60">
                  <w:pPr>
                    <w:jc w:val="right"/>
                    <w:rPr>
                      <w:rFonts w:ascii="Times New Roman CE" w:hAnsi="Times New Roman CE" w:cs="Times New Roman CE"/>
                      <w:sz w:val="22"/>
                      <w:szCs w:val="22"/>
                    </w:rPr>
                  </w:pPr>
                  <w:r w:rsidRPr="002C6D60">
                    <w:rPr>
                      <w:rFonts w:ascii="Times New Roman CE" w:hAnsi="Times New Roman CE" w:cs="Times New Roman CE"/>
                      <w:sz w:val="22"/>
                      <w:szCs w:val="22"/>
                    </w:rPr>
                    <w:t>105</w:t>
                  </w:r>
                </w:p>
              </w:tc>
              <w:tc>
                <w:tcPr>
                  <w:tcW w:w="1027" w:type="dxa"/>
                  <w:tcBorders>
                    <w:top w:val="nil"/>
                    <w:left w:val="nil"/>
                    <w:bottom w:val="nil"/>
                    <w:right w:val="nil"/>
                  </w:tcBorders>
                  <w:shd w:val="clear" w:color="auto" w:fill="auto"/>
                  <w:noWrap/>
                  <w:vAlign w:val="bottom"/>
                  <w:hideMark/>
                </w:tcPr>
                <w:p w:rsidR="002C6D60" w:rsidRPr="002C6D60" w:rsidRDefault="002C6D60" w:rsidP="002C6D60">
                  <w:pPr>
                    <w:jc w:val="right"/>
                    <w:rPr>
                      <w:rFonts w:ascii="Times New Roman CE" w:hAnsi="Times New Roman CE" w:cs="Times New Roman CE"/>
                      <w:sz w:val="22"/>
                      <w:szCs w:val="22"/>
                    </w:rPr>
                  </w:pPr>
                  <w:r w:rsidRPr="002C6D60">
                    <w:rPr>
                      <w:rFonts w:ascii="Times New Roman CE" w:hAnsi="Times New Roman CE" w:cs="Times New Roman CE"/>
                      <w:sz w:val="22"/>
                      <w:szCs w:val="22"/>
                    </w:rPr>
                    <w:t>99</w:t>
                  </w:r>
                </w:p>
              </w:tc>
              <w:tc>
                <w:tcPr>
                  <w:tcW w:w="1033" w:type="dxa"/>
                  <w:tcBorders>
                    <w:top w:val="nil"/>
                    <w:left w:val="nil"/>
                    <w:bottom w:val="nil"/>
                    <w:right w:val="nil"/>
                  </w:tcBorders>
                  <w:shd w:val="clear" w:color="auto" w:fill="auto"/>
                  <w:noWrap/>
                  <w:vAlign w:val="bottom"/>
                  <w:hideMark/>
                </w:tcPr>
                <w:p w:rsidR="002C6D60" w:rsidRPr="002C6D60" w:rsidRDefault="002C6D60" w:rsidP="002C6D60">
                  <w:pPr>
                    <w:jc w:val="right"/>
                    <w:rPr>
                      <w:rFonts w:ascii="Times New Roman CE" w:hAnsi="Times New Roman CE" w:cs="Times New Roman CE"/>
                      <w:sz w:val="22"/>
                      <w:szCs w:val="22"/>
                    </w:rPr>
                  </w:pPr>
                  <w:r w:rsidRPr="002C6D60">
                    <w:rPr>
                      <w:rFonts w:ascii="Times New Roman CE" w:hAnsi="Times New Roman CE" w:cs="Times New Roman CE"/>
                      <w:sz w:val="22"/>
                      <w:szCs w:val="22"/>
                    </w:rPr>
                    <w:t>139,4%</w:t>
                  </w:r>
                </w:p>
              </w:tc>
              <w:tc>
                <w:tcPr>
                  <w:tcW w:w="1033" w:type="dxa"/>
                  <w:tcBorders>
                    <w:top w:val="nil"/>
                    <w:left w:val="nil"/>
                    <w:bottom w:val="nil"/>
                    <w:right w:val="nil"/>
                  </w:tcBorders>
                  <w:shd w:val="clear" w:color="auto" w:fill="auto"/>
                  <w:noWrap/>
                  <w:vAlign w:val="bottom"/>
                  <w:hideMark/>
                </w:tcPr>
                <w:p w:rsidR="002C6D60" w:rsidRPr="002C6D60" w:rsidRDefault="002C6D60" w:rsidP="002C6D60">
                  <w:pPr>
                    <w:jc w:val="right"/>
                    <w:rPr>
                      <w:rFonts w:ascii="Times New Roman CE" w:hAnsi="Times New Roman CE" w:cs="Times New Roman CE"/>
                      <w:sz w:val="22"/>
                      <w:szCs w:val="22"/>
                    </w:rPr>
                  </w:pPr>
                  <w:r w:rsidRPr="002C6D60">
                    <w:rPr>
                      <w:rFonts w:ascii="Times New Roman CE" w:hAnsi="Times New Roman CE" w:cs="Times New Roman CE"/>
                      <w:sz w:val="22"/>
                      <w:szCs w:val="22"/>
                    </w:rPr>
                    <w:t>94,3%</w:t>
                  </w:r>
                </w:p>
              </w:tc>
            </w:tr>
            <w:tr w:rsidR="002C6D60" w:rsidRPr="002C6D60" w:rsidTr="002C6D60">
              <w:trPr>
                <w:trHeight w:val="289"/>
              </w:trPr>
              <w:tc>
                <w:tcPr>
                  <w:tcW w:w="3253" w:type="dxa"/>
                  <w:tcBorders>
                    <w:top w:val="nil"/>
                    <w:left w:val="nil"/>
                    <w:bottom w:val="nil"/>
                    <w:right w:val="nil"/>
                  </w:tcBorders>
                  <w:shd w:val="clear" w:color="auto" w:fill="auto"/>
                  <w:noWrap/>
                  <w:vAlign w:val="bottom"/>
                  <w:hideMark/>
                </w:tcPr>
                <w:p w:rsidR="002C6D60" w:rsidRPr="002C6D60" w:rsidRDefault="002C6D60" w:rsidP="002C6D60">
                  <w:pPr>
                    <w:jc w:val="left"/>
                    <w:rPr>
                      <w:rFonts w:ascii="Times New Roman CE" w:hAnsi="Times New Roman CE" w:cs="Times New Roman CE"/>
                      <w:sz w:val="22"/>
                      <w:szCs w:val="22"/>
                    </w:rPr>
                  </w:pPr>
                  <w:r w:rsidRPr="002C6D60">
                    <w:rPr>
                      <w:rFonts w:ascii="Times New Roman CE" w:hAnsi="Times New Roman CE" w:cs="Times New Roman CE"/>
                      <w:sz w:val="22"/>
                      <w:szCs w:val="22"/>
                    </w:rPr>
                    <w:t xml:space="preserve">     ebből: saját felhasználás***</w:t>
                  </w:r>
                </w:p>
              </w:tc>
              <w:tc>
                <w:tcPr>
                  <w:tcW w:w="1167" w:type="dxa"/>
                  <w:tcBorders>
                    <w:top w:val="nil"/>
                    <w:left w:val="nil"/>
                    <w:bottom w:val="nil"/>
                    <w:right w:val="nil"/>
                  </w:tcBorders>
                  <w:shd w:val="clear" w:color="auto" w:fill="auto"/>
                  <w:noWrap/>
                  <w:vAlign w:val="bottom"/>
                  <w:hideMark/>
                </w:tcPr>
                <w:p w:rsidR="002C6D60" w:rsidRPr="002C6D60" w:rsidRDefault="002C6D60" w:rsidP="002C6D60">
                  <w:pPr>
                    <w:jc w:val="center"/>
                    <w:rPr>
                      <w:rFonts w:ascii="Times New Roman CE" w:hAnsi="Times New Roman CE" w:cs="Times New Roman CE"/>
                      <w:sz w:val="22"/>
                      <w:szCs w:val="22"/>
                    </w:rPr>
                  </w:pPr>
                  <w:r w:rsidRPr="002C6D60">
                    <w:rPr>
                      <w:rFonts w:ascii="Times New Roman CE" w:hAnsi="Times New Roman CE" w:cs="Times New Roman CE"/>
                      <w:sz w:val="22"/>
                      <w:szCs w:val="22"/>
                    </w:rPr>
                    <w:t>em</w:t>
                  </w:r>
                  <w:r w:rsidRPr="002C6D60">
                    <w:rPr>
                      <w:rFonts w:ascii="Times New Roman CE" w:hAnsi="Times New Roman CE" w:cs="Times New Roman CE"/>
                      <w:sz w:val="22"/>
                      <w:szCs w:val="22"/>
                      <w:vertAlign w:val="superscript"/>
                    </w:rPr>
                    <w:t>3</w:t>
                  </w:r>
                </w:p>
              </w:tc>
              <w:tc>
                <w:tcPr>
                  <w:tcW w:w="1095" w:type="dxa"/>
                  <w:tcBorders>
                    <w:top w:val="nil"/>
                    <w:left w:val="nil"/>
                    <w:bottom w:val="nil"/>
                    <w:right w:val="nil"/>
                  </w:tcBorders>
                  <w:shd w:val="clear" w:color="auto" w:fill="auto"/>
                  <w:noWrap/>
                  <w:vAlign w:val="bottom"/>
                  <w:hideMark/>
                </w:tcPr>
                <w:p w:rsidR="002C6D60" w:rsidRPr="002C6D60" w:rsidRDefault="002C6D60" w:rsidP="002C6D60">
                  <w:pPr>
                    <w:jc w:val="right"/>
                    <w:rPr>
                      <w:rFonts w:ascii="Times New Roman CE" w:hAnsi="Times New Roman CE" w:cs="Times New Roman CE"/>
                      <w:sz w:val="22"/>
                      <w:szCs w:val="22"/>
                    </w:rPr>
                  </w:pPr>
                  <w:r w:rsidRPr="002C6D60">
                    <w:rPr>
                      <w:rFonts w:ascii="Times New Roman CE" w:hAnsi="Times New Roman CE" w:cs="Times New Roman CE"/>
                      <w:sz w:val="22"/>
                      <w:szCs w:val="22"/>
                    </w:rPr>
                    <w:t>34</w:t>
                  </w:r>
                </w:p>
              </w:tc>
              <w:tc>
                <w:tcPr>
                  <w:tcW w:w="972" w:type="dxa"/>
                  <w:tcBorders>
                    <w:top w:val="nil"/>
                    <w:left w:val="nil"/>
                    <w:bottom w:val="nil"/>
                    <w:right w:val="nil"/>
                  </w:tcBorders>
                  <w:shd w:val="clear" w:color="auto" w:fill="auto"/>
                  <w:noWrap/>
                  <w:vAlign w:val="bottom"/>
                  <w:hideMark/>
                </w:tcPr>
                <w:p w:rsidR="002C6D60" w:rsidRPr="002C6D60" w:rsidRDefault="002C6D60" w:rsidP="002C6D60">
                  <w:pPr>
                    <w:jc w:val="right"/>
                    <w:rPr>
                      <w:rFonts w:ascii="Times New Roman CE" w:hAnsi="Times New Roman CE" w:cs="Times New Roman CE"/>
                      <w:sz w:val="22"/>
                      <w:szCs w:val="22"/>
                    </w:rPr>
                  </w:pPr>
                  <w:r w:rsidRPr="002C6D60">
                    <w:rPr>
                      <w:rFonts w:ascii="Times New Roman CE" w:hAnsi="Times New Roman CE" w:cs="Times New Roman CE"/>
                      <w:sz w:val="22"/>
                      <w:szCs w:val="22"/>
                    </w:rPr>
                    <w:t>40</w:t>
                  </w:r>
                </w:p>
              </w:tc>
              <w:tc>
                <w:tcPr>
                  <w:tcW w:w="1027" w:type="dxa"/>
                  <w:tcBorders>
                    <w:top w:val="nil"/>
                    <w:left w:val="nil"/>
                    <w:bottom w:val="nil"/>
                    <w:right w:val="nil"/>
                  </w:tcBorders>
                  <w:shd w:val="clear" w:color="auto" w:fill="auto"/>
                  <w:noWrap/>
                  <w:vAlign w:val="bottom"/>
                  <w:hideMark/>
                </w:tcPr>
                <w:p w:rsidR="002C6D60" w:rsidRPr="002C6D60" w:rsidRDefault="002C6D60" w:rsidP="002C6D60">
                  <w:pPr>
                    <w:jc w:val="right"/>
                    <w:rPr>
                      <w:rFonts w:ascii="Times New Roman CE" w:hAnsi="Times New Roman CE" w:cs="Times New Roman CE"/>
                      <w:sz w:val="22"/>
                      <w:szCs w:val="22"/>
                    </w:rPr>
                  </w:pPr>
                  <w:r w:rsidRPr="002C6D60">
                    <w:rPr>
                      <w:rFonts w:ascii="Times New Roman CE" w:hAnsi="Times New Roman CE" w:cs="Times New Roman CE"/>
                      <w:sz w:val="22"/>
                      <w:szCs w:val="22"/>
                    </w:rPr>
                    <w:t>39</w:t>
                  </w:r>
                </w:p>
              </w:tc>
              <w:tc>
                <w:tcPr>
                  <w:tcW w:w="1033" w:type="dxa"/>
                  <w:tcBorders>
                    <w:top w:val="nil"/>
                    <w:left w:val="nil"/>
                    <w:bottom w:val="nil"/>
                    <w:right w:val="nil"/>
                  </w:tcBorders>
                  <w:shd w:val="clear" w:color="auto" w:fill="auto"/>
                  <w:noWrap/>
                  <w:vAlign w:val="bottom"/>
                  <w:hideMark/>
                </w:tcPr>
                <w:p w:rsidR="002C6D60" w:rsidRPr="002C6D60" w:rsidRDefault="002C6D60" w:rsidP="002C6D60">
                  <w:pPr>
                    <w:jc w:val="right"/>
                    <w:rPr>
                      <w:rFonts w:ascii="Times New Roman CE" w:hAnsi="Times New Roman CE" w:cs="Times New Roman CE"/>
                      <w:sz w:val="22"/>
                      <w:szCs w:val="22"/>
                    </w:rPr>
                  </w:pPr>
                  <w:r w:rsidRPr="002C6D60">
                    <w:rPr>
                      <w:rFonts w:ascii="Times New Roman CE" w:hAnsi="Times New Roman CE" w:cs="Times New Roman CE"/>
                      <w:sz w:val="22"/>
                      <w:szCs w:val="22"/>
                    </w:rPr>
                    <w:t>114,7%</w:t>
                  </w:r>
                </w:p>
              </w:tc>
              <w:tc>
                <w:tcPr>
                  <w:tcW w:w="1033" w:type="dxa"/>
                  <w:tcBorders>
                    <w:top w:val="nil"/>
                    <w:left w:val="nil"/>
                    <w:bottom w:val="nil"/>
                    <w:right w:val="nil"/>
                  </w:tcBorders>
                  <w:shd w:val="clear" w:color="auto" w:fill="auto"/>
                  <w:noWrap/>
                  <w:vAlign w:val="bottom"/>
                  <w:hideMark/>
                </w:tcPr>
                <w:p w:rsidR="002C6D60" w:rsidRPr="002C6D60" w:rsidRDefault="002C6D60" w:rsidP="002C6D60">
                  <w:pPr>
                    <w:jc w:val="right"/>
                    <w:rPr>
                      <w:rFonts w:ascii="Times New Roman CE" w:hAnsi="Times New Roman CE" w:cs="Times New Roman CE"/>
                      <w:sz w:val="22"/>
                      <w:szCs w:val="22"/>
                    </w:rPr>
                  </w:pPr>
                  <w:r w:rsidRPr="002C6D60">
                    <w:rPr>
                      <w:rFonts w:ascii="Times New Roman CE" w:hAnsi="Times New Roman CE" w:cs="Times New Roman CE"/>
                      <w:sz w:val="22"/>
                      <w:szCs w:val="22"/>
                    </w:rPr>
                    <w:t>97,5%</w:t>
                  </w:r>
                </w:p>
              </w:tc>
            </w:tr>
            <w:tr w:rsidR="002C6D60" w:rsidRPr="002C6D60" w:rsidTr="002C6D60">
              <w:trPr>
                <w:trHeight w:val="289"/>
              </w:trPr>
              <w:tc>
                <w:tcPr>
                  <w:tcW w:w="3253" w:type="dxa"/>
                  <w:tcBorders>
                    <w:top w:val="nil"/>
                    <w:left w:val="nil"/>
                    <w:bottom w:val="nil"/>
                    <w:right w:val="nil"/>
                  </w:tcBorders>
                  <w:shd w:val="clear" w:color="auto" w:fill="auto"/>
                  <w:noWrap/>
                  <w:vAlign w:val="bottom"/>
                  <w:hideMark/>
                </w:tcPr>
                <w:p w:rsidR="002C6D60" w:rsidRPr="002C6D60" w:rsidRDefault="002C6D60" w:rsidP="002C6D60">
                  <w:pPr>
                    <w:jc w:val="left"/>
                    <w:rPr>
                      <w:rFonts w:ascii="Times New Roman CE" w:hAnsi="Times New Roman CE" w:cs="Times New Roman CE"/>
                      <w:sz w:val="22"/>
                      <w:szCs w:val="22"/>
                    </w:rPr>
                  </w:pPr>
                  <w:r w:rsidRPr="002C6D60">
                    <w:rPr>
                      <w:rFonts w:ascii="Times New Roman CE" w:hAnsi="Times New Roman CE" w:cs="Times New Roman CE"/>
                      <w:sz w:val="22"/>
                      <w:szCs w:val="22"/>
                    </w:rPr>
                    <w:t xml:space="preserve">              értékesítés***</w:t>
                  </w:r>
                </w:p>
              </w:tc>
              <w:tc>
                <w:tcPr>
                  <w:tcW w:w="1167" w:type="dxa"/>
                  <w:tcBorders>
                    <w:top w:val="nil"/>
                    <w:left w:val="nil"/>
                    <w:bottom w:val="nil"/>
                    <w:right w:val="nil"/>
                  </w:tcBorders>
                  <w:shd w:val="clear" w:color="auto" w:fill="auto"/>
                  <w:noWrap/>
                  <w:vAlign w:val="bottom"/>
                  <w:hideMark/>
                </w:tcPr>
                <w:p w:rsidR="002C6D60" w:rsidRPr="002C6D60" w:rsidRDefault="002C6D60" w:rsidP="002C6D60">
                  <w:pPr>
                    <w:jc w:val="center"/>
                    <w:rPr>
                      <w:rFonts w:ascii="Times New Roman CE" w:hAnsi="Times New Roman CE" w:cs="Times New Roman CE"/>
                      <w:sz w:val="22"/>
                      <w:szCs w:val="22"/>
                    </w:rPr>
                  </w:pPr>
                  <w:r w:rsidRPr="002C6D60">
                    <w:rPr>
                      <w:rFonts w:ascii="Times New Roman CE" w:hAnsi="Times New Roman CE" w:cs="Times New Roman CE"/>
                      <w:sz w:val="22"/>
                      <w:szCs w:val="22"/>
                    </w:rPr>
                    <w:t>em</w:t>
                  </w:r>
                  <w:r w:rsidRPr="002C6D60">
                    <w:rPr>
                      <w:rFonts w:ascii="Times New Roman CE" w:hAnsi="Times New Roman CE" w:cs="Times New Roman CE"/>
                      <w:sz w:val="22"/>
                      <w:szCs w:val="22"/>
                      <w:vertAlign w:val="superscript"/>
                    </w:rPr>
                    <w:t>3</w:t>
                  </w:r>
                </w:p>
              </w:tc>
              <w:tc>
                <w:tcPr>
                  <w:tcW w:w="1095" w:type="dxa"/>
                  <w:tcBorders>
                    <w:top w:val="nil"/>
                    <w:left w:val="nil"/>
                    <w:bottom w:val="nil"/>
                    <w:right w:val="nil"/>
                  </w:tcBorders>
                  <w:shd w:val="clear" w:color="auto" w:fill="auto"/>
                  <w:noWrap/>
                  <w:vAlign w:val="bottom"/>
                  <w:hideMark/>
                </w:tcPr>
                <w:p w:rsidR="002C6D60" w:rsidRPr="002C6D60" w:rsidRDefault="002C6D60" w:rsidP="002C6D60">
                  <w:pPr>
                    <w:jc w:val="right"/>
                    <w:rPr>
                      <w:rFonts w:ascii="Times New Roman CE" w:hAnsi="Times New Roman CE" w:cs="Times New Roman CE"/>
                      <w:sz w:val="22"/>
                      <w:szCs w:val="22"/>
                    </w:rPr>
                  </w:pPr>
                  <w:r w:rsidRPr="002C6D60">
                    <w:rPr>
                      <w:rFonts w:ascii="Times New Roman CE" w:hAnsi="Times New Roman CE" w:cs="Times New Roman CE"/>
                      <w:sz w:val="22"/>
                      <w:szCs w:val="22"/>
                    </w:rPr>
                    <w:t>37</w:t>
                  </w:r>
                </w:p>
              </w:tc>
              <w:tc>
                <w:tcPr>
                  <w:tcW w:w="972" w:type="dxa"/>
                  <w:tcBorders>
                    <w:top w:val="nil"/>
                    <w:left w:val="nil"/>
                    <w:bottom w:val="nil"/>
                    <w:right w:val="nil"/>
                  </w:tcBorders>
                  <w:shd w:val="clear" w:color="auto" w:fill="auto"/>
                  <w:noWrap/>
                  <w:vAlign w:val="bottom"/>
                  <w:hideMark/>
                </w:tcPr>
                <w:p w:rsidR="002C6D60" w:rsidRPr="002C6D60" w:rsidRDefault="002C6D60" w:rsidP="002C6D60">
                  <w:pPr>
                    <w:jc w:val="right"/>
                    <w:rPr>
                      <w:rFonts w:ascii="Times New Roman CE" w:hAnsi="Times New Roman CE" w:cs="Times New Roman CE"/>
                      <w:sz w:val="22"/>
                      <w:szCs w:val="22"/>
                    </w:rPr>
                  </w:pPr>
                  <w:r w:rsidRPr="002C6D60">
                    <w:rPr>
                      <w:rFonts w:ascii="Times New Roman CE" w:hAnsi="Times New Roman CE" w:cs="Times New Roman CE"/>
                      <w:sz w:val="22"/>
                      <w:szCs w:val="22"/>
                    </w:rPr>
                    <w:t>65</w:t>
                  </w:r>
                </w:p>
              </w:tc>
              <w:tc>
                <w:tcPr>
                  <w:tcW w:w="1027" w:type="dxa"/>
                  <w:tcBorders>
                    <w:top w:val="nil"/>
                    <w:left w:val="nil"/>
                    <w:bottom w:val="nil"/>
                    <w:right w:val="nil"/>
                  </w:tcBorders>
                  <w:shd w:val="clear" w:color="auto" w:fill="auto"/>
                  <w:noWrap/>
                  <w:vAlign w:val="bottom"/>
                  <w:hideMark/>
                </w:tcPr>
                <w:p w:rsidR="002C6D60" w:rsidRPr="002C6D60" w:rsidRDefault="002C6D60" w:rsidP="002C6D60">
                  <w:pPr>
                    <w:jc w:val="right"/>
                    <w:rPr>
                      <w:rFonts w:ascii="Times New Roman CE" w:hAnsi="Times New Roman CE" w:cs="Times New Roman CE"/>
                      <w:sz w:val="22"/>
                      <w:szCs w:val="22"/>
                    </w:rPr>
                  </w:pPr>
                  <w:r w:rsidRPr="002C6D60">
                    <w:rPr>
                      <w:rFonts w:ascii="Times New Roman CE" w:hAnsi="Times New Roman CE" w:cs="Times New Roman CE"/>
                      <w:sz w:val="22"/>
                      <w:szCs w:val="22"/>
                    </w:rPr>
                    <w:t>60</w:t>
                  </w:r>
                </w:p>
              </w:tc>
              <w:tc>
                <w:tcPr>
                  <w:tcW w:w="1033" w:type="dxa"/>
                  <w:tcBorders>
                    <w:top w:val="nil"/>
                    <w:left w:val="nil"/>
                    <w:bottom w:val="nil"/>
                    <w:right w:val="nil"/>
                  </w:tcBorders>
                  <w:shd w:val="clear" w:color="auto" w:fill="auto"/>
                  <w:noWrap/>
                  <w:vAlign w:val="bottom"/>
                  <w:hideMark/>
                </w:tcPr>
                <w:p w:rsidR="002C6D60" w:rsidRPr="002C6D60" w:rsidRDefault="002C6D60" w:rsidP="002C6D60">
                  <w:pPr>
                    <w:jc w:val="right"/>
                    <w:rPr>
                      <w:rFonts w:ascii="Times New Roman CE" w:hAnsi="Times New Roman CE" w:cs="Times New Roman CE"/>
                      <w:sz w:val="22"/>
                      <w:szCs w:val="22"/>
                    </w:rPr>
                  </w:pPr>
                  <w:r w:rsidRPr="002C6D60">
                    <w:rPr>
                      <w:rFonts w:ascii="Times New Roman CE" w:hAnsi="Times New Roman CE" w:cs="Times New Roman CE"/>
                      <w:sz w:val="22"/>
                      <w:szCs w:val="22"/>
                    </w:rPr>
                    <w:t>162,2%</w:t>
                  </w:r>
                </w:p>
              </w:tc>
              <w:tc>
                <w:tcPr>
                  <w:tcW w:w="1033" w:type="dxa"/>
                  <w:tcBorders>
                    <w:top w:val="nil"/>
                    <w:left w:val="nil"/>
                    <w:bottom w:val="nil"/>
                    <w:right w:val="nil"/>
                  </w:tcBorders>
                  <w:shd w:val="clear" w:color="auto" w:fill="auto"/>
                  <w:noWrap/>
                  <w:vAlign w:val="bottom"/>
                  <w:hideMark/>
                </w:tcPr>
                <w:p w:rsidR="002C6D60" w:rsidRPr="002C6D60" w:rsidRDefault="002C6D60" w:rsidP="002C6D60">
                  <w:pPr>
                    <w:jc w:val="right"/>
                    <w:rPr>
                      <w:rFonts w:ascii="Times New Roman CE" w:hAnsi="Times New Roman CE" w:cs="Times New Roman CE"/>
                      <w:sz w:val="22"/>
                      <w:szCs w:val="22"/>
                    </w:rPr>
                  </w:pPr>
                  <w:r w:rsidRPr="002C6D60">
                    <w:rPr>
                      <w:rFonts w:ascii="Times New Roman CE" w:hAnsi="Times New Roman CE" w:cs="Times New Roman CE"/>
                      <w:sz w:val="22"/>
                      <w:szCs w:val="22"/>
                    </w:rPr>
                    <w:t>92,3%</w:t>
                  </w:r>
                </w:p>
              </w:tc>
            </w:tr>
          </w:tbl>
          <w:p w:rsidR="002C6D60" w:rsidRDefault="002C6D60" w:rsidP="00DB2665">
            <w:pPr>
              <w:jc w:val="left"/>
              <w:rPr>
                <w:rFonts w:ascii="Times New Roman CE" w:hAnsi="Times New Roman CE" w:cs="Times New Roman CE"/>
                <w:sz w:val="18"/>
                <w:szCs w:val="18"/>
              </w:rPr>
            </w:pPr>
          </w:p>
          <w:p w:rsidR="00CA36D0" w:rsidRDefault="002C6D60" w:rsidP="00DB2665">
            <w:pPr>
              <w:jc w:val="left"/>
              <w:rPr>
                <w:rFonts w:ascii="Times New Roman CE" w:hAnsi="Times New Roman CE" w:cs="Times New Roman CE"/>
                <w:sz w:val="18"/>
                <w:szCs w:val="18"/>
              </w:rPr>
            </w:pPr>
            <w:r w:rsidRPr="00DB2665">
              <w:rPr>
                <w:rFonts w:ascii="Times New Roman CE" w:hAnsi="Times New Roman CE" w:cs="Times New Roman CE"/>
                <w:sz w:val="18"/>
                <w:szCs w:val="18"/>
              </w:rPr>
              <w:t>***2022. márciusban felújítás miatt leállt az ipari víz termelés, ivóvíz értékesítése és felhasználása történt</w:t>
            </w:r>
          </w:p>
          <w:p w:rsidR="002C6D60" w:rsidRPr="00702CF8" w:rsidRDefault="002C6D60" w:rsidP="00DB2665">
            <w:pPr>
              <w:jc w:val="left"/>
              <w:rPr>
                <w:rFonts w:ascii="Times New Roman CE" w:hAnsi="Times New Roman CE" w:cs="Times New Roman CE"/>
                <w:sz w:val="12"/>
                <w:szCs w:val="12"/>
              </w:rPr>
            </w:pPr>
          </w:p>
          <w:p w:rsidR="002C6D60" w:rsidRPr="00A54F90" w:rsidRDefault="002C6D60" w:rsidP="00DB2665">
            <w:pPr>
              <w:jc w:val="left"/>
              <w:rPr>
                <w:rFonts w:ascii="Times New Roman CE" w:hAnsi="Times New Roman CE" w:cs="Times New Roman CE"/>
                <w:sz w:val="8"/>
                <w:szCs w:val="8"/>
              </w:rPr>
            </w:pPr>
          </w:p>
        </w:tc>
        <w:tc>
          <w:tcPr>
            <w:tcW w:w="1021" w:type="dxa"/>
            <w:tcBorders>
              <w:top w:val="nil"/>
              <w:left w:val="nil"/>
              <w:bottom w:val="nil"/>
              <w:right w:val="nil"/>
            </w:tcBorders>
            <w:shd w:val="clear" w:color="auto" w:fill="auto"/>
            <w:noWrap/>
            <w:vAlign w:val="bottom"/>
            <w:hideMark/>
          </w:tcPr>
          <w:p w:rsidR="00DB2665" w:rsidRPr="00DB2665" w:rsidRDefault="00DB2665" w:rsidP="00DB2665">
            <w:pPr>
              <w:jc w:val="left"/>
              <w:rPr>
                <w:rFonts w:ascii="Times New Roman CE" w:hAnsi="Times New Roman CE" w:cs="Times New Roman CE"/>
                <w:sz w:val="18"/>
                <w:szCs w:val="18"/>
              </w:rPr>
            </w:pPr>
          </w:p>
        </w:tc>
      </w:tr>
    </w:tbl>
    <w:p w:rsidR="00396501" w:rsidRPr="00582241" w:rsidRDefault="00D51AA4" w:rsidP="00582241">
      <w:pPr>
        <w:pStyle w:val="Cmsor2"/>
        <w:rPr>
          <w:bCs w:val="0"/>
          <w:iCs w:val="0"/>
          <w:sz w:val="24"/>
        </w:rPr>
      </w:pPr>
      <w:bookmarkStart w:id="17" w:name="_Toc132629470"/>
      <w:r w:rsidRPr="00DB2665">
        <w:rPr>
          <w:bCs w:val="0"/>
          <w:iCs w:val="0"/>
          <w:sz w:val="24"/>
        </w:rPr>
        <w:lastRenderedPageBreak/>
        <w:t>Ivóvíz termelés, értékesít</w:t>
      </w:r>
      <w:r w:rsidR="006A0540" w:rsidRPr="00DB2665">
        <w:rPr>
          <w:bCs w:val="0"/>
          <w:iCs w:val="0"/>
          <w:sz w:val="24"/>
        </w:rPr>
        <w:t>és</w:t>
      </w:r>
      <w:r w:rsidR="00361086" w:rsidRPr="00DB2665">
        <w:rPr>
          <w:bCs w:val="0"/>
          <w:iCs w:val="0"/>
          <w:sz w:val="24"/>
        </w:rPr>
        <w:t xml:space="preserve"> alakulása</w:t>
      </w:r>
      <w:r w:rsidR="001A6B7C" w:rsidRPr="00DB2665">
        <w:rPr>
          <w:bCs w:val="0"/>
          <w:iCs w:val="0"/>
          <w:sz w:val="24"/>
        </w:rPr>
        <w:t xml:space="preserve"> és </w:t>
      </w:r>
      <w:r w:rsidR="002F64EB" w:rsidRPr="00DB2665">
        <w:rPr>
          <w:bCs w:val="0"/>
          <w:iCs w:val="0"/>
          <w:sz w:val="24"/>
        </w:rPr>
        <w:t xml:space="preserve">a </w:t>
      </w:r>
      <w:r w:rsidR="001A6B7C" w:rsidRPr="00DB2665">
        <w:rPr>
          <w:bCs w:val="0"/>
          <w:iCs w:val="0"/>
          <w:sz w:val="24"/>
        </w:rPr>
        <w:t xml:space="preserve">szolgáltatási vízveszteség </w:t>
      </w:r>
      <w:r w:rsidR="002F64EB" w:rsidRPr="00DB2665">
        <w:rPr>
          <w:bCs w:val="0"/>
          <w:iCs w:val="0"/>
          <w:sz w:val="24"/>
        </w:rPr>
        <w:t>összetevői</w:t>
      </w:r>
      <w:bookmarkEnd w:id="17"/>
    </w:p>
    <w:p w:rsidR="00702CF8" w:rsidRDefault="00FA5DEF" w:rsidP="00FA5DEF">
      <w:pPr>
        <w:pStyle w:val="Szvegtrzs32"/>
        <w:jc w:val="center"/>
        <w:rPr>
          <w:sz w:val="16"/>
          <w:szCs w:val="16"/>
        </w:rPr>
      </w:pPr>
      <w:r>
        <w:rPr>
          <w:noProof/>
          <w:lang w:eastAsia="hu-HU"/>
        </w:rPr>
        <w:drawing>
          <wp:inline distT="0" distB="0" distL="0" distR="0" wp14:anchorId="05C600E1" wp14:editId="25D6FF79">
            <wp:extent cx="5676900" cy="3032760"/>
            <wp:effectExtent l="0" t="0" r="0" b="15240"/>
            <wp:docPr id="2" name="Diagram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r w:rsidR="007B5C36" w:rsidRPr="00DB2665">
        <w:rPr>
          <w:noProof/>
          <w:lang w:eastAsia="hu-HU"/>
        </w:rPr>
        <w:drawing>
          <wp:inline distT="0" distB="0" distL="0" distR="0" wp14:anchorId="19FD841B" wp14:editId="7DD668DB">
            <wp:extent cx="5181600" cy="3286125"/>
            <wp:effectExtent l="0" t="0" r="0" b="9525"/>
            <wp:docPr id="11" name="Diagram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702CF8" w:rsidRDefault="00702CF8">
      <w:pPr>
        <w:jc w:val="left"/>
        <w:rPr>
          <w:color w:val="00000A"/>
          <w:kern w:val="1"/>
          <w:sz w:val="16"/>
          <w:szCs w:val="16"/>
          <w:lang w:eastAsia="zh-CN"/>
        </w:rPr>
      </w:pPr>
      <w:r>
        <w:rPr>
          <w:sz w:val="16"/>
          <w:szCs w:val="16"/>
        </w:rPr>
        <w:br w:type="page"/>
      </w:r>
    </w:p>
    <w:p w:rsidR="007B5C36" w:rsidRPr="00FA5DEF" w:rsidRDefault="007B5C36" w:rsidP="00FA5DEF">
      <w:pPr>
        <w:pStyle w:val="Szvegtrzs32"/>
        <w:jc w:val="center"/>
        <w:rPr>
          <w:sz w:val="16"/>
          <w:szCs w:val="16"/>
        </w:rPr>
      </w:pPr>
    </w:p>
    <w:p w:rsidR="00BB3AAA" w:rsidRPr="00A86A97" w:rsidRDefault="00BB3AAA" w:rsidP="00A86A97">
      <w:pPr>
        <w:rPr>
          <w:szCs w:val="24"/>
        </w:rPr>
      </w:pPr>
    </w:p>
    <w:p w:rsidR="00D51AA4" w:rsidRPr="008A41F0" w:rsidRDefault="00D51AA4">
      <w:pPr>
        <w:pStyle w:val="Cmsor2"/>
        <w:rPr>
          <w:sz w:val="24"/>
          <w:szCs w:val="24"/>
        </w:rPr>
      </w:pPr>
      <w:bookmarkStart w:id="18" w:name="_Toc132629471"/>
      <w:r w:rsidRPr="008A41F0">
        <w:rPr>
          <w:sz w:val="24"/>
          <w:szCs w:val="24"/>
        </w:rPr>
        <w:t>Ivóvíz szolgáltatási veszteség összetevői</w:t>
      </w:r>
      <w:bookmarkEnd w:id="18"/>
    </w:p>
    <w:p w:rsidR="00D51AA4" w:rsidRPr="008A41F0" w:rsidRDefault="00D51AA4">
      <w:pPr>
        <w:rPr>
          <w:szCs w:val="24"/>
        </w:rPr>
      </w:pPr>
    </w:p>
    <w:p w:rsidR="00D51AA4" w:rsidRPr="008A41F0" w:rsidRDefault="00D51AA4">
      <w:pPr>
        <w:rPr>
          <w:szCs w:val="24"/>
        </w:rPr>
      </w:pPr>
      <w:r w:rsidRPr="008A41F0">
        <w:rPr>
          <w:szCs w:val="24"/>
        </w:rPr>
        <w:t xml:space="preserve">Az ivóvíz termelés és értékesítés közötti különbözet összetevői: </w:t>
      </w:r>
    </w:p>
    <w:p w:rsidR="00D51AA4" w:rsidRPr="008A41F0" w:rsidRDefault="00D51AA4">
      <w:pPr>
        <w:numPr>
          <w:ilvl w:val="0"/>
          <w:numId w:val="1"/>
        </w:numPr>
        <w:tabs>
          <w:tab w:val="center" w:pos="3544"/>
          <w:tab w:val="right" w:pos="5245"/>
          <w:tab w:val="right" w:pos="6662"/>
          <w:tab w:val="right" w:pos="8222"/>
        </w:tabs>
        <w:ind w:left="851" w:hanging="284"/>
        <w:rPr>
          <w:szCs w:val="24"/>
        </w:rPr>
      </w:pPr>
      <w:r w:rsidRPr="008A41F0">
        <w:rPr>
          <w:szCs w:val="24"/>
        </w:rPr>
        <w:t>saját vízfelhasználás</w:t>
      </w:r>
    </w:p>
    <w:p w:rsidR="00D51AA4" w:rsidRPr="008A41F0" w:rsidRDefault="00D51AA4">
      <w:pPr>
        <w:numPr>
          <w:ilvl w:val="0"/>
          <w:numId w:val="1"/>
        </w:numPr>
        <w:tabs>
          <w:tab w:val="center" w:pos="3544"/>
          <w:tab w:val="right" w:pos="5245"/>
          <w:tab w:val="right" w:pos="6662"/>
          <w:tab w:val="right" w:pos="8222"/>
        </w:tabs>
        <w:ind w:left="851" w:hanging="284"/>
        <w:rPr>
          <w:szCs w:val="24"/>
        </w:rPr>
      </w:pPr>
      <w:r w:rsidRPr="008A41F0">
        <w:rPr>
          <w:szCs w:val="24"/>
        </w:rPr>
        <w:t>technológiai vízfelhasználás (hálózatmosatáshoz használt mennyiség)</w:t>
      </w:r>
    </w:p>
    <w:p w:rsidR="00D51AA4" w:rsidRPr="008A41F0" w:rsidRDefault="005D1752" w:rsidP="00FB2343">
      <w:pPr>
        <w:numPr>
          <w:ilvl w:val="0"/>
          <w:numId w:val="1"/>
        </w:numPr>
        <w:tabs>
          <w:tab w:val="center" w:pos="3544"/>
          <w:tab w:val="right" w:pos="5245"/>
          <w:tab w:val="right" w:pos="6662"/>
          <w:tab w:val="right" w:pos="8222"/>
        </w:tabs>
        <w:ind w:left="851" w:hanging="284"/>
        <w:rPr>
          <w:szCs w:val="24"/>
        </w:rPr>
      </w:pPr>
      <w:r w:rsidRPr="008A41F0">
        <w:rPr>
          <w:szCs w:val="24"/>
        </w:rPr>
        <w:t>víztisztítási technológiákhoz</w:t>
      </w:r>
      <w:r w:rsidR="00D51AA4" w:rsidRPr="008A41F0">
        <w:rPr>
          <w:szCs w:val="24"/>
        </w:rPr>
        <w:t xml:space="preserve"> (</w:t>
      </w:r>
      <w:r w:rsidR="00222B79" w:rsidRPr="008A41F0">
        <w:rPr>
          <w:szCs w:val="24"/>
        </w:rPr>
        <w:t>szűrők öblítése</w:t>
      </w:r>
      <w:r w:rsidR="00D51AA4" w:rsidRPr="008A41F0">
        <w:rPr>
          <w:szCs w:val="24"/>
        </w:rPr>
        <w:t xml:space="preserve">) </w:t>
      </w:r>
      <w:r w:rsidR="00222B79" w:rsidRPr="008A41F0">
        <w:rPr>
          <w:szCs w:val="24"/>
        </w:rPr>
        <w:t xml:space="preserve">és tározómosásokhoz </w:t>
      </w:r>
      <w:r w:rsidR="00D51AA4" w:rsidRPr="008A41F0">
        <w:rPr>
          <w:szCs w:val="24"/>
        </w:rPr>
        <w:t>felhasznált vízmennyiség</w:t>
      </w:r>
    </w:p>
    <w:p w:rsidR="00222B79" w:rsidRPr="008A41F0" w:rsidRDefault="00222B79">
      <w:pPr>
        <w:numPr>
          <w:ilvl w:val="0"/>
          <w:numId w:val="1"/>
        </w:numPr>
        <w:tabs>
          <w:tab w:val="center" w:pos="3544"/>
          <w:tab w:val="right" w:pos="5245"/>
          <w:tab w:val="right" w:pos="6662"/>
          <w:tab w:val="right" w:pos="8222"/>
        </w:tabs>
        <w:ind w:left="851" w:hanging="284"/>
        <w:rPr>
          <w:szCs w:val="24"/>
        </w:rPr>
      </w:pPr>
      <w:r w:rsidRPr="008A41F0">
        <w:rPr>
          <w:szCs w:val="24"/>
        </w:rPr>
        <w:t xml:space="preserve">csatornahálózat dugulás elhárításához, hálózatok és szennyvízátemelők karbantartó mosásához felhasznált vízmennyiség </w:t>
      </w:r>
    </w:p>
    <w:p w:rsidR="00D51AA4" w:rsidRPr="008A41F0" w:rsidRDefault="00D51AA4" w:rsidP="00BC1892">
      <w:pPr>
        <w:numPr>
          <w:ilvl w:val="0"/>
          <w:numId w:val="1"/>
        </w:numPr>
        <w:tabs>
          <w:tab w:val="center" w:pos="3544"/>
          <w:tab w:val="right" w:pos="5245"/>
          <w:tab w:val="right" w:pos="6662"/>
          <w:tab w:val="right" w:pos="8222"/>
        </w:tabs>
        <w:ind w:left="851" w:right="628" w:hanging="284"/>
        <w:rPr>
          <w:szCs w:val="24"/>
        </w:rPr>
      </w:pPr>
      <w:r w:rsidRPr="008A41F0">
        <w:rPr>
          <w:szCs w:val="24"/>
        </w:rPr>
        <w:t>elosztó hálózat állapotából eredő rejtett elfolyások (földalatti szerelvények, acélvezetékek, házi bekötővezetékek korróziója</w:t>
      </w:r>
      <w:r w:rsidR="00222B79" w:rsidRPr="008A41F0">
        <w:rPr>
          <w:szCs w:val="24"/>
        </w:rPr>
        <w:t xml:space="preserve">, </w:t>
      </w:r>
      <w:r w:rsidRPr="008A41F0">
        <w:rPr>
          <w:szCs w:val="24"/>
        </w:rPr>
        <w:t>stb.</w:t>
      </w:r>
      <w:r w:rsidR="00222B79" w:rsidRPr="008A41F0">
        <w:rPr>
          <w:szCs w:val="24"/>
        </w:rPr>
        <w:t>)</w:t>
      </w:r>
    </w:p>
    <w:p w:rsidR="00D51AA4" w:rsidRPr="008A41F0" w:rsidRDefault="00D51AA4">
      <w:pPr>
        <w:numPr>
          <w:ilvl w:val="0"/>
          <w:numId w:val="1"/>
        </w:numPr>
        <w:tabs>
          <w:tab w:val="center" w:pos="3544"/>
          <w:tab w:val="right" w:pos="5245"/>
          <w:tab w:val="right" w:pos="6662"/>
          <w:tab w:val="right" w:pos="8222"/>
        </w:tabs>
        <w:ind w:left="851" w:hanging="284"/>
        <w:rPr>
          <w:szCs w:val="24"/>
        </w:rPr>
      </w:pPr>
      <w:r w:rsidRPr="008A41F0">
        <w:rPr>
          <w:szCs w:val="24"/>
        </w:rPr>
        <w:t>illetéktelen vízvételezés</w:t>
      </w:r>
    </w:p>
    <w:p w:rsidR="00F31D6B" w:rsidRPr="00DB2665" w:rsidRDefault="00D51AA4" w:rsidP="003E5148">
      <w:pPr>
        <w:numPr>
          <w:ilvl w:val="0"/>
          <w:numId w:val="1"/>
        </w:numPr>
        <w:tabs>
          <w:tab w:val="center" w:pos="3544"/>
          <w:tab w:val="right" w:pos="5245"/>
          <w:tab w:val="right" w:pos="6662"/>
          <w:tab w:val="right" w:pos="8222"/>
        </w:tabs>
        <w:ind w:left="851" w:hanging="284"/>
        <w:jc w:val="left"/>
        <w:rPr>
          <w:sz w:val="23"/>
          <w:szCs w:val="23"/>
        </w:rPr>
      </w:pPr>
      <w:r w:rsidRPr="008A41F0">
        <w:rPr>
          <w:szCs w:val="24"/>
        </w:rPr>
        <w:t>mérési pontatlanság</w:t>
      </w:r>
    </w:p>
    <w:p w:rsidR="00F31D6B" w:rsidRPr="00DB2665" w:rsidRDefault="00F31D6B">
      <w:pPr>
        <w:jc w:val="left"/>
        <w:rPr>
          <w:sz w:val="23"/>
          <w:szCs w:val="23"/>
        </w:rPr>
      </w:pPr>
    </w:p>
    <w:p w:rsidR="00D51AA4" w:rsidRPr="008A41F0" w:rsidRDefault="00D51AA4">
      <w:pPr>
        <w:pStyle w:val="Cmsor1"/>
        <w:rPr>
          <w:sz w:val="28"/>
          <w:szCs w:val="28"/>
        </w:rPr>
      </w:pPr>
      <w:bookmarkStart w:id="19" w:name="_Toc132629472"/>
      <w:r w:rsidRPr="008A41F0">
        <w:rPr>
          <w:sz w:val="28"/>
          <w:szCs w:val="28"/>
        </w:rPr>
        <w:t>III. SZENNYVÍZELVEZETÉS ÉS -TISZTÍTÁS</w:t>
      </w:r>
      <w:bookmarkEnd w:id="19"/>
    </w:p>
    <w:p w:rsidR="00D51AA4" w:rsidRPr="00DB2665" w:rsidRDefault="00D51AA4">
      <w:pPr>
        <w:pStyle w:val="xl86"/>
        <w:spacing w:before="0" w:beforeAutospacing="0" w:after="0" w:afterAutospacing="0"/>
        <w:rPr>
          <w:rFonts w:eastAsia="Times New Roman"/>
          <w:szCs w:val="20"/>
        </w:rPr>
      </w:pPr>
    </w:p>
    <w:p w:rsidR="00D51AA4" w:rsidRPr="00DB2665" w:rsidRDefault="00D51AA4">
      <w:pPr>
        <w:pStyle w:val="Szvegtrzs3"/>
        <w:tabs>
          <w:tab w:val="clear" w:pos="567"/>
          <w:tab w:val="clear" w:pos="7938"/>
        </w:tabs>
        <w:rPr>
          <w:szCs w:val="24"/>
        </w:rPr>
      </w:pPr>
      <w:r w:rsidRPr="00DB2665">
        <w:rPr>
          <w:szCs w:val="24"/>
        </w:rPr>
        <w:t xml:space="preserve">Társaságunk a szennyvízelvezetési és –tisztítási rendszerek működtetésével végzi a keletkező szennyvizek elvezetését, szakszerű tisztítását, a szennyvíziszap kezelését és ártalommentes elhelyezését. </w:t>
      </w:r>
    </w:p>
    <w:p w:rsidR="00D51AA4" w:rsidRPr="00DB2665" w:rsidRDefault="00D51AA4">
      <w:pPr>
        <w:rPr>
          <w:b/>
          <w:i/>
          <w:sz w:val="16"/>
          <w:szCs w:val="16"/>
        </w:rPr>
      </w:pPr>
    </w:p>
    <w:p w:rsidR="00D51AA4" w:rsidRPr="00AF4206" w:rsidRDefault="00D51AA4">
      <w:pPr>
        <w:pStyle w:val="Cmsor2"/>
        <w:rPr>
          <w:sz w:val="24"/>
          <w:szCs w:val="24"/>
        </w:rPr>
      </w:pPr>
      <w:bookmarkStart w:id="20" w:name="_Toc132629473"/>
      <w:r w:rsidRPr="00AF4206">
        <w:rPr>
          <w:sz w:val="24"/>
          <w:szCs w:val="24"/>
        </w:rPr>
        <w:t>Főbb műszaki és mennyiségi adatok</w:t>
      </w:r>
      <w:bookmarkEnd w:id="20"/>
    </w:p>
    <w:tbl>
      <w:tblPr>
        <w:tblW w:w="16965" w:type="dxa"/>
        <w:tblCellMar>
          <w:left w:w="70" w:type="dxa"/>
          <w:right w:w="70" w:type="dxa"/>
        </w:tblCellMar>
        <w:tblLook w:val="04A0" w:firstRow="1" w:lastRow="0" w:firstColumn="1" w:lastColumn="0" w:noHBand="0" w:noVBand="1"/>
      </w:tblPr>
      <w:tblGrid>
        <w:gridCol w:w="10420"/>
        <w:gridCol w:w="1060"/>
        <w:gridCol w:w="1240"/>
        <w:gridCol w:w="960"/>
        <w:gridCol w:w="1040"/>
        <w:gridCol w:w="1173"/>
        <w:gridCol w:w="1072"/>
      </w:tblGrid>
      <w:tr w:rsidR="00B74D52" w:rsidRPr="00DB2665" w:rsidTr="00582241">
        <w:trPr>
          <w:trHeight w:val="289"/>
        </w:trPr>
        <w:tc>
          <w:tcPr>
            <w:tcW w:w="10420" w:type="dxa"/>
            <w:tcBorders>
              <w:top w:val="nil"/>
              <w:left w:val="nil"/>
              <w:bottom w:val="nil"/>
              <w:right w:val="nil"/>
            </w:tcBorders>
            <w:shd w:val="clear" w:color="auto" w:fill="auto"/>
            <w:noWrap/>
            <w:vAlign w:val="bottom"/>
            <w:hideMark/>
          </w:tcPr>
          <w:p w:rsidR="00B74D52" w:rsidRPr="00DB2665" w:rsidRDefault="00B74D52" w:rsidP="00B74D52">
            <w:pPr>
              <w:jc w:val="left"/>
              <w:rPr>
                <w:sz w:val="18"/>
                <w:szCs w:val="18"/>
              </w:rPr>
            </w:pPr>
          </w:p>
          <w:tbl>
            <w:tblPr>
              <w:tblW w:w="10182" w:type="dxa"/>
              <w:tblCellMar>
                <w:left w:w="70" w:type="dxa"/>
                <w:right w:w="70" w:type="dxa"/>
              </w:tblCellMar>
              <w:tblLook w:val="04A0" w:firstRow="1" w:lastRow="0" w:firstColumn="1" w:lastColumn="0" w:noHBand="0" w:noVBand="1"/>
            </w:tblPr>
            <w:tblGrid>
              <w:gridCol w:w="3748"/>
              <w:gridCol w:w="1002"/>
              <w:gridCol w:w="165"/>
              <w:gridCol w:w="969"/>
              <w:gridCol w:w="142"/>
              <w:gridCol w:w="701"/>
              <w:gridCol w:w="240"/>
              <w:gridCol w:w="780"/>
              <w:gridCol w:w="240"/>
              <w:gridCol w:w="905"/>
              <w:gridCol w:w="240"/>
              <w:gridCol w:w="810"/>
              <w:gridCol w:w="240"/>
            </w:tblGrid>
            <w:tr w:rsidR="009E24B3" w:rsidRPr="00DB2665" w:rsidTr="009E24B3">
              <w:trPr>
                <w:trHeight w:val="435"/>
              </w:trPr>
              <w:tc>
                <w:tcPr>
                  <w:tcW w:w="3748" w:type="dxa"/>
                  <w:vMerge w:val="restart"/>
                  <w:tcBorders>
                    <w:top w:val="single" w:sz="4" w:space="0" w:color="auto"/>
                    <w:left w:val="nil"/>
                    <w:bottom w:val="single" w:sz="4" w:space="0" w:color="000000"/>
                    <w:right w:val="nil"/>
                  </w:tcBorders>
                  <w:shd w:val="clear" w:color="auto" w:fill="auto"/>
                  <w:vAlign w:val="center"/>
                  <w:hideMark/>
                </w:tcPr>
                <w:p w:rsidR="009E24B3" w:rsidRPr="00DB2665" w:rsidRDefault="009E24B3" w:rsidP="009E24B3">
                  <w:pPr>
                    <w:jc w:val="center"/>
                    <w:rPr>
                      <w:rFonts w:ascii="Times New Roman CE" w:hAnsi="Times New Roman CE" w:cs="Times New Roman CE"/>
                      <w:i/>
                      <w:iCs/>
                      <w:sz w:val="22"/>
                      <w:szCs w:val="22"/>
                    </w:rPr>
                  </w:pPr>
                  <w:r w:rsidRPr="00DB2665">
                    <w:rPr>
                      <w:rFonts w:ascii="Times New Roman CE" w:hAnsi="Times New Roman CE" w:cs="Times New Roman CE"/>
                      <w:i/>
                      <w:iCs/>
                      <w:sz w:val="22"/>
                      <w:szCs w:val="22"/>
                    </w:rPr>
                    <w:t>Megnevezés</w:t>
                  </w:r>
                </w:p>
              </w:tc>
              <w:tc>
                <w:tcPr>
                  <w:tcW w:w="1167" w:type="dxa"/>
                  <w:gridSpan w:val="2"/>
                  <w:vMerge w:val="restart"/>
                  <w:tcBorders>
                    <w:top w:val="single" w:sz="4" w:space="0" w:color="auto"/>
                    <w:left w:val="nil"/>
                    <w:bottom w:val="single" w:sz="4" w:space="0" w:color="000000"/>
                    <w:right w:val="nil"/>
                  </w:tcBorders>
                  <w:shd w:val="clear" w:color="auto" w:fill="auto"/>
                  <w:vAlign w:val="center"/>
                  <w:hideMark/>
                </w:tcPr>
                <w:p w:rsidR="009E24B3" w:rsidRPr="00DB2665" w:rsidRDefault="009E24B3" w:rsidP="009E24B3">
                  <w:pPr>
                    <w:ind w:right="95"/>
                    <w:jc w:val="center"/>
                    <w:rPr>
                      <w:rFonts w:ascii="Times New Roman CE" w:hAnsi="Times New Roman CE" w:cs="Times New Roman CE"/>
                      <w:i/>
                      <w:iCs/>
                      <w:sz w:val="21"/>
                      <w:szCs w:val="21"/>
                    </w:rPr>
                  </w:pPr>
                  <w:r w:rsidRPr="00DB2665">
                    <w:rPr>
                      <w:rFonts w:ascii="Times New Roman CE" w:hAnsi="Times New Roman CE" w:cs="Times New Roman CE"/>
                      <w:i/>
                      <w:iCs/>
                      <w:sz w:val="21"/>
                      <w:szCs w:val="21"/>
                    </w:rPr>
                    <w:t>Mértékegység</w:t>
                  </w:r>
                </w:p>
              </w:tc>
              <w:tc>
                <w:tcPr>
                  <w:tcW w:w="1111" w:type="dxa"/>
                  <w:gridSpan w:val="2"/>
                  <w:vMerge w:val="restart"/>
                  <w:tcBorders>
                    <w:top w:val="single" w:sz="4" w:space="0" w:color="auto"/>
                    <w:left w:val="nil"/>
                    <w:bottom w:val="single" w:sz="4" w:space="0" w:color="000000"/>
                    <w:right w:val="nil"/>
                  </w:tcBorders>
                  <w:shd w:val="clear" w:color="auto" w:fill="auto"/>
                  <w:vAlign w:val="center"/>
                  <w:hideMark/>
                </w:tcPr>
                <w:p w:rsidR="009E24B3" w:rsidRPr="00DB2665" w:rsidRDefault="009E24B3" w:rsidP="009E24B3">
                  <w:pPr>
                    <w:jc w:val="center"/>
                    <w:rPr>
                      <w:rFonts w:ascii="Times New Roman CE" w:hAnsi="Times New Roman CE" w:cs="Times New Roman CE"/>
                      <w:i/>
                      <w:iCs/>
                      <w:sz w:val="21"/>
                      <w:szCs w:val="21"/>
                    </w:rPr>
                  </w:pPr>
                  <w:r w:rsidRPr="00DB2665">
                    <w:rPr>
                      <w:rFonts w:ascii="Times New Roman CE" w:hAnsi="Times New Roman CE" w:cs="Times New Roman CE"/>
                      <w:i/>
                      <w:iCs/>
                      <w:sz w:val="21"/>
                      <w:szCs w:val="21"/>
                    </w:rPr>
                    <w:t>2021. évi tény</w:t>
                  </w:r>
                </w:p>
              </w:tc>
              <w:tc>
                <w:tcPr>
                  <w:tcW w:w="941" w:type="dxa"/>
                  <w:gridSpan w:val="2"/>
                  <w:vMerge w:val="restart"/>
                  <w:tcBorders>
                    <w:top w:val="single" w:sz="4" w:space="0" w:color="auto"/>
                    <w:left w:val="nil"/>
                    <w:bottom w:val="single" w:sz="4" w:space="0" w:color="000000"/>
                    <w:right w:val="nil"/>
                  </w:tcBorders>
                  <w:shd w:val="clear" w:color="auto" w:fill="auto"/>
                  <w:vAlign w:val="center"/>
                  <w:hideMark/>
                </w:tcPr>
                <w:p w:rsidR="009E24B3" w:rsidRPr="00DB2665" w:rsidRDefault="009E24B3" w:rsidP="009E24B3">
                  <w:pPr>
                    <w:jc w:val="center"/>
                    <w:rPr>
                      <w:rFonts w:ascii="Times New Roman CE" w:hAnsi="Times New Roman CE" w:cs="Times New Roman CE"/>
                      <w:i/>
                      <w:iCs/>
                      <w:sz w:val="21"/>
                      <w:szCs w:val="21"/>
                    </w:rPr>
                  </w:pPr>
                  <w:r w:rsidRPr="00DB2665">
                    <w:rPr>
                      <w:rFonts w:ascii="Times New Roman CE" w:hAnsi="Times New Roman CE" w:cs="Times New Roman CE"/>
                      <w:i/>
                      <w:iCs/>
                      <w:sz w:val="21"/>
                      <w:szCs w:val="21"/>
                    </w:rPr>
                    <w:t>2022. évi</w:t>
                  </w:r>
                  <w:r w:rsidRPr="00DB2665">
                    <w:rPr>
                      <w:rFonts w:ascii="Times New Roman CE" w:hAnsi="Times New Roman CE" w:cs="Times New Roman CE"/>
                      <w:i/>
                      <w:iCs/>
                      <w:sz w:val="21"/>
                      <w:szCs w:val="21"/>
                    </w:rPr>
                    <w:br/>
                    <w:t>terv</w:t>
                  </w:r>
                </w:p>
              </w:tc>
              <w:tc>
                <w:tcPr>
                  <w:tcW w:w="1020" w:type="dxa"/>
                  <w:gridSpan w:val="2"/>
                  <w:vMerge w:val="restart"/>
                  <w:tcBorders>
                    <w:top w:val="single" w:sz="4" w:space="0" w:color="auto"/>
                    <w:left w:val="nil"/>
                    <w:bottom w:val="single" w:sz="4" w:space="0" w:color="000000"/>
                    <w:right w:val="nil"/>
                  </w:tcBorders>
                  <w:shd w:val="clear" w:color="auto" w:fill="auto"/>
                  <w:vAlign w:val="center"/>
                  <w:hideMark/>
                </w:tcPr>
                <w:p w:rsidR="009E24B3" w:rsidRPr="00DB2665" w:rsidRDefault="009E24B3" w:rsidP="009E24B3">
                  <w:pPr>
                    <w:jc w:val="center"/>
                    <w:rPr>
                      <w:rFonts w:ascii="Times New Roman CE" w:hAnsi="Times New Roman CE" w:cs="Times New Roman CE"/>
                      <w:i/>
                      <w:iCs/>
                      <w:sz w:val="21"/>
                      <w:szCs w:val="21"/>
                    </w:rPr>
                  </w:pPr>
                  <w:r w:rsidRPr="00DB2665">
                    <w:rPr>
                      <w:rFonts w:ascii="Times New Roman CE" w:hAnsi="Times New Roman CE" w:cs="Times New Roman CE"/>
                      <w:i/>
                      <w:iCs/>
                      <w:sz w:val="21"/>
                      <w:szCs w:val="21"/>
                    </w:rPr>
                    <w:t>2022. évi tény</w:t>
                  </w:r>
                </w:p>
              </w:tc>
              <w:tc>
                <w:tcPr>
                  <w:tcW w:w="1145" w:type="dxa"/>
                  <w:gridSpan w:val="2"/>
                  <w:vMerge w:val="restart"/>
                  <w:tcBorders>
                    <w:top w:val="single" w:sz="4" w:space="0" w:color="auto"/>
                    <w:left w:val="nil"/>
                    <w:bottom w:val="single" w:sz="4" w:space="0" w:color="000000"/>
                    <w:right w:val="nil"/>
                  </w:tcBorders>
                  <w:shd w:val="clear" w:color="auto" w:fill="auto"/>
                  <w:vAlign w:val="center"/>
                  <w:hideMark/>
                </w:tcPr>
                <w:p w:rsidR="009E24B3" w:rsidRPr="00DB2665" w:rsidRDefault="009E24B3" w:rsidP="009E24B3">
                  <w:pPr>
                    <w:jc w:val="center"/>
                    <w:rPr>
                      <w:rFonts w:ascii="Times New Roman CE" w:hAnsi="Times New Roman CE" w:cs="Times New Roman CE"/>
                      <w:i/>
                      <w:iCs/>
                      <w:sz w:val="21"/>
                      <w:szCs w:val="21"/>
                    </w:rPr>
                  </w:pPr>
                  <w:r w:rsidRPr="00DB2665">
                    <w:rPr>
                      <w:rFonts w:ascii="Times New Roman CE" w:hAnsi="Times New Roman CE" w:cs="Times New Roman CE"/>
                      <w:i/>
                      <w:iCs/>
                      <w:sz w:val="21"/>
                      <w:szCs w:val="21"/>
                    </w:rPr>
                    <w:t xml:space="preserve">2022.tény/ </w:t>
                  </w:r>
                  <w:r w:rsidRPr="00DB2665">
                    <w:rPr>
                      <w:rFonts w:ascii="Times New Roman CE" w:hAnsi="Times New Roman CE" w:cs="Times New Roman CE"/>
                      <w:i/>
                      <w:iCs/>
                      <w:sz w:val="21"/>
                      <w:szCs w:val="21"/>
                    </w:rPr>
                    <w:br/>
                    <w:t>2021.tény</w:t>
                  </w:r>
                </w:p>
              </w:tc>
              <w:tc>
                <w:tcPr>
                  <w:tcW w:w="1050" w:type="dxa"/>
                  <w:gridSpan w:val="2"/>
                  <w:vMerge w:val="restart"/>
                  <w:tcBorders>
                    <w:top w:val="single" w:sz="4" w:space="0" w:color="auto"/>
                    <w:left w:val="nil"/>
                    <w:bottom w:val="single" w:sz="4" w:space="0" w:color="000000"/>
                    <w:right w:val="nil"/>
                  </w:tcBorders>
                  <w:shd w:val="clear" w:color="auto" w:fill="auto"/>
                  <w:vAlign w:val="center"/>
                  <w:hideMark/>
                </w:tcPr>
                <w:p w:rsidR="009E24B3" w:rsidRPr="00DB2665" w:rsidRDefault="009E24B3" w:rsidP="009E24B3">
                  <w:pPr>
                    <w:jc w:val="center"/>
                    <w:rPr>
                      <w:rFonts w:ascii="Times New Roman CE" w:hAnsi="Times New Roman CE" w:cs="Times New Roman CE"/>
                      <w:i/>
                      <w:iCs/>
                      <w:sz w:val="21"/>
                      <w:szCs w:val="21"/>
                    </w:rPr>
                  </w:pPr>
                  <w:r w:rsidRPr="00DB2665">
                    <w:rPr>
                      <w:rFonts w:ascii="Times New Roman CE" w:hAnsi="Times New Roman CE" w:cs="Times New Roman CE"/>
                      <w:i/>
                      <w:iCs/>
                      <w:sz w:val="21"/>
                      <w:szCs w:val="21"/>
                    </w:rPr>
                    <w:t>2022.tény/</w:t>
                  </w:r>
                  <w:r w:rsidRPr="00DB2665">
                    <w:rPr>
                      <w:rFonts w:ascii="Times New Roman CE" w:hAnsi="Times New Roman CE" w:cs="Times New Roman CE"/>
                      <w:i/>
                      <w:iCs/>
                      <w:sz w:val="21"/>
                      <w:szCs w:val="21"/>
                    </w:rPr>
                    <w:br/>
                    <w:t xml:space="preserve"> 2022.terv</w:t>
                  </w:r>
                </w:p>
              </w:tc>
            </w:tr>
            <w:tr w:rsidR="009E24B3" w:rsidRPr="00DB2665" w:rsidTr="009E24B3">
              <w:trPr>
                <w:trHeight w:val="276"/>
              </w:trPr>
              <w:tc>
                <w:tcPr>
                  <w:tcW w:w="3748" w:type="dxa"/>
                  <w:vMerge/>
                  <w:tcBorders>
                    <w:top w:val="single" w:sz="4" w:space="0" w:color="auto"/>
                    <w:left w:val="nil"/>
                    <w:bottom w:val="single" w:sz="4" w:space="0" w:color="000000"/>
                    <w:right w:val="nil"/>
                  </w:tcBorders>
                  <w:vAlign w:val="center"/>
                  <w:hideMark/>
                </w:tcPr>
                <w:p w:rsidR="009E24B3" w:rsidRPr="00DB2665" w:rsidRDefault="009E24B3" w:rsidP="009E24B3">
                  <w:pPr>
                    <w:jc w:val="left"/>
                    <w:rPr>
                      <w:rFonts w:ascii="Times New Roman CE" w:hAnsi="Times New Roman CE" w:cs="Times New Roman CE"/>
                      <w:i/>
                      <w:iCs/>
                      <w:sz w:val="22"/>
                      <w:szCs w:val="22"/>
                    </w:rPr>
                  </w:pPr>
                </w:p>
              </w:tc>
              <w:tc>
                <w:tcPr>
                  <w:tcW w:w="1167" w:type="dxa"/>
                  <w:gridSpan w:val="2"/>
                  <w:vMerge/>
                  <w:tcBorders>
                    <w:top w:val="single" w:sz="4" w:space="0" w:color="auto"/>
                    <w:left w:val="nil"/>
                    <w:bottom w:val="single" w:sz="4" w:space="0" w:color="000000"/>
                    <w:right w:val="nil"/>
                  </w:tcBorders>
                  <w:vAlign w:val="center"/>
                  <w:hideMark/>
                </w:tcPr>
                <w:p w:rsidR="009E24B3" w:rsidRPr="00DB2665" w:rsidRDefault="009E24B3" w:rsidP="009E24B3">
                  <w:pPr>
                    <w:jc w:val="left"/>
                    <w:rPr>
                      <w:rFonts w:ascii="Times New Roman CE" w:hAnsi="Times New Roman CE" w:cs="Times New Roman CE"/>
                      <w:i/>
                      <w:iCs/>
                      <w:sz w:val="21"/>
                      <w:szCs w:val="21"/>
                    </w:rPr>
                  </w:pPr>
                </w:p>
              </w:tc>
              <w:tc>
                <w:tcPr>
                  <w:tcW w:w="1111" w:type="dxa"/>
                  <w:gridSpan w:val="2"/>
                  <w:vMerge/>
                  <w:tcBorders>
                    <w:top w:val="single" w:sz="4" w:space="0" w:color="auto"/>
                    <w:left w:val="nil"/>
                    <w:bottom w:val="single" w:sz="4" w:space="0" w:color="000000"/>
                    <w:right w:val="nil"/>
                  </w:tcBorders>
                  <w:vAlign w:val="center"/>
                  <w:hideMark/>
                </w:tcPr>
                <w:p w:rsidR="009E24B3" w:rsidRPr="00DB2665" w:rsidRDefault="009E24B3" w:rsidP="009E24B3">
                  <w:pPr>
                    <w:jc w:val="left"/>
                    <w:rPr>
                      <w:rFonts w:ascii="Times New Roman CE" w:hAnsi="Times New Roman CE" w:cs="Times New Roman CE"/>
                      <w:i/>
                      <w:iCs/>
                      <w:sz w:val="21"/>
                      <w:szCs w:val="21"/>
                    </w:rPr>
                  </w:pPr>
                </w:p>
              </w:tc>
              <w:tc>
                <w:tcPr>
                  <w:tcW w:w="941" w:type="dxa"/>
                  <w:gridSpan w:val="2"/>
                  <w:vMerge/>
                  <w:tcBorders>
                    <w:top w:val="single" w:sz="4" w:space="0" w:color="auto"/>
                    <w:left w:val="nil"/>
                    <w:bottom w:val="single" w:sz="4" w:space="0" w:color="000000"/>
                    <w:right w:val="nil"/>
                  </w:tcBorders>
                  <w:vAlign w:val="center"/>
                  <w:hideMark/>
                </w:tcPr>
                <w:p w:rsidR="009E24B3" w:rsidRPr="00DB2665" w:rsidRDefault="009E24B3" w:rsidP="009E24B3">
                  <w:pPr>
                    <w:jc w:val="left"/>
                    <w:rPr>
                      <w:rFonts w:ascii="Times New Roman CE" w:hAnsi="Times New Roman CE" w:cs="Times New Roman CE"/>
                      <w:i/>
                      <w:iCs/>
                      <w:sz w:val="21"/>
                      <w:szCs w:val="21"/>
                    </w:rPr>
                  </w:pPr>
                </w:p>
              </w:tc>
              <w:tc>
                <w:tcPr>
                  <w:tcW w:w="1020" w:type="dxa"/>
                  <w:gridSpan w:val="2"/>
                  <w:vMerge/>
                  <w:tcBorders>
                    <w:top w:val="single" w:sz="4" w:space="0" w:color="auto"/>
                    <w:left w:val="nil"/>
                    <w:bottom w:val="single" w:sz="4" w:space="0" w:color="000000"/>
                    <w:right w:val="nil"/>
                  </w:tcBorders>
                  <w:vAlign w:val="center"/>
                  <w:hideMark/>
                </w:tcPr>
                <w:p w:rsidR="009E24B3" w:rsidRPr="00DB2665" w:rsidRDefault="009E24B3" w:rsidP="009E24B3">
                  <w:pPr>
                    <w:jc w:val="left"/>
                    <w:rPr>
                      <w:rFonts w:ascii="Times New Roman CE" w:hAnsi="Times New Roman CE" w:cs="Times New Roman CE"/>
                      <w:i/>
                      <w:iCs/>
                      <w:sz w:val="21"/>
                      <w:szCs w:val="21"/>
                    </w:rPr>
                  </w:pPr>
                </w:p>
              </w:tc>
              <w:tc>
                <w:tcPr>
                  <w:tcW w:w="1145" w:type="dxa"/>
                  <w:gridSpan w:val="2"/>
                  <w:vMerge/>
                  <w:tcBorders>
                    <w:top w:val="single" w:sz="4" w:space="0" w:color="auto"/>
                    <w:left w:val="nil"/>
                    <w:bottom w:val="single" w:sz="4" w:space="0" w:color="000000"/>
                    <w:right w:val="nil"/>
                  </w:tcBorders>
                  <w:vAlign w:val="center"/>
                  <w:hideMark/>
                </w:tcPr>
                <w:p w:rsidR="009E24B3" w:rsidRPr="00DB2665" w:rsidRDefault="009E24B3" w:rsidP="009E24B3">
                  <w:pPr>
                    <w:jc w:val="left"/>
                    <w:rPr>
                      <w:rFonts w:ascii="Times New Roman CE" w:hAnsi="Times New Roman CE" w:cs="Times New Roman CE"/>
                      <w:i/>
                      <w:iCs/>
                      <w:sz w:val="21"/>
                      <w:szCs w:val="21"/>
                    </w:rPr>
                  </w:pPr>
                </w:p>
              </w:tc>
              <w:tc>
                <w:tcPr>
                  <w:tcW w:w="1050" w:type="dxa"/>
                  <w:gridSpan w:val="2"/>
                  <w:vMerge/>
                  <w:tcBorders>
                    <w:top w:val="single" w:sz="4" w:space="0" w:color="auto"/>
                    <w:left w:val="nil"/>
                    <w:bottom w:val="single" w:sz="4" w:space="0" w:color="000000"/>
                    <w:right w:val="nil"/>
                  </w:tcBorders>
                  <w:vAlign w:val="center"/>
                  <w:hideMark/>
                </w:tcPr>
                <w:p w:rsidR="009E24B3" w:rsidRPr="00DB2665" w:rsidRDefault="009E24B3" w:rsidP="009E24B3">
                  <w:pPr>
                    <w:jc w:val="left"/>
                    <w:rPr>
                      <w:rFonts w:ascii="Times New Roman CE" w:hAnsi="Times New Roman CE" w:cs="Times New Roman CE"/>
                      <w:i/>
                      <w:iCs/>
                      <w:sz w:val="21"/>
                      <w:szCs w:val="21"/>
                    </w:rPr>
                  </w:pPr>
                </w:p>
              </w:tc>
            </w:tr>
            <w:tr w:rsidR="009E24B3" w:rsidRPr="00DB2665" w:rsidTr="009E24B3">
              <w:trPr>
                <w:trHeight w:val="282"/>
              </w:trPr>
              <w:tc>
                <w:tcPr>
                  <w:tcW w:w="3748" w:type="dxa"/>
                  <w:tcBorders>
                    <w:top w:val="nil"/>
                    <w:left w:val="nil"/>
                    <w:bottom w:val="nil"/>
                    <w:right w:val="nil"/>
                  </w:tcBorders>
                  <w:shd w:val="clear" w:color="auto" w:fill="auto"/>
                  <w:noWrap/>
                  <w:vAlign w:val="bottom"/>
                  <w:hideMark/>
                </w:tcPr>
                <w:p w:rsidR="009E24B3" w:rsidRPr="00DB2665" w:rsidRDefault="009E24B3" w:rsidP="009E24B3">
                  <w:pPr>
                    <w:jc w:val="left"/>
                    <w:rPr>
                      <w:rFonts w:ascii="Times New Roman CE" w:hAnsi="Times New Roman CE" w:cs="Times New Roman CE"/>
                      <w:b/>
                      <w:bCs/>
                      <w:i/>
                      <w:iCs/>
                      <w:sz w:val="22"/>
                      <w:szCs w:val="22"/>
                    </w:rPr>
                  </w:pPr>
                  <w:r w:rsidRPr="00DB2665">
                    <w:rPr>
                      <w:rFonts w:ascii="Times New Roman CE" w:hAnsi="Times New Roman CE" w:cs="Times New Roman CE"/>
                      <w:b/>
                      <w:bCs/>
                      <w:i/>
                      <w:iCs/>
                      <w:sz w:val="22"/>
                      <w:szCs w:val="22"/>
                    </w:rPr>
                    <w:t>Szennyvízelvezetés és -tisztítás</w:t>
                  </w:r>
                </w:p>
              </w:tc>
              <w:tc>
                <w:tcPr>
                  <w:tcW w:w="1167" w:type="dxa"/>
                  <w:gridSpan w:val="2"/>
                  <w:tcBorders>
                    <w:top w:val="nil"/>
                    <w:left w:val="nil"/>
                    <w:bottom w:val="nil"/>
                    <w:right w:val="nil"/>
                  </w:tcBorders>
                  <w:shd w:val="clear" w:color="auto" w:fill="auto"/>
                  <w:noWrap/>
                  <w:vAlign w:val="bottom"/>
                  <w:hideMark/>
                </w:tcPr>
                <w:p w:rsidR="009E24B3" w:rsidRPr="00DB2665" w:rsidRDefault="009E24B3" w:rsidP="009E24B3">
                  <w:pPr>
                    <w:jc w:val="left"/>
                    <w:rPr>
                      <w:rFonts w:ascii="Times New Roman CE" w:hAnsi="Times New Roman CE" w:cs="Times New Roman CE"/>
                      <w:b/>
                      <w:bCs/>
                      <w:i/>
                      <w:iCs/>
                      <w:sz w:val="22"/>
                      <w:szCs w:val="22"/>
                    </w:rPr>
                  </w:pPr>
                </w:p>
              </w:tc>
              <w:tc>
                <w:tcPr>
                  <w:tcW w:w="1111" w:type="dxa"/>
                  <w:gridSpan w:val="2"/>
                  <w:tcBorders>
                    <w:top w:val="nil"/>
                    <w:left w:val="nil"/>
                    <w:bottom w:val="nil"/>
                    <w:right w:val="nil"/>
                  </w:tcBorders>
                  <w:shd w:val="clear" w:color="auto" w:fill="auto"/>
                  <w:noWrap/>
                  <w:vAlign w:val="bottom"/>
                  <w:hideMark/>
                </w:tcPr>
                <w:p w:rsidR="009E24B3" w:rsidRPr="00DB2665" w:rsidRDefault="009E24B3" w:rsidP="009E24B3">
                  <w:pPr>
                    <w:jc w:val="left"/>
                    <w:rPr>
                      <w:sz w:val="20"/>
                    </w:rPr>
                  </w:pPr>
                </w:p>
              </w:tc>
              <w:tc>
                <w:tcPr>
                  <w:tcW w:w="941" w:type="dxa"/>
                  <w:gridSpan w:val="2"/>
                  <w:tcBorders>
                    <w:top w:val="nil"/>
                    <w:left w:val="nil"/>
                    <w:bottom w:val="nil"/>
                    <w:right w:val="nil"/>
                  </w:tcBorders>
                  <w:shd w:val="clear" w:color="auto" w:fill="auto"/>
                  <w:noWrap/>
                  <w:vAlign w:val="bottom"/>
                  <w:hideMark/>
                </w:tcPr>
                <w:p w:rsidR="009E24B3" w:rsidRPr="00DB2665" w:rsidRDefault="009E24B3" w:rsidP="009E24B3">
                  <w:pPr>
                    <w:jc w:val="center"/>
                    <w:rPr>
                      <w:sz w:val="20"/>
                    </w:rPr>
                  </w:pPr>
                </w:p>
              </w:tc>
              <w:tc>
                <w:tcPr>
                  <w:tcW w:w="1020" w:type="dxa"/>
                  <w:gridSpan w:val="2"/>
                  <w:tcBorders>
                    <w:top w:val="nil"/>
                    <w:left w:val="nil"/>
                    <w:bottom w:val="nil"/>
                    <w:right w:val="nil"/>
                  </w:tcBorders>
                  <w:shd w:val="clear" w:color="auto" w:fill="auto"/>
                  <w:noWrap/>
                  <w:vAlign w:val="bottom"/>
                  <w:hideMark/>
                </w:tcPr>
                <w:p w:rsidR="009E24B3" w:rsidRPr="00DB2665" w:rsidRDefault="009E24B3" w:rsidP="009E24B3">
                  <w:pPr>
                    <w:jc w:val="center"/>
                    <w:rPr>
                      <w:sz w:val="20"/>
                    </w:rPr>
                  </w:pPr>
                </w:p>
              </w:tc>
              <w:tc>
                <w:tcPr>
                  <w:tcW w:w="1145" w:type="dxa"/>
                  <w:gridSpan w:val="2"/>
                  <w:tcBorders>
                    <w:top w:val="nil"/>
                    <w:left w:val="nil"/>
                    <w:bottom w:val="nil"/>
                    <w:right w:val="nil"/>
                  </w:tcBorders>
                  <w:shd w:val="clear" w:color="auto" w:fill="auto"/>
                  <w:noWrap/>
                  <w:vAlign w:val="bottom"/>
                  <w:hideMark/>
                </w:tcPr>
                <w:p w:rsidR="009E24B3" w:rsidRPr="00DB2665" w:rsidRDefault="009E24B3" w:rsidP="009E24B3">
                  <w:pPr>
                    <w:jc w:val="center"/>
                    <w:rPr>
                      <w:sz w:val="20"/>
                    </w:rPr>
                  </w:pPr>
                </w:p>
              </w:tc>
              <w:tc>
                <w:tcPr>
                  <w:tcW w:w="1050" w:type="dxa"/>
                  <w:gridSpan w:val="2"/>
                  <w:tcBorders>
                    <w:top w:val="nil"/>
                    <w:left w:val="nil"/>
                    <w:bottom w:val="nil"/>
                    <w:right w:val="nil"/>
                  </w:tcBorders>
                  <w:shd w:val="clear" w:color="auto" w:fill="auto"/>
                  <w:noWrap/>
                  <w:vAlign w:val="bottom"/>
                  <w:hideMark/>
                </w:tcPr>
                <w:p w:rsidR="009E24B3" w:rsidRPr="00DB2665" w:rsidRDefault="009E24B3" w:rsidP="009E24B3">
                  <w:pPr>
                    <w:jc w:val="left"/>
                    <w:rPr>
                      <w:sz w:val="20"/>
                    </w:rPr>
                  </w:pPr>
                </w:p>
              </w:tc>
            </w:tr>
            <w:tr w:rsidR="009E24B3" w:rsidRPr="00DB2665" w:rsidTr="009E24B3">
              <w:trPr>
                <w:gridAfter w:val="1"/>
                <w:wAfter w:w="240" w:type="dxa"/>
                <w:trHeight w:val="330"/>
              </w:trPr>
              <w:tc>
                <w:tcPr>
                  <w:tcW w:w="3748" w:type="dxa"/>
                  <w:tcBorders>
                    <w:top w:val="nil"/>
                    <w:left w:val="nil"/>
                    <w:bottom w:val="nil"/>
                    <w:right w:val="nil"/>
                  </w:tcBorders>
                  <w:shd w:val="clear" w:color="auto" w:fill="auto"/>
                  <w:noWrap/>
                  <w:vAlign w:val="bottom"/>
                  <w:hideMark/>
                </w:tcPr>
                <w:p w:rsidR="009E24B3" w:rsidRPr="00DB2665" w:rsidRDefault="009E24B3" w:rsidP="009E24B3">
                  <w:pPr>
                    <w:jc w:val="left"/>
                    <w:rPr>
                      <w:rFonts w:ascii="Times New Roman CE" w:hAnsi="Times New Roman CE" w:cs="Times New Roman CE"/>
                      <w:sz w:val="22"/>
                      <w:szCs w:val="22"/>
                    </w:rPr>
                  </w:pPr>
                  <w:r w:rsidRPr="00DB2665">
                    <w:rPr>
                      <w:rFonts w:ascii="Times New Roman CE" w:hAnsi="Times New Roman CE" w:cs="Times New Roman CE"/>
                      <w:sz w:val="22"/>
                      <w:szCs w:val="22"/>
                    </w:rPr>
                    <w:t>Ellátott települések száma*</w:t>
                  </w:r>
                </w:p>
              </w:tc>
              <w:tc>
                <w:tcPr>
                  <w:tcW w:w="1002" w:type="dxa"/>
                  <w:tcBorders>
                    <w:top w:val="nil"/>
                    <w:left w:val="nil"/>
                    <w:bottom w:val="nil"/>
                    <w:right w:val="nil"/>
                  </w:tcBorders>
                  <w:shd w:val="clear" w:color="auto" w:fill="auto"/>
                  <w:noWrap/>
                  <w:vAlign w:val="bottom"/>
                  <w:hideMark/>
                </w:tcPr>
                <w:p w:rsidR="009E24B3" w:rsidRPr="00DB2665" w:rsidRDefault="009E24B3" w:rsidP="009E24B3">
                  <w:pPr>
                    <w:jc w:val="center"/>
                    <w:rPr>
                      <w:rFonts w:ascii="Times New Roman CE" w:hAnsi="Times New Roman CE" w:cs="Times New Roman CE"/>
                      <w:sz w:val="22"/>
                      <w:szCs w:val="22"/>
                    </w:rPr>
                  </w:pPr>
                  <w:r w:rsidRPr="00DB2665">
                    <w:rPr>
                      <w:rFonts w:ascii="Times New Roman CE" w:hAnsi="Times New Roman CE" w:cs="Times New Roman CE"/>
                      <w:sz w:val="22"/>
                      <w:szCs w:val="22"/>
                    </w:rPr>
                    <w:t>db</w:t>
                  </w:r>
                </w:p>
              </w:tc>
              <w:tc>
                <w:tcPr>
                  <w:tcW w:w="1134"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r w:rsidRPr="00DB2665">
                    <w:rPr>
                      <w:rFonts w:ascii="Times New Roman CE" w:hAnsi="Times New Roman CE" w:cs="Times New Roman CE"/>
                      <w:sz w:val="22"/>
                      <w:szCs w:val="22"/>
                    </w:rPr>
                    <w:t>131</w:t>
                  </w:r>
                </w:p>
              </w:tc>
              <w:tc>
                <w:tcPr>
                  <w:tcW w:w="843"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p>
              </w:tc>
              <w:tc>
                <w:tcPr>
                  <w:tcW w:w="1020"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r w:rsidRPr="00DB2665">
                    <w:rPr>
                      <w:rFonts w:ascii="Times New Roman CE" w:hAnsi="Times New Roman CE" w:cs="Times New Roman CE"/>
                      <w:sz w:val="22"/>
                      <w:szCs w:val="22"/>
                    </w:rPr>
                    <w:t>135</w:t>
                  </w:r>
                </w:p>
              </w:tc>
              <w:tc>
                <w:tcPr>
                  <w:tcW w:w="1145"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r w:rsidRPr="00DB2665">
                    <w:rPr>
                      <w:rFonts w:ascii="Times New Roman CE" w:hAnsi="Times New Roman CE" w:cs="Times New Roman CE"/>
                      <w:sz w:val="22"/>
                      <w:szCs w:val="22"/>
                    </w:rPr>
                    <w:t>103,1%</w:t>
                  </w:r>
                </w:p>
              </w:tc>
              <w:tc>
                <w:tcPr>
                  <w:tcW w:w="1050"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p>
              </w:tc>
            </w:tr>
            <w:tr w:rsidR="009E24B3" w:rsidRPr="00DB2665" w:rsidTr="009E24B3">
              <w:trPr>
                <w:gridAfter w:val="1"/>
                <w:wAfter w:w="240" w:type="dxa"/>
                <w:trHeight w:val="315"/>
              </w:trPr>
              <w:tc>
                <w:tcPr>
                  <w:tcW w:w="3748" w:type="dxa"/>
                  <w:tcBorders>
                    <w:top w:val="nil"/>
                    <w:left w:val="nil"/>
                    <w:bottom w:val="nil"/>
                    <w:right w:val="nil"/>
                  </w:tcBorders>
                  <w:shd w:val="clear" w:color="auto" w:fill="auto"/>
                  <w:noWrap/>
                  <w:vAlign w:val="bottom"/>
                  <w:hideMark/>
                </w:tcPr>
                <w:p w:rsidR="009E24B3" w:rsidRPr="00DB2665" w:rsidRDefault="009E24B3" w:rsidP="009E24B3">
                  <w:pPr>
                    <w:jc w:val="left"/>
                    <w:rPr>
                      <w:rFonts w:ascii="Times New Roman CE" w:hAnsi="Times New Roman CE" w:cs="Times New Roman CE"/>
                      <w:sz w:val="22"/>
                      <w:szCs w:val="22"/>
                    </w:rPr>
                  </w:pPr>
                  <w:r w:rsidRPr="00DB2665">
                    <w:rPr>
                      <w:rFonts w:ascii="Times New Roman CE" w:hAnsi="Times New Roman CE" w:cs="Times New Roman CE"/>
                      <w:sz w:val="22"/>
                      <w:szCs w:val="22"/>
                    </w:rPr>
                    <w:t>Szennyvízelvezetési rendszerek száma*</w:t>
                  </w:r>
                </w:p>
              </w:tc>
              <w:tc>
                <w:tcPr>
                  <w:tcW w:w="1002" w:type="dxa"/>
                  <w:tcBorders>
                    <w:top w:val="nil"/>
                    <w:left w:val="nil"/>
                    <w:bottom w:val="nil"/>
                    <w:right w:val="nil"/>
                  </w:tcBorders>
                  <w:shd w:val="clear" w:color="auto" w:fill="auto"/>
                  <w:noWrap/>
                  <w:vAlign w:val="bottom"/>
                  <w:hideMark/>
                </w:tcPr>
                <w:p w:rsidR="009E24B3" w:rsidRPr="00DB2665" w:rsidRDefault="009E24B3" w:rsidP="009E24B3">
                  <w:pPr>
                    <w:jc w:val="center"/>
                    <w:rPr>
                      <w:rFonts w:ascii="Times New Roman CE" w:hAnsi="Times New Roman CE" w:cs="Times New Roman CE"/>
                      <w:sz w:val="22"/>
                      <w:szCs w:val="22"/>
                    </w:rPr>
                  </w:pPr>
                  <w:r w:rsidRPr="00DB2665">
                    <w:rPr>
                      <w:rFonts w:ascii="Times New Roman CE" w:hAnsi="Times New Roman CE" w:cs="Times New Roman CE"/>
                      <w:sz w:val="22"/>
                      <w:szCs w:val="22"/>
                    </w:rPr>
                    <w:t>db</w:t>
                  </w:r>
                </w:p>
              </w:tc>
              <w:tc>
                <w:tcPr>
                  <w:tcW w:w="1134"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r w:rsidRPr="00DB2665">
                    <w:rPr>
                      <w:rFonts w:ascii="Times New Roman CE" w:hAnsi="Times New Roman CE" w:cs="Times New Roman CE"/>
                      <w:sz w:val="22"/>
                      <w:szCs w:val="22"/>
                    </w:rPr>
                    <w:t>46</w:t>
                  </w:r>
                </w:p>
              </w:tc>
              <w:tc>
                <w:tcPr>
                  <w:tcW w:w="843"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p>
              </w:tc>
              <w:tc>
                <w:tcPr>
                  <w:tcW w:w="1020"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r w:rsidRPr="00DB2665">
                    <w:rPr>
                      <w:rFonts w:ascii="Times New Roman CE" w:hAnsi="Times New Roman CE" w:cs="Times New Roman CE"/>
                      <w:sz w:val="22"/>
                      <w:szCs w:val="22"/>
                    </w:rPr>
                    <w:t>47</w:t>
                  </w:r>
                </w:p>
              </w:tc>
              <w:tc>
                <w:tcPr>
                  <w:tcW w:w="1145"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r w:rsidRPr="00DB2665">
                    <w:rPr>
                      <w:rFonts w:ascii="Times New Roman CE" w:hAnsi="Times New Roman CE" w:cs="Times New Roman CE"/>
                      <w:sz w:val="22"/>
                      <w:szCs w:val="22"/>
                    </w:rPr>
                    <w:t>102,2%</w:t>
                  </w:r>
                </w:p>
              </w:tc>
              <w:tc>
                <w:tcPr>
                  <w:tcW w:w="1050"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p>
              </w:tc>
            </w:tr>
            <w:tr w:rsidR="009E24B3" w:rsidRPr="00DB2665" w:rsidTr="009E24B3">
              <w:trPr>
                <w:gridAfter w:val="1"/>
                <w:wAfter w:w="240" w:type="dxa"/>
                <w:trHeight w:val="282"/>
              </w:trPr>
              <w:tc>
                <w:tcPr>
                  <w:tcW w:w="3748" w:type="dxa"/>
                  <w:tcBorders>
                    <w:top w:val="nil"/>
                    <w:left w:val="nil"/>
                    <w:bottom w:val="nil"/>
                    <w:right w:val="nil"/>
                  </w:tcBorders>
                  <w:shd w:val="clear" w:color="auto" w:fill="auto"/>
                  <w:noWrap/>
                  <w:vAlign w:val="bottom"/>
                  <w:hideMark/>
                </w:tcPr>
                <w:p w:rsidR="009E24B3" w:rsidRPr="00DB2665" w:rsidRDefault="009E24B3" w:rsidP="009E24B3">
                  <w:pPr>
                    <w:jc w:val="left"/>
                    <w:rPr>
                      <w:rFonts w:ascii="Times New Roman CE" w:hAnsi="Times New Roman CE" w:cs="Times New Roman CE"/>
                      <w:sz w:val="22"/>
                      <w:szCs w:val="22"/>
                    </w:rPr>
                  </w:pPr>
                  <w:r w:rsidRPr="00DB2665">
                    <w:rPr>
                      <w:rFonts w:ascii="Times New Roman CE" w:hAnsi="Times New Roman CE" w:cs="Times New Roman CE"/>
                      <w:sz w:val="22"/>
                      <w:szCs w:val="22"/>
                    </w:rPr>
                    <w:t>Szennyvíztisztító telepek száma*</w:t>
                  </w:r>
                </w:p>
              </w:tc>
              <w:tc>
                <w:tcPr>
                  <w:tcW w:w="1002" w:type="dxa"/>
                  <w:tcBorders>
                    <w:top w:val="nil"/>
                    <w:left w:val="nil"/>
                    <w:bottom w:val="nil"/>
                    <w:right w:val="nil"/>
                  </w:tcBorders>
                  <w:shd w:val="clear" w:color="auto" w:fill="auto"/>
                  <w:noWrap/>
                  <w:vAlign w:val="bottom"/>
                  <w:hideMark/>
                </w:tcPr>
                <w:p w:rsidR="009E24B3" w:rsidRPr="00DB2665" w:rsidRDefault="009E24B3" w:rsidP="009E24B3">
                  <w:pPr>
                    <w:jc w:val="center"/>
                    <w:rPr>
                      <w:rFonts w:ascii="Times New Roman CE" w:hAnsi="Times New Roman CE" w:cs="Times New Roman CE"/>
                      <w:sz w:val="22"/>
                      <w:szCs w:val="22"/>
                    </w:rPr>
                  </w:pPr>
                  <w:r w:rsidRPr="00DB2665">
                    <w:rPr>
                      <w:rFonts w:ascii="Times New Roman CE" w:hAnsi="Times New Roman CE" w:cs="Times New Roman CE"/>
                      <w:sz w:val="22"/>
                      <w:szCs w:val="22"/>
                    </w:rPr>
                    <w:t>db</w:t>
                  </w:r>
                </w:p>
              </w:tc>
              <w:tc>
                <w:tcPr>
                  <w:tcW w:w="1134"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r w:rsidRPr="00DB2665">
                    <w:rPr>
                      <w:rFonts w:ascii="Times New Roman CE" w:hAnsi="Times New Roman CE" w:cs="Times New Roman CE"/>
                      <w:sz w:val="22"/>
                      <w:szCs w:val="22"/>
                    </w:rPr>
                    <w:t>42</w:t>
                  </w:r>
                </w:p>
              </w:tc>
              <w:tc>
                <w:tcPr>
                  <w:tcW w:w="843"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p>
              </w:tc>
              <w:tc>
                <w:tcPr>
                  <w:tcW w:w="1020"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r w:rsidRPr="00DB2665">
                    <w:rPr>
                      <w:rFonts w:ascii="Times New Roman CE" w:hAnsi="Times New Roman CE" w:cs="Times New Roman CE"/>
                      <w:sz w:val="22"/>
                      <w:szCs w:val="22"/>
                    </w:rPr>
                    <w:t>43</w:t>
                  </w:r>
                </w:p>
              </w:tc>
              <w:tc>
                <w:tcPr>
                  <w:tcW w:w="1145"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r w:rsidRPr="00DB2665">
                    <w:rPr>
                      <w:rFonts w:ascii="Times New Roman CE" w:hAnsi="Times New Roman CE" w:cs="Times New Roman CE"/>
                      <w:sz w:val="22"/>
                      <w:szCs w:val="22"/>
                    </w:rPr>
                    <w:t>102,4%</w:t>
                  </w:r>
                </w:p>
              </w:tc>
              <w:tc>
                <w:tcPr>
                  <w:tcW w:w="1050"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p>
              </w:tc>
            </w:tr>
            <w:tr w:rsidR="009E24B3" w:rsidRPr="00DB2665" w:rsidTr="009E24B3">
              <w:trPr>
                <w:gridAfter w:val="1"/>
                <w:wAfter w:w="240" w:type="dxa"/>
                <w:trHeight w:val="289"/>
              </w:trPr>
              <w:tc>
                <w:tcPr>
                  <w:tcW w:w="3748" w:type="dxa"/>
                  <w:tcBorders>
                    <w:top w:val="nil"/>
                    <w:left w:val="nil"/>
                    <w:bottom w:val="nil"/>
                    <w:right w:val="nil"/>
                  </w:tcBorders>
                  <w:shd w:val="clear" w:color="auto" w:fill="auto"/>
                  <w:noWrap/>
                  <w:vAlign w:val="bottom"/>
                  <w:hideMark/>
                </w:tcPr>
                <w:p w:rsidR="009E24B3" w:rsidRPr="00DB2665" w:rsidRDefault="009E24B3" w:rsidP="009E24B3">
                  <w:pPr>
                    <w:jc w:val="left"/>
                    <w:rPr>
                      <w:rFonts w:ascii="Times New Roman CE" w:hAnsi="Times New Roman CE" w:cs="Times New Roman CE"/>
                      <w:sz w:val="22"/>
                      <w:szCs w:val="22"/>
                    </w:rPr>
                  </w:pPr>
                  <w:r w:rsidRPr="00DB2665">
                    <w:rPr>
                      <w:rFonts w:ascii="Times New Roman CE" w:hAnsi="Times New Roman CE" w:cs="Times New Roman CE"/>
                      <w:sz w:val="22"/>
                      <w:szCs w:val="22"/>
                    </w:rPr>
                    <w:t>Szennyvíztisztító kapacitás</w:t>
                  </w:r>
                </w:p>
              </w:tc>
              <w:tc>
                <w:tcPr>
                  <w:tcW w:w="1002" w:type="dxa"/>
                  <w:tcBorders>
                    <w:top w:val="nil"/>
                    <w:left w:val="nil"/>
                    <w:bottom w:val="nil"/>
                    <w:right w:val="nil"/>
                  </w:tcBorders>
                  <w:shd w:val="clear" w:color="auto" w:fill="auto"/>
                  <w:noWrap/>
                  <w:vAlign w:val="bottom"/>
                  <w:hideMark/>
                </w:tcPr>
                <w:p w:rsidR="009E24B3" w:rsidRPr="00DB2665" w:rsidRDefault="009E24B3" w:rsidP="009E24B3">
                  <w:pPr>
                    <w:jc w:val="center"/>
                    <w:rPr>
                      <w:rFonts w:ascii="Times New Roman CE" w:hAnsi="Times New Roman CE" w:cs="Times New Roman CE"/>
                      <w:sz w:val="22"/>
                      <w:szCs w:val="22"/>
                    </w:rPr>
                  </w:pPr>
                  <w:r w:rsidRPr="00DB2665">
                    <w:rPr>
                      <w:rFonts w:ascii="Times New Roman CE" w:hAnsi="Times New Roman CE" w:cs="Times New Roman CE"/>
                      <w:sz w:val="22"/>
                      <w:szCs w:val="22"/>
                    </w:rPr>
                    <w:t>m</w:t>
                  </w:r>
                  <w:r w:rsidRPr="00DB2665">
                    <w:rPr>
                      <w:rFonts w:ascii="Times New Roman CE" w:hAnsi="Times New Roman CE" w:cs="Times New Roman CE"/>
                      <w:sz w:val="22"/>
                      <w:szCs w:val="22"/>
                      <w:vertAlign w:val="superscript"/>
                    </w:rPr>
                    <w:t>3</w:t>
                  </w:r>
                  <w:r w:rsidRPr="00DB2665">
                    <w:rPr>
                      <w:rFonts w:ascii="Times New Roman CE" w:hAnsi="Times New Roman CE" w:cs="Times New Roman CE"/>
                      <w:sz w:val="22"/>
                      <w:szCs w:val="22"/>
                    </w:rPr>
                    <w:t>/d</w:t>
                  </w:r>
                </w:p>
              </w:tc>
              <w:tc>
                <w:tcPr>
                  <w:tcW w:w="1134"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r w:rsidRPr="00DB2665">
                    <w:rPr>
                      <w:rFonts w:ascii="Times New Roman CE" w:hAnsi="Times New Roman CE" w:cs="Times New Roman CE"/>
                      <w:sz w:val="22"/>
                      <w:szCs w:val="22"/>
                    </w:rPr>
                    <w:t>72 805</w:t>
                  </w:r>
                </w:p>
              </w:tc>
              <w:tc>
                <w:tcPr>
                  <w:tcW w:w="843"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p>
              </w:tc>
              <w:tc>
                <w:tcPr>
                  <w:tcW w:w="1020"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r w:rsidRPr="00DB2665">
                    <w:rPr>
                      <w:rFonts w:ascii="Times New Roman CE" w:hAnsi="Times New Roman CE" w:cs="Times New Roman CE"/>
                      <w:sz w:val="22"/>
                      <w:szCs w:val="22"/>
                    </w:rPr>
                    <w:t>72 813</w:t>
                  </w:r>
                </w:p>
              </w:tc>
              <w:tc>
                <w:tcPr>
                  <w:tcW w:w="1145"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r w:rsidRPr="00DB2665">
                    <w:rPr>
                      <w:rFonts w:ascii="Times New Roman CE" w:hAnsi="Times New Roman CE" w:cs="Times New Roman CE"/>
                      <w:sz w:val="22"/>
                      <w:szCs w:val="22"/>
                    </w:rPr>
                    <w:t>100,0%</w:t>
                  </w:r>
                </w:p>
              </w:tc>
              <w:tc>
                <w:tcPr>
                  <w:tcW w:w="1050"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p>
              </w:tc>
            </w:tr>
            <w:tr w:rsidR="009E24B3" w:rsidRPr="00DB2665" w:rsidTr="009E24B3">
              <w:trPr>
                <w:gridAfter w:val="1"/>
                <w:wAfter w:w="240" w:type="dxa"/>
                <w:trHeight w:val="289"/>
              </w:trPr>
              <w:tc>
                <w:tcPr>
                  <w:tcW w:w="3748" w:type="dxa"/>
                  <w:tcBorders>
                    <w:top w:val="nil"/>
                    <w:left w:val="nil"/>
                    <w:bottom w:val="nil"/>
                    <w:right w:val="nil"/>
                  </w:tcBorders>
                  <w:shd w:val="clear" w:color="auto" w:fill="auto"/>
                  <w:noWrap/>
                  <w:vAlign w:val="bottom"/>
                  <w:hideMark/>
                </w:tcPr>
                <w:p w:rsidR="009E24B3" w:rsidRPr="00DB2665" w:rsidRDefault="009E24B3" w:rsidP="009E24B3">
                  <w:pPr>
                    <w:jc w:val="left"/>
                    <w:rPr>
                      <w:rFonts w:ascii="Times New Roman CE" w:hAnsi="Times New Roman CE" w:cs="Times New Roman CE"/>
                      <w:sz w:val="22"/>
                      <w:szCs w:val="22"/>
                    </w:rPr>
                  </w:pPr>
                  <w:r w:rsidRPr="00DB2665">
                    <w:rPr>
                      <w:rFonts w:ascii="Times New Roman CE" w:hAnsi="Times New Roman CE" w:cs="Times New Roman CE"/>
                      <w:sz w:val="22"/>
                      <w:szCs w:val="22"/>
                    </w:rPr>
                    <w:t>ebből: csak mechanikai</w:t>
                  </w:r>
                </w:p>
              </w:tc>
              <w:tc>
                <w:tcPr>
                  <w:tcW w:w="1002" w:type="dxa"/>
                  <w:tcBorders>
                    <w:top w:val="nil"/>
                    <w:left w:val="nil"/>
                    <w:bottom w:val="nil"/>
                    <w:right w:val="nil"/>
                  </w:tcBorders>
                  <w:shd w:val="clear" w:color="auto" w:fill="auto"/>
                  <w:noWrap/>
                  <w:vAlign w:val="bottom"/>
                  <w:hideMark/>
                </w:tcPr>
                <w:p w:rsidR="009E24B3" w:rsidRPr="00DB2665" w:rsidRDefault="009E24B3" w:rsidP="009E24B3">
                  <w:pPr>
                    <w:jc w:val="center"/>
                    <w:rPr>
                      <w:rFonts w:ascii="Times New Roman CE" w:hAnsi="Times New Roman CE" w:cs="Times New Roman CE"/>
                      <w:sz w:val="22"/>
                      <w:szCs w:val="22"/>
                    </w:rPr>
                  </w:pPr>
                  <w:r w:rsidRPr="00DB2665">
                    <w:rPr>
                      <w:rFonts w:ascii="Times New Roman CE" w:hAnsi="Times New Roman CE" w:cs="Times New Roman CE"/>
                      <w:sz w:val="22"/>
                      <w:szCs w:val="22"/>
                    </w:rPr>
                    <w:t>m</w:t>
                  </w:r>
                  <w:r w:rsidRPr="00DB2665">
                    <w:rPr>
                      <w:rFonts w:ascii="Times New Roman CE" w:hAnsi="Times New Roman CE" w:cs="Times New Roman CE"/>
                      <w:sz w:val="22"/>
                      <w:szCs w:val="22"/>
                      <w:vertAlign w:val="superscript"/>
                    </w:rPr>
                    <w:t>3</w:t>
                  </w:r>
                  <w:r w:rsidRPr="00DB2665">
                    <w:rPr>
                      <w:rFonts w:ascii="Times New Roman CE" w:hAnsi="Times New Roman CE" w:cs="Times New Roman CE"/>
                      <w:sz w:val="22"/>
                      <w:szCs w:val="22"/>
                    </w:rPr>
                    <w:t>/d</w:t>
                  </w:r>
                </w:p>
              </w:tc>
              <w:tc>
                <w:tcPr>
                  <w:tcW w:w="1134"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r w:rsidRPr="00DB2665">
                    <w:rPr>
                      <w:rFonts w:ascii="Times New Roman CE" w:hAnsi="Times New Roman CE" w:cs="Times New Roman CE"/>
                      <w:sz w:val="22"/>
                      <w:szCs w:val="22"/>
                    </w:rPr>
                    <w:t>8 000</w:t>
                  </w:r>
                </w:p>
              </w:tc>
              <w:tc>
                <w:tcPr>
                  <w:tcW w:w="843"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p>
              </w:tc>
              <w:tc>
                <w:tcPr>
                  <w:tcW w:w="1020"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r w:rsidRPr="00DB2665">
                    <w:rPr>
                      <w:rFonts w:ascii="Times New Roman CE" w:hAnsi="Times New Roman CE" w:cs="Times New Roman CE"/>
                      <w:sz w:val="22"/>
                      <w:szCs w:val="22"/>
                    </w:rPr>
                    <w:t>8 000</w:t>
                  </w:r>
                </w:p>
              </w:tc>
              <w:tc>
                <w:tcPr>
                  <w:tcW w:w="1145"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r w:rsidRPr="00DB2665">
                    <w:rPr>
                      <w:rFonts w:ascii="Times New Roman CE" w:hAnsi="Times New Roman CE" w:cs="Times New Roman CE"/>
                      <w:sz w:val="22"/>
                      <w:szCs w:val="22"/>
                    </w:rPr>
                    <w:t>100,0%</w:t>
                  </w:r>
                </w:p>
              </w:tc>
              <w:tc>
                <w:tcPr>
                  <w:tcW w:w="1050"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p>
              </w:tc>
            </w:tr>
            <w:tr w:rsidR="009E24B3" w:rsidRPr="00DB2665" w:rsidTr="009E24B3">
              <w:trPr>
                <w:gridAfter w:val="1"/>
                <w:wAfter w:w="240" w:type="dxa"/>
                <w:trHeight w:val="289"/>
              </w:trPr>
              <w:tc>
                <w:tcPr>
                  <w:tcW w:w="3748" w:type="dxa"/>
                  <w:tcBorders>
                    <w:top w:val="nil"/>
                    <w:left w:val="nil"/>
                    <w:bottom w:val="nil"/>
                    <w:right w:val="nil"/>
                  </w:tcBorders>
                  <w:shd w:val="clear" w:color="auto" w:fill="auto"/>
                  <w:noWrap/>
                  <w:vAlign w:val="bottom"/>
                  <w:hideMark/>
                </w:tcPr>
                <w:p w:rsidR="009E24B3" w:rsidRPr="00DB2665" w:rsidRDefault="009E24B3" w:rsidP="009E24B3">
                  <w:pPr>
                    <w:jc w:val="left"/>
                    <w:rPr>
                      <w:rFonts w:ascii="Times New Roman CE" w:hAnsi="Times New Roman CE" w:cs="Times New Roman CE"/>
                      <w:sz w:val="22"/>
                      <w:szCs w:val="22"/>
                    </w:rPr>
                  </w:pPr>
                  <w:r w:rsidRPr="00DB2665">
                    <w:rPr>
                      <w:rFonts w:ascii="Times New Roman CE" w:hAnsi="Times New Roman CE" w:cs="Times New Roman CE"/>
                      <w:sz w:val="22"/>
                      <w:szCs w:val="22"/>
                    </w:rPr>
                    <w:t xml:space="preserve">          biológiai</w:t>
                  </w:r>
                </w:p>
              </w:tc>
              <w:tc>
                <w:tcPr>
                  <w:tcW w:w="1002" w:type="dxa"/>
                  <w:tcBorders>
                    <w:top w:val="nil"/>
                    <w:left w:val="nil"/>
                    <w:bottom w:val="nil"/>
                    <w:right w:val="nil"/>
                  </w:tcBorders>
                  <w:shd w:val="clear" w:color="auto" w:fill="auto"/>
                  <w:noWrap/>
                  <w:vAlign w:val="bottom"/>
                  <w:hideMark/>
                </w:tcPr>
                <w:p w:rsidR="009E24B3" w:rsidRPr="00DB2665" w:rsidRDefault="009E24B3" w:rsidP="009E24B3">
                  <w:pPr>
                    <w:jc w:val="center"/>
                    <w:rPr>
                      <w:rFonts w:ascii="Times New Roman CE" w:hAnsi="Times New Roman CE" w:cs="Times New Roman CE"/>
                      <w:sz w:val="22"/>
                      <w:szCs w:val="22"/>
                    </w:rPr>
                  </w:pPr>
                  <w:r w:rsidRPr="00DB2665">
                    <w:rPr>
                      <w:rFonts w:ascii="Times New Roman CE" w:hAnsi="Times New Roman CE" w:cs="Times New Roman CE"/>
                      <w:sz w:val="22"/>
                      <w:szCs w:val="22"/>
                    </w:rPr>
                    <w:t>m</w:t>
                  </w:r>
                  <w:r w:rsidRPr="00DB2665">
                    <w:rPr>
                      <w:rFonts w:ascii="Times New Roman CE" w:hAnsi="Times New Roman CE" w:cs="Times New Roman CE"/>
                      <w:sz w:val="22"/>
                      <w:szCs w:val="22"/>
                      <w:vertAlign w:val="superscript"/>
                    </w:rPr>
                    <w:t>3</w:t>
                  </w:r>
                  <w:r w:rsidRPr="00DB2665">
                    <w:rPr>
                      <w:rFonts w:ascii="Times New Roman CE" w:hAnsi="Times New Roman CE" w:cs="Times New Roman CE"/>
                      <w:sz w:val="22"/>
                      <w:szCs w:val="22"/>
                    </w:rPr>
                    <w:t>/d</w:t>
                  </w:r>
                </w:p>
              </w:tc>
              <w:tc>
                <w:tcPr>
                  <w:tcW w:w="1134"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r w:rsidRPr="00DB2665">
                    <w:rPr>
                      <w:rFonts w:ascii="Times New Roman CE" w:hAnsi="Times New Roman CE" w:cs="Times New Roman CE"/>
                      <w:sz w:val="22"/>
                      <w:szCs w:val="22"/>
                    </w:rPr>
                    <w:t>64 805</w:t>
                  </w:r>
                </w:p>
              </w:tc>
              <w:tc>
                <w:tcPr>
                  <w:tcW w:w="843"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p>
              </w:tc>
              <w:tc>
                <w:tcPr>
                  <w:tcW w:w="1020"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r w:rsidRPr="00DB2665">
                    <w:rPr>
                      <w:rFonts w:ascii="Times New Roman CE" w:hAnsi="Times New Roman CE" w:cs="Times New Roman CE"/>
                      <w:sz w:val="22"/>
                      <w:szCs w:val="22"/>
                    </w:rPr>
                    <w:t>64 813</w:t>
                  </w:r>
                </w:p>
              </w:tc>
              <w:tc>
                <w:tcPr>
                  <w:tcW w:w="1145"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r w:rsidRPr="00DB2665">
                    <w:rPr>
                      <w:rFonts w:ascii="Times New Roman CE" w:hAnsi="Times New Roman CE" w:cs="Times New Roman CE"/>
                      <w:sz w:val="22"/>
                      <w:szCs w:val="22"/>
                    </w:rPr>
                    <w:t>100,0%</w:t>
                  </w:r>
                </w:p>
              </w:tc>
              <w:tc>
                <w:tcPr>
                  <w:tcW w:w="1050"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p>
              </w:tc>
            </w:tr>
            <w:tr w:rsidR="009E24B3" w:rsidRPr="00DB2665" w:rsidTr="009E24B3">
              <w:trPr>
                <w:gridAfter w:val="1"/>
                <w:wAfter w:w="240" w:type="dxa"/>
                <w:trHeight w:val="289"/>
              </w:trPr>
              <w:tc>
                <w:tcPr>
                  <w:tcW w:w="3748" w:type="dxa"/>
                  <w:tcBorders>
                    <w:top w:val="nil"/>
                    <w:left w:val="nil"/>
                    <w:bottom w:val="nil"/>
                    <w:right w:val="nil"/>
                  </w:tcBorders>
                  <w:shd w:val="clear" w:color="auto" w:fill="auto"/>
                  <w:noWrap/>
                  <w:vAlign w:val="bottom"/>
                  <w:hideMark/>
                </w:tcPr>
                <w:p w:rsidR="009E24B3" w:rsidRPr="00DB2665" w:rsidRDefault="009E24B3" w:rsidP="009E24B3">
                  <w:pPr>
                    <w:jc w:val="left"/>
                    <w:rPr>
                      <w:rFonts w:ascii="Times New Roman CE" w:hAnsi="Times New Roman CE" w:cs="Times New Roman CE"/>
                      <w:sz w:val="22"/>
                      <w:szCs w:val="22"/>
                    </w:rPr>
                  </w:pPr>
                  <w:r w:rsidRPr="00DB2665">
                    <w:rPr>
                      <w:rFonts w:ascii="Times New Roman CE" w:hAnsi="Times New Roman CE" w:cs="Times New Roman CE"/>
                      <w:sz w:val="22"/>
                      <w:szCs w:val="22"/>
                    </w:rPr>
                    <w:t xml:space="preserve">             ebből: III. tiszt. fokozattal</w:t>
                  </w:r>
                </w:p>
              </w:tc>
              <w:tc>
                <w:tcPr>
                  <w:tcW w:w="1002" w:type="dxa"/>
                  <w:tcBorders>
                    <w:top w:val="nil"/>
                    <w:left w:val="nil"/>
                    <w:bottom w:val="nil"/>
                    <w:right w:val="nil"/>
                  </w:tcBorders>
                  <w:shd w:val="clear" w:color="auto" w:fill="auto"/>
                  <w:noWrap/>
                  <w:vAlign w:val="bottom"/>
                  <w:hideMark/>
                </w:tcPr>
                <w:p w:rsidR="009E24B3" w:rsidRPr="00DB2665" w:rsidRDefault="009E24B3" w:rsidP="009E24B3">
                  <w:pPr>
                    <w:jc w:val="center"/>
                    <w:rPr>
                      <w:rFonts w:ascii="Times New Roman CE" w:hAnsi="Times New Roman CE" w:cs="Times New Roman CE"/>
                      <w:sz w:val="22"/>
                      <w:szCs w:val="22"/>
                    </w:rPr>
                  </w:pPr>
                  <w:r w:rsidRPr="00DB2665">
                    <w:rPr>
                      <w:rFonts w:ascii="Times New Roman CE" w:hAnsi="Times New Roman CE" w:cs="Times New Roman CE"/>
                      <w:sz w:val="22"/>
                      <w:szCs w:val="22"/>
                    </w:rPr>
                    <w:t>m</w:t>
                  </w:r>
                  <w:r w:rsidRPr="00DB2665">
                    <w:rPr>
                      <w:rFonts w:ascii="Times New Roman CE" w:hAnsi="Times New Roman CE" w:cs="Times New Roman CE"/>
                      <w:sz w:val="22"/>
                      <w:szCs w:val="22"/>
                      <w:vertAlign w:val="superscript"/>
                    </w:rPr>
                    <w:t>3</w:t>
                  </w:r>
                  <w:r w:rsidRPr="00DB2665">
                    <w:rPr>
                      <w:rFonts w:ascii="Times New Roman CE" w:hAnsi="Times New Roman CE" w:cs="Times New Roman CE"/>
                      <w:sz w:val="22"/>
                      <w:szCs w:val="22"/>
                    </w:rPr>
                    <w:t>/d</w:t>
                  </w:r>
                </w:p>
              </w:tc>
              <w:tc>
                <w:tcPr>
                  <w:tcW w:w="1134"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r w:rsidRPr="00DB2665">
                    <w:rPr>
                      <w:rFonts w:ascii="Times New Roman CE" w:hAnsi="Times New Roman CE" w:cs="Times New Roman CE"/>
                      <w:sz w:val="22"/>
                      <w:szCs w:val="22"/>
                    </w:rPr>
                    <w:t>64 028</w:t>
                  </w:r>
                </w:p>
              </w:tc>
              <w:tc>
                <w:tcPr>
                  <w:tcW w:w="843"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p>
              </w:tc>
              <w:tc>
                <w:tcPr>
                  <w:tcW w:w="1020"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r w:rsidRPr="00DB2665">
                    <w:rPr>
                      <w:rFonts w:ascii="Times New Roman CE" w:hAnsi="Times New Roman CE" w:cs="Times New Roman CE"/>
                      <w:sz w:val="22"/>
                      <w:szCs w:val="22"/>
                    </w:rPr>
                    <w:t>64 036</w:t>
                  </w:r>
                </w:p>
              </w:tc>
              <w:tc>
                <w:tcPr>
                  <w:tcW w:w="1145"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r w:rsidRPr="00DB2665">
                    <w:rPr>
                      <w:rFonts w:ascii="Times New Roman CE" w:hAnsi="Times New Roman CE" w:cs="Times New Roman CE"/>
                      <w:sz w:val="22"/>
                      <w:szCs w:val="22"/>
                    </w:rPr>
                    <w:t>100,0%</w:t>
                  </w:r>
                </w:p>
              </w:tc>
              <w:tc>
                <w:tcPr>
                  <w:tcW w:w="1050"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p>
              </w:tc>
            </w:tr>
            <w:tr w:rsidR="00CA36D0" w:rsidRPr="00DB2665" w:rsidTr="009E24B3">
              <w:trPr>
                <w:gridAfter w:val="1"/>
                <w:wAfter w:w="240" w:type="dxa"/>
                <w:trHeight w:val="289"/>
              </w:trPr>
              <w:tc>
                <w:tcPr>
                  <w:tcW w:w="3748" w:type="dxa"/>
                  <w:tcBorders>
                    <w:top w:val="nil"/>
                    <w:left w:val="nil"/>
                    <w:bottom w:val="nil"/>
                    <w:right w:val="nil"/>
                  </w:tcBorders>
                  <w:shd w:val="clear" w:color="auto" w:fill="auto"/>
                  <w:noWrap/>
                  <w:vAlign w:val="bottom"/>
                </w:tcPr>
                <w:p w:rsidR="00CA36D0" w:rsidRPr="00DB2665" w:rsidRDefault="00CA36D0" w:rsidP="009E24B3">
                  <w:pPr>
                    <w:jc w:val="left"/>
                    <w:rPr>
                      <w:rFonts w:ascii="Times New Roman CE" w:hAnsi="Times New Roman CE" w:cs="Times New Roman CE"/>
                      <w:sz w:val="22"/>
                      <w:szCs w:val="22"/>
                    </w:rPr>
                  </w:pPr>
                </w:p>
              </w:tc>
              <w:tc>
                <w:tcPr>
                  <w:tcW w:w="1002" w:type="dxa"/>
                  <w:tcBorders>
                    <w:top w:val="nil"/>
                    <w:left w:val="nil"/>
                    <w:bottom w:val="nil"/>
                    <w:right w:val="nil"/>
                  </w:tcBorders>
                  <w:shd w:val="clear" w:color="auto" w:fill="auto"/>
                  <w:noWrap/>
                  <w:vAlign w:val="bottom"/>
                </w:tcPr>
                <w:p w:rsidR="00CA36D0" w:rsidRPr="00DB2665" w:rsidRDefault="00CA36D0" w:rsidP="009E24B3">
                  <w:pPr>
                    <w:jc w:val="center"/>
                    <w:rPr>
                      <w:rFonts w:ascii="Times New Roman CE" w:hAnsi="Times New Roman CE" w:cs="Times New Roman CE"/>
                      <w:sz w:val="22"/>
                      <w:szCs w:val="22"/>
                    </w:rPr>
                  </w:pPr>
                </w:p>
              </w:tc>
              <w:tc>
                <w:tcPr>
                  <w:tcW w:w="1134" w:type="dxa"/>
                  <w:gridSpan w:val="2"/>
                  <w:tcBorders>
                    <w:top w:val="nil"/>
                    <w:left w:val="nil"/>
                    <w:bottom w:val="nil"/>
                    <w:right w:val="nil"/>
                  </w:tcBorders>
                  <w:shd w:val="clear" w:color="auto" w:fill="auto"/>
                  <w:noWrap/>
                  <w:vAlign w:val="bottom"/>
                </w:tcPr>
                <w:p w:rsidR="00CA36D0" w:rsidRPr="00DB2665" w:rsidRDefault="00CA36D0" w:rsidP="009E24B3">
                  <w:pPr>
                    <w:jc w:val="right"/>
                    <w:rPr>
                      <w:rFonts w:ascii="Times New Roman CE" w:hAnsi="Times New Roman CE" w:cs="Times New Roman CE"/>
                      <w:sz w:val="22"/>
                      <w:szCs w:val="22"/>
                    </w:rPr>
                  </w:pPr>
                </w:p>
              </w:tc>
              <w:tc>
                <w:tcPr>
                  <w:tcW w:w="843" w:type="dxa"/>
                  <w:gridSpan w:val="2"/>
                  <w:tcBorders>
                    <w:top w:val="nil"/>
                    <w:left w:val="nil"/>
                    <w:bottom w:val="nil"/>
                    <w:right w:val="nil"/>
                  </w:tcBorders>
                  <w:shd w:val="clear" w:color="auto" w:fill="auto"/>
                  <w:noWrap/>
                  <w:vAlign w:val="bottom"/>
                </w:tcPr>
                <w:p w:rsidR="00CA36D0" w:rsidRPr="00DB2665" w:rsidRDefault="00CA36D0" w:rsidP="009E24B3">
                  <w:pPr>
                    <w:jc w:val="right"/>
                    <w:rPr>
                      <w:rFonts w:ascii="Times New Roman CE" w:hAnsi="Times New Roman CE" w:cs="Times New Roman CE"/>
                      <w:sz w:val="22"/>
                      <w:szCs w:val="22"/>
                    </w:rPr>
                  </w:pPr>
                </w:p>
              </w:tc>
              <w:tc>
                <w:tcPr>
                  <w:tcW w:w="1020" w:type="dxa"/>
                  <w:gridSpan w:val="2"/>
                  <w:tcBorders>
                    <w:top w:val="nil"/>
                    <w:left w:val="nil"/>
                    <w:bottom w:val="nil"/>
                    <w:right w:val="nil"/>
                  </w:tcBorders>
                  <w:shd w:val="clear" w:color="auto" w:fill="auto"/>
                  <w:noWrap/>
                  <w:vAlign w:val="bottom"/>
                </w:tcPr>
                <w:p w:rsidR="00CA36D0" w:rsidRPr="00DB2665" w:rsidRDefault="00CA36D0" w:rsidP="009E24B3">
                  <w:pPr>
                    <w:jc w:val="right"/>
                    <w:rPr>
                      <w:rFonts w:ascii="Times New Roman CE" w:hAnsi="Times New Roman CE" w:cs="Times New Roman CE"/>
                      <w:sz w:val="22"/>
                      <w:szCs w:val="22"/>
                    </w:rPr>
                  </w:pPr>
                </w:p>
              </w:tc>
              <w:tc>
                <w:tcPr>
                  <w:tcW w:w="1145" w:type="dxa"/>
                  <w:gridSpan w:val="2"/>
                  <w:tcBorders>
                    <w:top w:val="nil"/>
                    <w:left w:val="nil"/>
                    <w:bottom w:val="nil"/>
                    <w:right w:val="nil"/>
                  </w:tcBorders>
                  <w:shd w:val="clear" w:color="auto" w:fill="auto"/>
                  <w:noWrap/>
                  <w:vAlign w:val="bottom"/>
                </w:tcPr>
                <w:p w:rsidR="00CA36D0" w:rsidRPr="00DB2665" w:rsidRDefault="00CA36D0" w:rsidP="009E24B3">
                  <w:pPr>
                    <w:jc w:val="right"/>
                    <w:rPr>
                      <w:rFonts w:ascii="Times New Roman CE" w:hAnsi="Times New Roman CE" w:cs="Times New Roman CE"/>
                      <w:sz w:val="22"/>
                      <w:szCs w:val="22"/>
                    </w:rPr>
                  </w:pPr>
                </w:p>
              </w:tc>
              <w:tc>
                <w:tcPr>
                  <w:tcW w:w="1050" w:type="dxa"/>
                  <w:gridSpan w:val="2"/>
                  <w:tcBorders>
                    <w:top w:val="nil"/>
                    <w:left w:val="nil"/>
                    <w:bottom w:val="nil"/>
                    <w:right w:val="nil"/>
                  </w:tcBorders>
                  <w:shd w:val="clear" w:color="auto" w:fill="auto"/>
                  <w:noWrap/>
                  <w:vAlign w:val="bottom"/>
                </w:tcPr>
                <w:p w:rsidR="00CA36D0" w:rsidRPr="00DB2665" w:rsidRDefault="00CA36D0" w:rsidP="009E24B3">
                  <w:pPr>
                    <w:jc w:val="right"/>
                    <w:rPr>
                      <w:rFonts w:ascii="Times New Roman CE" w:hAnsi="Times New Roman CE" w:cs="Times New Roman CE"/>
                      <w:sz w:val="22"/>
                      <w:szCs w:val="22"/>
                    </w:rPr>
                  </w:pPr>
                </w:p>
              </w:tc>
            </w:tr>
            <w:tr w:rsidR="009E24B3" w:rsidRPr="00DB2665" w:rsidTr="009E24B3">
              <w:trPr>
                <w:gridAfter w:val="1"/>
                <w:wAfter w:w="240" w:type="dxa"/>
                <w:trHeight w:val="375"/>
              </w:trPr>
              <w:tc>
                <w:tcPr>
                  <w:tcW w:w="3748" w:type="dxa"/>
                  <w:tcBorders>
                    <w:top w:val="nil"/>
                    <w:left w:val="nil"/>
                    <w:bottom w:val="nil"/>
                    <w:right w:val="nil"/>
                  </w:tcBorders>
                  <w:shd w:val="clear" w:color="auto" w:fill="auto"/>
                  <w:noWrap/>
                  <w:vAlign w:val="bottom"/>
                  <w:hideMark/>
                </w:tcPr>
                <w:p w:rsidR="009E24B3" w:rsidRPr="00DB2665" w:rsidRDefault="009E24B3" w:rsidP="00AE78BF">
                  <w:pPr>
                    <w:jc w:val="left"/>
                    <w:rPr>
                      <w:rFonts w:ascii="Times New Roman CE" w:hAnsi="Times New Roman CE" w:cs="Times New Roman CE"/>
                      <w:sz w:val="22"/>
                      <w:szCs w:val="22"/>
                    </w:rPr>
                  </w:pPr>
                  <w:r w:rsidRPr="00DB2665">
                    <w:rPr>
                      <w:rFonts w:ascii="Times New Roman CE" w:hAnsi="Times New Roman CE" w:cs="Times New Roman CE"/>
                      <w:sz w:val="22"/>
                      <w:szCs w:val="22"/>
                    </w:rPr>
                    <w:t>Szennyvíz</w:t>
                  </w:r>
                  <w:r w:rsidR="00AE78BF">
                    <w:rPr>
                      <w:rFonts w:ascii="Times New Roman CE" w:hAnsi="Times New Roman CE" w:cs="Times New Roman CE"/>
                      <w:sz w:val="22"/>
                      <w:szCs w:val="22"/>
                    </w:rPr>
                    <w:t xml:space="preserve"> </w:t>
                  </w:r>
                  <w:r w:rsidRPr="00DB2665">
                    <w:rPr>
                      <w:rFonts w:ascii="Times New Roman CE" w:hAnsi="Times New Roman CE" w:cs="Times New Roman CE"/>
                      <w:sz w:val="22"/>
                      <w:szCs w:val="22"/>
                    </w:rPr>
                    <w:t>hálózat hossza</w:t>
                  </w:r>
                </w:p>
              </w:tc>
              <w:tc>
                <w:tcPr>
                  <w:tcW w:w="1002" w:type="dxa"/>
                  <w:tcBorders>
                    <w:top w:val="nil"/>
                    <w:left w:val="nil"/>
                    <w:bottom w:val="nil"/>
                    <w:right w:val="nil"/>
                  </w:tcBorders>
                  <w:shd w:val="clear" w:color="auto" w:fill="auto"/>
                  <w:noWrap/>
                  <w:vAlign w:val="bottom"/>
                  <w:hideMark/>
                </w:tcPr>
                <w:p w:rsidR="009E24B3" w:rsidRPr="00DB2665" w:rsidRDefault="009E24B3" w:rsidP="009E24B3">
                  <w:pPr>
                    <w:jc w:val="center"/>
                    <w:rPr>
                      <w:rFonts w:ascii="Times New Roman CE" w:hAnsi="Times New Roman CE" w:cs="Times New Roman CE"/>
                      <w:sz w:val="22"/>
                      <w:szCs w:val="22"/>
                    </w:rPr>
                  </w:pPr>
                  <w:r w:rsidRPr="00DB2665">
                    <w:rPr>
                      <w:rFonts w:ascii="Times New Roman CE" w:hAnsi="Times New Roman CE" w:cs="Times New Roman CE"/>
                      <w:sz w:val="22"/>
                      <w:szCs w:val="22"/>
                    </w:rPr>
                    <w:t>km</w:t>
                  </w:r>
                </w:p>
              </w:tc>
              <w:tc>
                <w:tcPr>
                  <w:tcW w:w="1134"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r w:rsidRPr="00DB2665">
                    <w:rPr>
                      <w:rFonts w:ascii="Times New Roman CE" w:hAnsi="Times New Roman CE" w:cs="Times New Roman CE"/>
                      <w:sz w:val="22"/>
                      <w:szCs w:val="22"/>
                    </w:rPr>
                    <w:t>1 524,7</w:t>
                  </w:r>
                </w:p>
              </w:tc>
              <w:tc>
                <w:tcPr>
                  <w:tcW w:w="843"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p>
              </w:tc>
              <w:tc>
                <w:tcPr>
                  <w:tcW w:w="1020"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r w:rsidRPr="00DB2665">
                    <w:rPr>
                      <w:rFonts w:ascii="Times New Roman CE" w:hAnsi="Times New Roman CE" w:cs="Times New Roman CE"/>
                      <w:sz w:val="22"/>
                      <w:szCs w:val="22"/>
                    </w:rPr>
                    <w:t>1 567</w:t>
                  </w:r>
                </w:p>
              </w:tc>
              <w:tc>
                <w:tcPr>
                  <w:tcW w:w="1145"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r w:rsidRPr="00DB2665">
                    <w:rPr>
                      <w:rFonts w:ascii="Times New Roman CE" w:hAnsi="Times New Roman CE" w:cs="Times New Roman CE"/>
                      <w:sz w:val="22"/>
                      <w:szCs w:val="22"/>
                    </w:rPr>
                    <w:t>102,8%</w:t>
                  </w:r>
                </w:p>
              </w:tc>
              <w:tc>
                <w:tcPr>
                  <w:tcW w:w="1050"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p>
              </w:tc>
            </w:tr>
            <w:tr w:rsidR="009E24B3" w:rsidRPr="00DB2665" w:rsidTr="009E24B3">
              <w:trPr>
                <w:gridAfter w:val="1"/>
                <w:wAfter w:w="240" w:type="dxa"/>
                <w:trHeight w:val="282"/>
              </w:trPr>
              <w:tc>
                <w:tcPr>
                  <w:tcW w:w="3748" w:type="dxa"/>
                  <w:tcBorders>
                    <w:top w:val="nil"/>
                    <w:left w:val="nil"/>
                    <w:bottom w:val="nil"/>
                    <w:right w:val="nil"/>
                  </w:tcBorders>
                  <w:shd w:val="clear" w:color="auto" w:fill="auto"/>
                  <w:noWrap/>
                  <w:vAlign w:val="bottom"/>
                  <w:hideMark/>
                </w:tcPr>
                <w:p w:rsidR="009E24B3" w:rsidRPr="00DB2665" w:rsidRDefault="009E24B3" w:rsidP="00C242E5">
                  <w:pPr>
                    <w:jc w:val="left"/>
                    <w:rPr>
                      <w:rFonts w:ascii="Times New Roman CE" w:hAnsi="Times New Roman CE" w:cs="Times New Roman CE"/>
                      <w:sz w:val="22"/>
                      <w:szCs w:val="22"/>
                    </w:rPr>
                  </w:pPr>
                  <w:r w:rsidRPr="00DB2665">
                    <w:rPr>
                      <w:rFonts w:ascii="Times New Roman CE" w:hAnsi="Times New Roman CE" w:cs="Times New Roman CE"/>
                      <w:sz w:val="22"/>
                      <w:szCs w:val="22"/>
                    </w:rPr>
                    <w:t>ebből: elválasztó rendszerű</w:t>
                  </w:r>
                </w:p>
              </w:tc>
              <w:tc>
                <w:tcPr>
                  <w:tcW w:w="1002" w:type="dxa"/>
                  <w:tcBorders>
                    <w:top w:val="nil"/>
                    <w:left w:val="nil"/>
                    <w:bottom w:val="nil"/>
                    <w:right w:val="nil"/>
                  </w:tcBorders>
                  <w:shd w:val="clear" w:color="auto" w:fill="auto"/>
                  <w:noWrap/>
                  <w:vAlign w:val="bottom"/>
                  <w:hideMark/>
                </w:tcPr>
                <w:p w:rsidR="009E24B3" w:rsidRPr="00DB2665" w:rsidRDefault="009E24B3" w:rsidP="009E24B3">
                  <w:pPr>
                    <w:jc w:val="center"/>
                    <w:rPr>
                      <w:rFonts w:ascii="Times New Roman CE" w:hAnsi="Times New Roman CE" w:cs="Times New Roman CE"/>
                      <w:sz w:val="22"/>
                      <w:szCs w:val="22"/>
                    </w:rPr>
                  </w:pPr>
                  <w:r w:rsidRPr="00DB2665">
                    <w:rPr>
                      <w:rFonts w:ascii="Times New Roman CE" w:hAnsi="Times New Roman CE" w:cs="Times New Roman CE"/>
                      <w:sz w:val="22"/>
                      <w:szCs w:val="22"/>
                    </w:rPr>
                    <w:t>km</w:t>
                  </w:r>
                </w:p>
              </w:tc>
              <w:tc>
                <w:tcPr>
                  <w:tcW w:w="1134" w:type="dxa"/>
                  <w:gridSpan w:val="2"/>
                  <w:tcBorders>
                    <w:top w:val="nil"/>
                    <w:left w:val="nil"/>
                    <w:bottom w:val="nil"/>
                    <w:right w:val="nil"/>
                  </w:tcBorders>
                  <w:shd w:val="clear" w:color="auto" w:fill="auto"/>
                  <w:noWrap/>
                  <w:vAlign w:val="bottom"/>
                  <w:hideMark/>
                </w:tcPr>
                <w:p w:rsidR="009E24B3" w:rsidRPr="00672549" w:rsidRDefault="009E24B3" w:rsidP="009E24B3">
                  <w:pPr>
                    <w:jc w:val="right"/>
                    <w:rPr>
                      <w:rFonts w:ascii="Times New Roman CE" w:hAnsi="Times New Roman CE" w:cs="Times New Roman CE"/>
                      <w:sz w:val="22"/>
                      <w:szCs w:val="22"/>
                    </w:rPr>
                  </w:pPr>
                  <w:r w:rsidRPr="00672549">
                    <w:rPr>
                      <w:rFonts w:ascii="Times New Roman CE" w:hAnsi="Times New Roman CE" w:cs="Times New Roman CE"/>
                      <w:sz w:val="22"/>
                      <w:szCs w:val="22"/>
                    </w:rPr>
                    <w:t>1 447,9</w:t>
                  </w:r>
                </w:p>
              </w:tc>
              <w:tc>
                <w:tcPr>
                  <w:tcW w:w="843" w:type="dxa"/>
                  <w:gridSpan w:val="2"/>
                  <w:tcBorders>
                    <w:top w:val="nil"/>
                    <w:left w:val="nil"/>
                    <w:bottom w:val="nil"/>
                    <w:right w:val="nil"/>
                  </w:tcBorders>
                  <w:shd w:val="clear" w:color="auto" w:fill="auto"/>
                  <w:noWrap/>
                  <w:vAlign w:val="bottom"/>
                  <w:hideMark/>
                </w:tcPr>
                <w:p w:rsidR="009E24B3" w:rsidRPr="00672549" w:rsidRDefault="009E24B3" w:rsidP="009E24B3">
                  <w:pPr>
                    <w:jc w:val="right"/>
                    <w:rPr>
                      <w:rFonts w:ascii="Times New Roman CE" w:hAnsi="Times New Roman CE" w:cs="Times New Roman CE"/>
                      <w:sz w:val="22"/>
                      <w:szCs w:val="22"/>
                    </w:rPr>
                  </w:pPr>
                </w:p>
              </w:tc>
              <w:tc>
                <w:tcPr>
                  <w:tcW w:w="1020" w:type="dxa"/>
                  <w:gridSpan w:val="2"/>
                  <w:tcBorders>
                    <w:top w:val="nil"/>
                    <w:left w:val="nil"/>
                    <w:bottom w:val="nil"/>
                    <w:right w:val="nil"/>
                  </w:tcBorders>
                  <w:shd w:val="clear" w:color="auto" w:fill="auto"/>
                  <w:noWrap/>
                  <w:vAlign w:val="bottom"/>
                  <w:hideMark/>
                </w:tcPr>
                <w:p w:rsidR="009E24B3" w:rsidRPr="00672549" w:rsidRDefault="009E24B3" w:rsidP="00672549">
                  <w:pPr>
                    <w:jc w:val="right"/>
                    <w:rPr>
                      <w:rFonts w:ascii="Times New Roman CE" w:hAnsi="Times New Roman CE" w:cs="Times New Roman CE"/>
                      <w:sz w:val="22"/>
                      <w:szCs w:val="22"/>
                    </w:rPr>
                  </w:pPr>
                  <w:r w:rsidRPr="00672549">
                    <w:rPr>
                      <w:rFonts w:ascii="Times New Roman CE" w:hAnsi="Times New Roman CE" w:cs="Times New Roman CE"/>
                      <w:sz w:val="22"/>
                      <w:szCs w:val="22"/>
                    </w:rPr>
                    <w:t>1</w:t>
                  </w:r>
                  <w:r w:rsidR="00672549" w:rsidRPr="00672549">
                    <w:rPr>
                      <w:rFonts w:ascii="Times New Roman CE" w:hAnsi="Times New Roman CE" w:cs="Times New Roman CE"/>
                      <w:sz w:val="22"/>
                      <w:szCs w:val="22"/>
                    </w:rPr>
                    <w:t> </w:t>
                  </w:r>
                  <w:r w:rsidRPr="00672549">
                    <w:rPr>
                      <w:rFonts w:ascii="Times New Roman CE" w:hAnsi="Times New Roman CE" w:cs="Times New Roman CE"/>
                      <w:sz w:val="22"/>
                      <w:szCs w:val="22"/>
                    </w:rPr>
                    <w:t>4</w:t>
                  </w:r>
                  <w:r w:rsidR="00672549" w:rsidRPr="00672549">
                    <w:rPr>
                      <w:rFonts w:ascii="Times New Roman CE" w:hAnsi="Times New Roman CE" w:cs="Times New Roman CE"/>
                      <w:sz w:val="22"/>
                      <w:szCs w:val="22"/>
                    </w:rPr>
                    <w:t>90,5</w:t>
                  </w:r>
                </w:p>
              </w:tc>
              <w:tc>
                <w:tcPr>
                  <w:tcW w:w="1145" w:type="dxa"/>
                  <w:gridSpan w:val="2"/>
                  <w:tcBorders>
                    <w:top w:val="nil"/>
                    <w:left w:val="nil"/>
                    <w:bottom w:val="nil"/>
                    <w:right w:val="nil"/>
                  </w:tcBorders>
                  <w:shd w:val="clear" w:color="auto" w:fill="auto"/>
                  <w:noWrap/>
                  <w:vAlign w:val="bottom"/>
                  <w:hideMark/>
                </w:tcPr>
                <w:p w:rsidR="009E24B3" w:rsidRPr="00672549" w:rsidRDefault="009E24B3" w:rsidP="009E24B3">
                  <w:pPr>
                    <w:jc w:val="right"/>
                    <w:rPr>
                      <w:rFonts w:ascii="Times New Roman CE" w:hAnsi="Times New Roman CE" w:cs="Times New Roman CE"/>
                      <w:sz w:val="22"/>
                      <w:szCs w:val="22"/>
                    </w:rPr>
                  </w:pPr>
                  <w:r w:rsidRPr="00672549">
                    <w:rPr>
                      <w:rFonts w:ascii="Times New Roman CE" w:hAnsi="Times New Roman CE" w:cs="Times New Roman CE"/>
                      <w:sz w:val="22"/>
                      <w:szCs w:val="22"/>
                    </w:rPr>
                    <w:t>102,9%</w:t>
                  </w:r>
                </w:p>
              </w:tc>
              <w:tc>
                <w:tcPr>
                  <w:tcW w:w="1050"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p>
              </w:tc>
            </w:tr>
            <w:tr w:rsidR="009E24B3" w:rsidRPr="00DB2665" w:rsidTr="009E24B3">
              <w:trPr>
                <w:gridAfter w:val="1"/>
                <w:wAfter w:w="240" w:type="dxa"/>
                <w:trHeight w:val="282"/>
              </w:trPr>
              <w:tc>
                <w:tcPr>
                  <w:tcW w:w="3748" w:type="dxa"/>
                  <w:tcBorders>
                    <w:top w:val="nil"/>
                    <w:left w:val="nil"/>
                    <w:bottom w:val="nil"/>
                    <w:right w:val="nil"/>
                  </w:tcBorders>
                  <w:shd w:val="clear" w:color="auto" w:fill="auto"/>
                  <w:noWrap/>
                  <w:vAlign w:val="bottom"/>
                  <w:hideMark/>
                </w:tcPr>
                <w:p w:rsidR="009E24B3" w:rsidRPr="00DB2665" w:rsidRDefault="009E24B3" w:rsidP="009E24B3">
                  <w:pPr>
                    <w:jc w:val="left"/>
                    <w:rPr>
                      <w:rFonts w:ascii="Times New Roman CE" w:hAnsi="Times New Roman CE" w:cs="Times New Roman CE"/>
                      <w:sz w:val="22"/>
                      <w:szCs w:val="22"/>
                    </w:rPr>
                  </w:pPr>
                  <w:r w:rsidRPr="00DB2665">
                    <w:rPr>
                      <w:rFonts w:ascii="Times New Roman CE" w:hAnsi="Times New Roman CE" w:cs="Times New Roman CE"/>
                      <w:sz w:val="22"/>
                      <w:szCs w:val="22"/>
                    </w:rPr>
                    <w:t xml:space="preserve">           egyesített</w:t>
                  </w:r>
                </w:p>
              </w:tc>
              <w:tc>
                <w:tcPr>
                  <w:tcW w:w="1002" w:type="dxa"/>
                  <w:tcBorders>
                    <w:top w:val="nil"/>
                    <w:left w:val="nil"/>
                    <w:bottom w:val="nil"/>
                    <w:right w:val="nil"/>
                  </w:tcBorders>
                  <w:shd w:val="clear" w:color="auto" w:fill="auto"/>
                  <w:noWrap/>
                  <w:vAlign w:val="bottom"/>
                  <w:hideMark/>
                </w:tcPr>
                <w:p w:rsidR="009E24B3" w:rsidRPr="00DB2665" w:rsidRDefault="009E24B3" w:rsidP="009E24B3">
                  <w:pPr>
                    <w:jc w:val="center"/>
                    <w:rPr>
                      <w:rFonts w:ascii="Times New Roman CE" w:hAnsi="Times New Roman CE" w:cs="Times New Roman CE"/>
                      <w:sz w:val="22"/>
                      <w:szCs w:val="22"/>
                    </w:rPr>
                  </w:pPr>
                  <w:r w:rsidRPr="00DB2665">
                    <w:rPr>
                      <w:rFonts w:ascii="Times New Roman CE" w:hAnsi="Times New Roman CE" w:cs="Times New Roman CE"/>
                      <w:sz w:val="22"/>
                      <w:szCs w:val="22"/>
                    </w:rPr>
                    <w:t>km</w:t>
                  </w:r>
                </w:p>
              </w:tc>
              <w:tc>
                <w:tcPr>
                  <w:tcW w:w="1134" w:type="dxa"/>
                  <w:gridSpan w:val="2"/>
                  <w:tcBorders>
                    <w:top w:val="nil"/>
                    <w:left w:val="nil"/>
                    <w:bottom w:val="nil"/>
                    <w:right w:val="nil"/>
                  </w:tcBorders>
                  <w:shd w:val="clear" w:color="auto" w:fill="auto"/>
                  <w:noWrap/>
                  <w:vAlign w:val="bottom"/>
                  <w:hideMark/>
                </w:tcPr>
                <w:p w:rsidR="009E24B3" w:rsidRPr="00672549" w:rsidRDefault="009E24B3" w:rsidP="009E24B3">
                  <w:pPr>
                    <w:jc w:val="right"/>
                    <w:rPr>
                      <w:rFonts w:ascii="Times New Roman CE" w:hAnsi="Times New Roman CE" w:cs="Times New Roman CE"/>
                      <w:sz w:val="22"/>
                      <w:szCs w:val="22"/>
                    </w:rPr>
                  </w:pPr>
                  <w:r w:rsidRPr="00672549">
                    <w:rPr>
                      <w:rFonts w:ascii="Times New Roman CE" w:hAnsi="Times New Roman CE" w:cs="Times New Roman CE"/>
                      <w:sz w:val="22"/>
                      <w:szCs w:val="22"/>
                    </w:rPr>
                    <w:t>76,8</w:t>
                  </w:r>
                </w:p>
              </w:tc>
              <w:tc>
                <w:tcPr>
                  <w:tcW w:w="843" w:type="dxa"/>
                  <w:gridSpan w:val="2"/>
                  <w:tcBorders>
                    <w:top w:val="nil"/>
                    <w:left w:val="nil"/>
                    <w:bottom w:val="nil"/>
                    <w:right w:val="nil"/>
                  </w:tcBorders>
                  <w:shd w:val="clear" w:color="auto" w:fill="auto"/>
                  <w:noWrap/>
                  <w:vAlign w:val="bottom"/>
                  <w:hideMark/>
                </w:tcPr>
                <w:p w:rsidR="009E24B3" w:rsidRPr="00672549" w:rsidRDefault="009E24B3" w:rsidP="009E24B3">
                  <w:pPr>
                    <w:jc w:val="right"/>
                    <w:rPr>
                      <w:rFonts w:ascii="Times New Roman CE" w:hAnsi="Times New Roman CE" w:cs="Times New Roman CE"/>
                      <w:sz w:val="22"/>
                      <w:szCs w:val="22"/>
                    </w:rPr>
                  </w:pPr>
                </w:p>
              </w:tc>
              <w:tc>
                <w:tcPr>
                  <w:tcW w:w="1020" w:type="dxa"/>
                  <w:gridSpan w:val="2"/>
                  <w:tcBorders>
                    <w:top w:val="nil"/>
                    <w:left w:val="nil"/>
                    <w:bottom w:val="nil"/>
                    <w:right w:val="nil"/>
                  </w:tcBorders>
                  <w:shd w:val="clear" w:color="auto" w:fill="auto"/>
                  <w:noWrap/>
                  <w:vAlign w:val="bottom"/>
                  <w:hideMark/>
                </w:tcPr>
                <w:p w:rsidR="009E24B3" w:rsidRPr="00672549" w:rsidRDefault="009E24B3" w:rsidP="00672549">
                  <w:pPr>
                    <w:jc w:val="right"/>
                    <w:rPr>
                      <w:rFonts w:ascii="Times New Roman CE" w:hAnsi="Times New Roman CE" w:cs="Times New Roman CE"/>
                      <w:sz w:val="22"/>
                      <w:szCs w:val="22"/>
                    </w:rPr>
                  </w:pPr>
                  <w:r w:rsidRPr="00672549">
                    <w:rPr>
                      <w:rFonts w:ascii="Times New Roman CE" w:hAnsi="Times New Roman CE" w:cs="Times New Roman CE"/>
                      <w:sz w:val="22"/>
                      <w:szCs w:val="22"/>
                    </w:rPr>
                    <w:t>7</w:t>
                  </w:r>
                  <w:r w:rsidR="00672549" w:rsidRPr="00672549">
                    <w:rPr>
                      <w:rFonts w:ascii="Times New Roman CE" w:hAnsi="Times New Roman CE" w:cs="Times New Roman CE"/>
                      <w:sz w:val="22"/>
                      <w:szCs w:val="22"/>
                    </w:rPr>
                    <w:t>6,8</w:t>
                  </w:r>
                </w:p>
              </w:tc>
              <w:tc>
                <w:tcPr>
                  <w:tcW w:w="1145" w:type="dxa"/>
                  <w:gridSpan w:val="2"/>
                  <w:tcBorders>
                    <w:top w:val="nil"/>
                    <w:left w:val="nil"/>
                    <w:bottom w:val="nil"/>
                    <w:right w:val="nil"/>
                  </w:tcBorders>
                  <w:shd w:val="clear" w:color="auto" w:fill="auto"/>
                  <w:noWrap/>
                  <w:vAlign w:val="bottom"/>
                  <w:hideMark/>
                </w:tcPr>
                <w:p w:rsidR="009E24B3" w:rsidRPr="00672549" w:rsidRDefault="009E24B3" w:rsidP="00672549">
                  <w:pPr>
                    <w:jc w:val="right"/>
                    <w:rPr>
                      <w:rFonts w:ascii="Times New Roman CE" w:hAnsi="Times New Roman CE" w:cs="Times New Roman CE"/>
                      <w:sz w:val="22"/>
                      <w:szCs w:val="22"/>
                    </w:rPr>
                  </w:pPr>
                  <w:r w:rsidRPr="00672549">
                    <w:rPr>
                      <w:rFonts w:ascii="Times New Roman CE" w:hAnsi="Times New Roman CE" w:cs="Times New Roman CE"/>
                      <w:sz w:val="22"/>
                      <w:szCs w:val="22"/>
                    </w:rPr>
                    <w:t>100,</w:t>
                  </w:r>
                  <w:r w:rsidR="00672549" w:rsidRPr="00672549">
                    <w:rPr>
                      <w:rFonts w:ascii="Times New Roman CE" w:hAnsi="Times New Roman CE" w:cs="Times New Roman CE"/>
                      <w:sz w:val="22"/>
                      <w:szCs w:val="22"/>
                    </w:rPr>
                    <w:t>0</w:t>
                  </w:r>
                  <w:r w:rsidRPr="00672549">
                    <w:rPr>
                      <w:rFonts w:ascii="Times New Roman CE" w:hAnsi="Times New Roman CE" w:cs="Times New Roman CE"/>
                      <w:sz w:val="22"/>
                      <w:szCs w:val="22"/>
                    </w:rPr>
                    <w:t>%</w:t>
                  </w:r>
                </w:p>
              </w:tc>
              <w:tc>
                <w:tcPr>
                  <w:tcW w:w="1050" w:type="dxa"/>
                  <w:gridSpan w:val="2"/>
                  <w:tcBorders>
                    <w:top w:val="nil"/>
                    <w:left w:val="nil"/>
                    <w:bottom w:val="nil"/>
                    <w:right w:val="nil"/>
                  </w:tcBorders>
                  <w:shd w:val="clear" w:color="auto" w:fill="auto"/>
                  <w:noWrap/>
                  <w:vAlign w:val="bottom"/>
                  <w:hideMark/>
                </w:tcPr>
                <w:p w:rsidR="009E24B3" w:rsidRPr="00002A28" w:rsidRDefault="009E24B3" w:rsidP="009E24B3">
                  <w:pPr>
                    <w:jc w:val="right"/>
                    <w:rPr>
                      <w:rFonts w:ascii="Times New Roman CE" w:hAnsi="Times New Roman CE" w:cs="Times New Roman CE"/>
                      <w:sz w:val="22"/>
                      <w:szCs w:val="22"/>
                      <w:highlight w:val="yellow"/>
                    </w:rPr>
                  </w:pPr>
                </w:p>
              </w:tc>
            </w:tr>
            <w:tr w:rsidR="009E24B3" w:rsidRPr="00DB2665" w:rsidTr="009E24B3">
              <w:trPr>
                <w:gridAfter w:val="1"/>
                <w:wAfter w:w="240" w:type="dxa"/>
                <w:trHeight w:val="282"/>
              </w:trPr>
              <w:tc>
                <w:tcPr>
                  <w:tcW w:w="3748" w:type="dxa"/>
                  <w:tcBorders>
                    <w:top w:val="nil"/>
                    <w:left w:val="nil"/>
                    <w:bottom w:val="nil"/>
                    <w:right w:val="nil"/>
                  </w:tcBorders>
                  <w:shd w:val="clear" w:color="auto" w:fill="auto"/>
                  <w:noWrap/>
                  <w:vAlign w:val="bottom"/>
                  <w:hideMark/>
                </w:tcPr>
                <w:p w:rsidR="009E24B3" w:rsidRPr="00DB2665" w:rsidRDefault="009E24B3" w:rsidP="009E24B3">
                  <w:pPr>
                    <w:jc w:val="left"/>
                    <w:rPr>
                      <w:rFonts w:ascii="Times New Roman CE" w:hAnsi="Times New Roman CE" w:cs="Times New Roman CE"/>
                      <w:sz w:val="22"/>
                      <w:szCs w:val="22"/>
                    </w:rPr>
                  </w:pPr>
                  <w:r w:rsidRPr="00DB2665">
                    <w:rPr>
                      <w:rFonts w:ascii="Times New Roman CE" w:hAnsi="Times New Roman CE" w:cs="Times New Roman CE"/>
                      <w:sz w:val="22"/>
                      <w:szCs w:val="22"/>
                    </w:rPr>
                    <w:t>Bekötővezeték hossza</w:t>
                  </w:r>
                </w:p>
              </w:tc>
              <w:tc>
                <w:tcPr>
                  <w:tcW w:w="1002" w:type="dxa"/>
                  <w:tcBorders>
                    <w:top w:val="nil"/>
                    <w:left w:val="nil"/>
                    <w:bottom w:val="nil"/>
                    <w:right w:val="nil"/>
                  </w:tcBorders>
                  <w:shd w:val="clear" w:color="auto" w:fill="auto"/>
                  <w:noWrap/>
                  <w:vAlign w:val="bottom"/>
                  <w:hideMark/>
                </w:tcPr>
                <w:p w:rsidR="009E24B3" w:rsidRPr="00DB2665" w:rsidRDefault="009E24B3" w:rsidP="009E24B3">
                  <w:pPr>
                    <w:jc w:val="center"/>
                    <w:rPr>
                      <w:rFonts w:ascii="Times New Roman CE" w:hAnsi="Times New Roman CE" w:cs="Times New Roman CE"/>
                      <w:sz w:val="22"/>
                      <w:szCs w:val="22"/>
                    </w:rPr>
                  </w:pPr>
                  <w:r w:rsidRPr="00DB2665">
                    <w:rPr>
                      <w:rFonts w:ascii="Times New Roman CE" w:hAnsi="Times New Roman CE" w:cs="Times New Roman CE"/>
                      <w:sz w:val="22"/>
                      <w:szCs w:val="22"/>
                    </w:rPr>
                    <w:t>km</w:t>
                  </w:r>
                </w:p>
              </w:tc>
              <w:tc>
                <w:tcPr>
                  <w:tcW w:w="1134"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r w:rsidRPr="00DB2665">
                    <w:rPr>
                      <w:rFonts w:ascii="Times New Roman CE" w:hAnsi="Times New Roman CE" w:cs="Times New Roman CE"/>
                      <w:sz w:val="22"/>
                      <w:szCs w:val="22"/>
                    </w:rPr>
                    <w:t>613,2</w:t>
                  </w:r>
                </w:p>
              </w:tc>
              <w:tc>
                <w:tcPr>
                  <w:tcW w:w="843"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p>
              </w:tc>
              <w:tc>
                <w:tcPr>
                  <w:tcW w:w="1020"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r w:rsidRPr="00DB2665">
                    <w:rPr>
                      <w:rFonts w:ascii="Times New Roman CE" w:hAnsi="Times New Roman CE" w:cs="Times New Roman CE"/>
                      <w:sz w:val="22"/>
                      <w:szCs w:val="22"/>
                    </w:rPr>
                    <w:t>632,7</w:t>
                  </w:r>
                </w:p>
              </w:tc>
              <w:tc>
                <w:tcPr>
                  <w:tcW w:w="1145"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r w:rsidRPr="00DB2665">
                    <w:rPr>
                      <w:rFonts w:ascii="Times New Roman CE" w:hAnsi="Times New Roman CE" w:cs="Times New Roman CE"/>
                      <w:sz w:val="22"/>
                      <w:szCs w:val="22"/>
                    </w:rPr>
                    <w:t>103,2%</w:t>
                  </w:r>
                </w:p>
              </w:tc>
              <w:tc>
                <w:tcPr>
                  <w:tcW w:w="1050"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p>
              </w:tc>
            </w:tr>
            <w:tr w:rsidR="009E24B3" w:rsidRPr="00DB2665" w:rsidTr="009E24B3">
              <w:trPr>
                <w:gridAfter w:val="1"/>
                <w:wAfter w:w="240" w:type="dxa"/>
                <w:trHeight w:val="282"/>
              </w:trPr>
              <w:tc>
                <w:tcPr>
                  <w:tcW w:w="3748" w:type="dxa"/>
                  <w:tcBorders>
                    <w:top w:val="nil"/>
                    <w:left w:val="nil"/>
                    <w:bottom w:val="nil"/>
                    <w:right w:val="nil"/>
                  </w:tcBorders>
                  <w:shd w:val="clear" w:color="auto" w:fill="auto"/>
                  <w:noWrap/>
                  <w:vAlign w:val="bottom"/>
                  <w:hideMark/>
                </w:tcPr>
                <w:p w:rsidR="009E24B3" w:rsidRPr="00DB2665" w:rsidRDefault="009E24B3" w:rsidP="009E24B3">
                  <w:pPr>
                    <w:jc w:val="left"/>
                    <w:rPr>
                      <w:rFonts w:ascii="Times New Roman CE" w:hAnsi="Times New Roman CE" w:cs="Times New Roman CE"/>
                      <w:sz w:val="22"/>
                      <w:szCs w:val="22"/>
                    </w:rPr>
                  </w:pPr>
                  <w:r w:rsidRPr="00DB2665">
                    <w:rPr>
                      <w:rFonts w:ascii="Times New Roman CE" w:hAnsi="Times New Roman CE" w:cs="Times New Roman CE"/>
                      <w:sz w:val="22"/>
                      <w:szCs w:val="22"/>
                    </w:rPr>
                    <w:t>Felhasználóhelyek száma</w:t>
                  </w:r>
                </w:p>
              </w:tc>
              <w:tc>
                <w:tcPr>
                  <w:tcW w:w="1002" w:type="dxa"/>
                  <w:tcBorders>
                    <w:top w:val="nil"/>
                    <w:left w:val="nil"/>
                    <w:bottom w:val="nil"/>
                    <w:right w:val="nil"/>
                  </w:tcBorders>
                  <w:shd w:val="clear" w:color="auto" w:fill="auto"/>
                  <w:noWrap/>
                  <w:vAlign w:val="bottom"/>
                  <w:hideMark/>
                </w:tcPr>
                <w:p w:rsidR="009E24B3" w:rsidRPr="00DB2665" w:rsidRDefault="009E24B3" w:rsidP="009E24B3">
                  <w:pPr>
                    <w:jc w:val="center"/>
                    <w:rPr>
                      <w:rFonts w:ascii="Times New Roman CE" w:hAnsi="Times New Roman CE" w:cs="Times New Roman CE"/>
                      <w:sz w:val="22"/>
                      <w:szCs w:val="22"/>
                    </w:rPr>
                  </w:pPr>
                  <w:r w:rsidRPr="00DB2665">
                    <w:rPr>
                      <w:rFonts w:ascii="Times New Roman CE" w:hAnsi="Times New Roman CE" w:cs="Times New Roman CE"/>
                      <w:sz w:val="22"/>
                      <w:szCs w:val="22"/>
                    </w:rPr>
                    <w:t>db</w:t>
                  </w:r>
                </w:p>
              </w:tc>
              <w:tc>
                <w:tcPr>
                  <w:tcW w:w="1134"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r w:rsidRPr="00DB2665">
                    <w:rPr>
                      <w:rFonts w:ascii="Times New Roman CE" w:hAnsi="Times New Roman CE" w:cs="Times New Roman CE"/>
                      <w:sz w:val="22"/>
                      <w:szCs w:val="22"/>
                    </w:rPr>
                    <w:t>63 842</w:t>
                  </w:r>
                </w:p>
              </w:tc>
              <w:tc>
                <w:tcPr>
                  <w:tcW w:w="843"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p>
              </w:tc>
              <w:tc>
                <w:tcPr>
                  <w:tcW w:w="1020"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r w:rsidRPr="00DB2665">
                    <w:rPr>
                      <w:rFonts w:ascii="Times New Roman CE" w:hAnsi="Times New Roman CE" w:cs="Times New Roman CE"/>
                      <w:sz w:val="22"/>
                      <w:szCs w:val="22"/>
                    </w:rPr>
                    <w:t>64 662</w:t>
                  </w:r>
                </w:p>
              </w:tc>
              <w:tc>
                <w:tcPr>
                  <w:tcW w:w="1145"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r w:rsidRPr="00DB2665">
                    <w:rPr>
                      <w:rFonts w:ascii="Times New Roman CE" w:hAnsi="Times New Roman CE" w:cs="Times New Roman CE"/>
                      <w:sz w:val="22"/>
                      <w:szCs w:val="22"/>
                    </w:rPr>
                    <w:t>101,3%</w:t>
                  </w:r>
                </w:p>
              </w:tc>
              <w:tc>
                <w:tcPr>
                  <w:tcW w:w="1050"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p>
              </w:tc>
            </w:tr>
            <w:tr w:rsidR="009E24B3" w:rsidRPr="00DB2665" w:rsidTr="009E24B3">
              <w:trPr>
                <w:gridAfter w:val="1"/>
                <w:wAfter w:w="240" w:type="dxa"/>
                <w:trHeight w:val="900"/>
              </w:trPr>
              <w:tc>
                <w:tcPr>
                  <w:tcW w:w="3748" w:type="dxa"/>
                  <w:tcBorders>
                    <w:top w:val="nil"/>
                    <w:left w:val="nil"/>
                    <w:bottom w:val="nil"/>
                    <w:right w:val="nil"/>
                  </w:tcBorders>
                  <w:shd w:val="clear" w:color="auto" w:fill="auto"/>
                  <w:vAlign w:val="bottom"/>
                  <w:hideMark/>
                </w:tcPr>
                <w:p w:rsidR="009E24B3" w:rsidRPr="00DB2665" w:rsidRDefault="00025408" w:rsidP="00025408">
                  <w:pPr>
                    <w:jc w:val="left"/>
                    <w:rPr>
                      <w:rFonts w:ascii="Times New Roman CE" w:hAnsi="Times New Roman CE" w:cs="Times New Roman CE"/>
                      <w:sz w:val="22"/>
                      <w:szCs w:val="22"/>
                    </w:rPr>
                  </w:pPr>
                  <w:r>
                    <w:rPr>
                      <w:rFonts w:ascii="Times New Roman CE" w:hAnsi="Times New Roman CE" w:cs="Times New Roman CE"/>
                      <w:sz w:val="22"/>
                      <w:szCs w:val="22"/>
                    </w:rPr>
                    <w:lastRenderedPageBreak/>
                    <w:t xml:space="preserve"> A zr</w:t>
                  </w:r>
                  <w:r w:rsidR="009E24B3" w:rsidRPr="00DB2665">
                    <w:rPr>
                      <w:rFonts w:ascii="Times New Roman CE" w:hAnsi="Times New Roman CE" w:cs="Times New Roman CE"/>
                      <w:sz w:val="22"/>
                      <w:szCs w:val="22"/>
                    </w:rPr>
                    <w:t>t</w:t>
                  </w:r>
                  <w:r>
                    <w:rPr>
                      <w:rFonts w:ascii="Times New Roman CE" w:hAnsi="Times New Roman CE" w:cs="Times New Roman CE"/>
                      <w:sz w:val="22"/>
                      <w:szCs w:val="22"/>
                    </w:rPr>
                    <w:t>.</w:t>
                  </w:r>
                  <w:r w:rsidR="009E24B3" w:rsidRPr="00DB2665">
                    <w:rPr>
                      <w:rFonts w:ascii="Times New Roman CE" w:hAnsi="Times New Roman CE" w:cs="Times New Roman CE"/>
                      <w:sz w:val="22"/>
                      <w:szCs w:val="22"/>
                    </w:rPr>
                    <w:t xml:space="preserve"> ellátási területén élő, szennyvíz</w:t>
                  </w:r>
                  <w:r>
                    <w:rPr>
                      <w:rFonts w:ascii="Times New Roman CE" w:hAnsi="Times New Roman CE" w:cs="Times New Roman CE"/>
                      <w:sz w:val="22"/>
                      <w:szCs w:val="22"/>
                    </w:rPr>
                    <w:t>-</w:t>
                  </w:r>
                  <w:r w:rsidR="009E24B3" w:rsidRPr="00DB2665">
                    <w:rPr>
                      <w:rFonts w:ascii="Times New Roman CE" w:hAnsi="Times New Roman CE" w:cs="Times New Roman CE"/>
                      <w:sz w:val="22"/>
                      <w:szCs w:val="22"/>
                    </w:rPr>
                    <w:t>elvezetési lehetőséggel ellátott lakó</w:t>
                  </w:r>
                  <w:r>
                    <w:rPr>
                      <w:rFonts w:ascii="Times New Roman CE" w:hAnsi="Times New Roman CE" w:cs="Times New Roman CE"/>
                      <w:sz w:val="22"/>
                      <w:szCs w:val="22"/>
                    </w:rPr>
                    <w:t xml:space="preserve">-   </w:t>
                  </w:r>
                  <w:r w:rsidR="009E24B3" w:rsidRPr="00DB2665">
                    <w:rPr>
                      <w:rFonts w:ascii="Times New Roman CE" w:hAnsi="Times New Roman CE" w:cs="Times New Roman CE"/>
                      <w:sz w:val="22"/>
                      <w:szCs w:val="22"/>
                    </w:rPr>
                    <w:t>népesség száma</w:t>
                  </w:r>
                </w:p>
              </w:tc>
              <w:tc>
                <w:tcPr>
                  <w:tcW w:w="1002" w:type="dxa"/>
                  <w:tcBorders>
                    <w:top w:val="nil"/>
                    <w:left w:val="nil"/>
                    <w:bottom w:val="nil"/>
                    <w:right w:val="nil"/>
                  </w:tcBorders>
                  <w:shd w:val="clear" w:color="auto" w:fill="auto"/>
                  <w:noWrap/>
                  <w:vAlign w:val="bottom"/>
                  <w:hideMark/>
                </w:tcPr>
                <w:p w:rsidR="009E24B3" w:rsidRPr="00DB2665" w:rsidRDefault="009E24B3" w:rsidP="009E24B3">
                  <w:pPr>
                    <w:jc w:val="center"/>
                    <w:rPr>
                      <w:rFonts w:ascii="Times New Roman CE" w:hAnsi="Times New Roman CE" w:cs="Times New Roman CE"/>
                      <w:sz w:val="22"/>
                      <w:szCs w:val="22"/>
                    </w:rPr>
                  </w:pPr>
                  <w:r w:rsidRPr="00DB2665">
                    <w:rPr>
                      <w:rFonts w:ascii="Times New Roman CE" w:hAnsi="Times New Roman CE" w:cs="Times New Roman CE"/>
                      <w:sz w:val="22"/>
                      <w:szCs w:val="22"/>
                    </w:rPr>
                    <w:t>ezer fő</w:t>
                  </w:r>
                </w:p>
              </w:tc>
              <w:tc>
                <w:tcPr>
                  <w:tcW w:w="1134"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r w:rsidRPr="00DB2665">
                    <w:rPr>
                      <w:rFonts w:ascii="Times New Roman CE" w:hAnsi="Times New Roman CE" w:cs="Times New Roman CE"/>
                      <w:sz w:val="22"/>
                      <w:szCs w:val="22"/>
                    </w:rPr>
                    <w:t>224</w:t>
                  </w:r>
                </w:p>
              </w:tc>
              <w:tc>
                <w:tcPr>
                  <w:tcW w:w="843"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p>
              </w:tc>
              <w:tc>
                <w:tcPr>
                  <w:tcW w:w="1020"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r w:rsidRPr="00DB2665">
                    <w:rPr>
                      <w:rFonts w:ascii="Times New Roman CE" w:hAnsi="Times New Roman CE" w:cs="Times New Roman CE"/>
                      <w:sz w:val="22"/>
                      <w:szCs w:val="22"/>
                    </w:rPr>
                    <w:t>225</w:t>
                  </w:r>
                </w:p>
              </w:tc>
              <w:tc>
                <w:tcPr>
                  <w:tcW w:w="1145"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r w:rsidRPr="00DB2665">
                    <w:rPr>
                      <w:rFonts w:ascii="Times New Roman CE" w:hAnsi="Times New Roman CE" w:cs="Times New Roman CE"/>
                      <w:sz w:val="22"/>
                      <w:szCs w:val="22"/>
                    </w:rPr>
                    <w:t>100,4%</w:t>
                  </w:r>
                </w:p>
              </w:tc>
              <w:tc>
                <w:tcPr>
                  <w:tcW w:w="1050"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p>
              </w:tc>
            </w:tr>
            <w:tr w:rsidR="009E24B3" w:rsidRPr="00DB2665" w:rsidTr="009E24B3">
              <w:trPr>
                <w:gridAfter w:val="1"/>
                <w:wAfter w:w="240" w:type="dxa"/>
                <w:trHeight w:val="360"/>
              </w:trPr>
              <w:tc>
                <w:tcPr>
                  <w:tcW w:w="3748" w:type="dxa"/>
                  <w:tcBorders>
                    <w:top w:val="nil"/>
                    <w:left w:val="nil"/>
                    <w:bottom w:val="nil"/>
                    <w:right w:val="nil"/>
                  </w:tcBorders>
                  <w:shd w:val="clear" w:color="auto" w:fill="auto"/>
                  <w:noWrap/>
                  <w:vAlign w:val="bottom"/>
                  <w:hideMark/>
                </w:tcPr>
                <w:p w:rsidR="009E24B3" w:rsidRPr="00DB2665" w:rsidRDefault="009E24B3" w:rsidP="009E24B3">
                  <w:pPr>
                    <w:jc w:val="left"/>
                    <w:rPr>
                      <w:rFonts w:ascii="Times New Roman CE" w:hAnsi="Times New Roman CE" w:cs="Times New Roman CE"/>
                      <w:sz w:val="22"/>
                      <w:szCs w:val="22"/>
                    </w:rPr>
                  </w:pPr>
                  <w:r w:rsidRPr="00DB2665">
                    <w:rPr>
                      <w:rFonts w:ascii="Times New Roman CE" w:hAnsi="Times New Roman CE" w:cs="Times New Roman CE"/>
                      <w:sz w:val="22"/>
                      <w:szCs w:val="22"/>
                    </w:rPr>
                    <w:t>Elvezetett (tisztított) szennyvíz</w:t>
                  </w:r>
                </w:p>
              </w:tc>
              <w:tc>
                <w:tcPr>
                  <w:tcW w:w="1002" w:type="dxa"/>
                  <w:tcBorders>
                    <w:top w:val="nil"/>
                    <w:left w:val="nil"/>
                    <w:bottom w:val="nil"/>
                    <w:right w:val="nil"/>
                  </w:tcBorders>
                  <w:shd w:val="clear" w:color="auto" w:fill="auto"/>
                  <w:noWrap/>
                  <w:vAlign w:val="bottom"/>
                  <w:hideMark/>
                </w:tcPr>
                <w:p w:rsidR="009E24B3" w:rsidRPr="00DB2665" w:rsidRDefault="009E24B3" w:rsidP="009E24B3">
                  <w:pPr>
                    <w:jc w:val="center"/>
                    <w:rPr>
                      <w:rFonts w:ascii="Times New Roman CE" w:hAnsi="Times New Roman CE" w:cs="Times New Roman CE"/>
                      <w:sz w:val="22"/>
                      <w:szCs w:val="22"/>
                    </w:rPr>
                  </w:pPr>
                  <w:r w:rsidRPr="00DB2665">
                    <w:rPr>
                      <w:rFonts w:ascii="Times New Roman CE" w:hAnsi="Times New Roman CE" w:cs="Times New Roman CE"/>
                      <w:sz w:val="22"/>
                      <w:szCs w:val="22"/>
                    </w:rPr>
                    <w:t>em</w:t>
                  </w:r>
                  <w:r w:rsidRPr="00DB2665">
                    <w:rPr>
                      <w:rFonts w:ascii="Times New Roman CE" w:hAnsi="Times New Roman CE" w:cs="Times New Roman CE"/>
                      <w:sz w:val="22"/>
                      <w:szCs w:val="22"/>
                      <w:vertAlign w:val="superscript"/>
                    </w:rPr>
                    <w:t>3</w:t>
                  </w:r>
                </w:p>
              </w:tc>
              <w:tc>
                <w:tcPr>
                  <w:tcW w:w="1134"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r w:rsidRPr="00DB2665">
                    <w:rPr>
                      <w:rFonts w:ascii="Times New Roman CE" w:hAnsi="Times New Roman CE" w:cs="Times New Roman CE"/>
                      <w:sz w:val="22"/>
                      <w:szCs w:val="22"/>
                    </w:rPr>
                    <w:t>12 024</w:t>
                  </w:r>
                </w:p>
              </w:tc>
              <w:tc>
                <w:tcPr>
                  <w:tcW w:w="843"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r w:rsidRPr="00DB2665">
                    <w:rPr>
                      <w:rFonts w:ascii="Times New Roman CE" w:hAnsi="Times New Roman CE" w:cs="Times New Roman CE"/>
                      <w:sz w:val="22"/>
                      <w:szCs w:val="22"/>
                    </w:rPr>
                    <w:t>12 667</w:t>
                  </w:r>
                </w:p>
              </w:tc>
              <w:tc>
                <w:tcPr>
                  <w:tcW w:w="1020"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r w:rsidRPr="00DB2665">
                    <w:rPr>
                      <w:rFonts w:ascii="Times New Roman CE" w:hAnsi="Times New Roman CE" w:cs="Times New Roman CE"/>
                      <w:sz w:val="22"/>
                      <w:szCs w:val="22"/>
                    </w:rPr>
                    <w:t>11 531</w:t>
                  </w:r>
                </w:p>
              </w:tc>
              <w:tc>
                <w:tcPr>
                  <w:tcW w:w="1145"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r w:rsidRPr="00DB2665">
                    <w:rPr>
                      <w:rFonts w:ascii="Times New Roman CE" w:hAnsi="Times New Roman CE" w:cs="Times New Roman CE"/>
                      <w:sz w:val="22"/>
                      <w:szCs w:val="22"/>
                    </w:rPr>
                    <w:t>95,9%</w:t>
                  </w:r>
                </w:p>
              </w:tc>
              <w:tc>
                <w:tcPr>
                  <w:tcW w:w="1050"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r w:rsidRPr="00DB2665">
                    <w:rPr>
                      <w:rFonts w:ascii="Times New Roman CE" w:hAnsi="Times New Roman CE" w:cs="Times New Roman CE"/>
                      <w:sz w:val="22"/>
                      <w:szCs w:val="22"/>
                    </w:rPr>
                    <w:t>91,0%</w:t>
                  </w:r>
                </w:p>
              </w:tc>
            </w:tr>
            <w:tr w:rsidR="009E24B3" w:rsidRPr="00DB2665" w:rsidTr="009E24B3">
              <w:trPr>
                <w:gridAfter w:val="1"/>
                <w:wAfter w:w="240" w:type="dxa"/>
                <w:trHeight w:val="435"/>
              </w:trPr>
              <w:tc>
                <w:tcPr>
                  <w:tcW w:w="3748" w:type="dxa"/>
                  <w:tcBorders>
                    <w:top w:val="nil"/>
                    <w:left w:val="nil"/>
                    <w:bottom w:val="nil"/>
                    <w:right w:val="nil"/>
                  </w:tcBorders>
                  <w:shd w:val="clear" w:color="auto" w:fill="auto"/>
                  <w:noWrap/>
                  <w:vAlign w:val="bottom"/>
                  <w:hideMark/>
                </w:tcPr>
                <w:p w:rsidR="009E24B3" w:rsidRPr="00DB2665" w:rsidRDefault="009E24B3" w:rsidP="009E24B3">
                  <w:pPr>
                    <w:jc w:val="left"/>
                    <w:rPr>
                      <w:rFonts w:ascii="Times New Roman CE" w:hAnsi="Times New Roman CE" w:cs="Times New Roman CE"/>
                      <w:sz w:val="22"/>
                      <w:szCs w:val="22"/>
                    </w:rPr>
                  </w:pPr>
                  <w:r w:rsidRPr="00DB2665">
                    <w:rPr>
                      <w:rFonts w:ascii="Times New Roman CE" w:hAnsi="Times New Roman CE" w:cs="Times New Roman CE"/>
                      <w:sz w:val="22"/>
                      <w:szCs w:val="22"/>
                    </w:rPr>
                    <w:t>Számlázott szennyvízelvezetés összesen</w:t>
                  </w:r>
                </w:p>
              </w:tc>
              <w:tc>
                <w:tcPr>
                  <w:tcW w:w="1002" w:type="dxa"/>
                  <w:tcBorders>
                    <w:top w:val="nil"/>
                    <w:left w:val="nil"/>
                    <w:bottom w:val="nil"/>
                    <w:right w:val="nil"/>
                  </w:tcBorders>
                  <w:shd w:val="clear" w:color="auto" w:fill="auto"/>
                  <w:noWrap/>
                  <w:vAlign w:val="bottom"/>
                  <w:hideMark/>
                </w:tcPr>
                <w:p w:rsidR="009E24B3" w:rsidRPr="00DB2665" w:rsidRDefault="009E24B3" w:rsidP="009E24B3">
                  <w:pPr>
                    <w:jc w:val="center"/>
                    <w:rPr>
                      <w:rFonts w:ascii="Times New Roman CE" w:hAnsi="Times New Roman CE" w:cs="Times New Roman CE"/>
                      <w:sz w:val="22"/>
                      <w:szCs w:val="22"/>
                    </w:rPr>
                  </w:pPr>
                  <w:r w:rsidRPr="00DB2665">
                    <w:rPr>
                      <w:rFonts w:ascii="Times New Roman CE" w:hAnsi="Times New Roman CE" w:cs="Times New Roman CE"/>
                      <w:sz w:val="22"/>
                      <w:szCs w:val="22"/>
                    </w:rPr>
                    <w:t>em</w:t>
                  </w:r>
                  <w:r w:rsidRPr="00DB2665">
                    <w:rPr>
                      <w:rFonts w:ascii="Times New Roman CE" w:hAnsi="Times New Roman CE" w:cs="Times New Roman CE"/>
                      <w:sz w:val="22"/>
                      <w:szCs w:val="22"/>
                      <w:vertAlign w:val="superscript"/>
                    </w:rPr>
                    <w:t>3</w:t>
                  </w:r>
                </w:p>
              </w:tc>
              <w:tc>
                <w:tcPr>
                  <w:tcW w:w="1134"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r w:rsidRPr="00DB2665">
                    <w:rPr>
                      <w:rFonts w:ascii="Times New Roman CE" w:hAnsi="Times New Roman CE" w:cs="Times New Roman CE"/>
                      <w:sz w:val="22"/>
                      <w:szCs w:val="22"/>
                    </w:rPr>
                    <w:t>10 253</w:t>
                  </w:r>
                </w:p>
              </w:tc>
              <w:tc>
                <w:tcPr>
                  <w:tcW w:w="843"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r w:rsidRPr="00DB2665">
                    <w:rPr>
                      <w:rFonts w:ascii="Times New Roman CE" w:hAnsi="Times New Roman CE" w:cs="Times New Roman CE"/>
                      <w:sz w:val="22"/>
                      <w:szCs w:val="22"/>
                    </w:rPr>
                    <w:t>10 264</w:t>
                  </w:r>
                </w:p>
              </w:tc>
              <w:tc>
                <w:tcPr>
                  <w:tcW w:w="1020"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r w:rsidRPr="00DB2665">
                    <w:rPr>
                      <w:rFonts w:ascii="Times New Roman CE" w:hAnsi="Times New Roman CE" w:cs="Times New Roman CE"/>
                      <w:sz w:val="22"/>
                      <w:szCs w:val="22"/>
                    </w:rPr>
                    <w:t>10 395</w:t>
                  </w:r>
                </w:p>
              </w:tc>
              <w:tc>
                <w:tcPr>
                  <w:tcW w:w="1145"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r w:rsidRPr="00DB2665">
                    <w:rPr>
                      <w:rFonts w:ascii="Times New Roman CE" w:hAnsi="Times New Roman CE" w:cs="Times New Roman CE"/>
                      <w:sz w:val="22"/>
                      <w:szCs w:val="22"/>
                    </w:rPr>
                    <w:t>101,4%</w:t>
                  </w:r>
                </w:p>
              </w:tc>
              <w:tc>
                <w:tcPr>
                  <w:tcW w:w="1050"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r w:rsidRPr="00DB2665">
                    <w:rPr>
                      <w:rFonts w:ascii="Times New Roman CE" w:hAnsi="Times New Roman CE" w:cs="Times New Roman CE"/>
                      <w:sz w:val="22"/>
                      <w:szCs w:val="22"/>
                    </w:rPr>
                    <w:t>101,3%</w:t>
                  </w:r>
                </w:p>
              </w:tc>
            </w:tr>
            <w:tr w:rsidR="009E24B3" w:rsidRPr="00DB2665" w:rsidTr="009E24B3">
              <w:trPr>
                <w:gridAfter w:val="1"/>
                <w:wAfter w:w="240" w:type="dxa"/>
                <w:trHeight w:val="289"/>
              </w:trPr>
              <w:tc>
                <w:tcPr>
                  <w:tcW w:w="3748" w:type="dxa"/>
                  <w:tcBorders>
                    <w:top w:val="nil"/>
                    <w:left w:val="nil"/>
                    <w:bottom w:val="nil"/>
                    <w:right w:val="nil"/>
                  </w:tcBorders>
                  <w:shd w:val="clear" w:color="auto" w:fill="auto"/>
                  <w:noWrap/>
                  <w:vAlign w:val="bottom"/>
                  <w:hideMark/>
                </w:tcPr>
                <w:p w:rsidR="009E24B3" w:rsidRPr="00DB2665" w:rsidRDefault="009E24B3" w:rsidP="009E24B3">
                  <w:pPr>
                    <w:jc w:val="left"/>
                    <w:rPr>
                      <w:rFonts w:ascii="Times New Roman CE" w:hAnsi="Times New Roman CE" w:cs="Times New Roman CE"/>
                      <w:sz w:val="22"/>
                      <w:szCs w:val="22"/>
                    </w:rPr>
                  </w:pPr>
                  <w:r w:rsidRPr="00DB2665">
                    <w:rPr>
                      <w:rFonts w:ascii="Times New Roman CE" w:hAnsi="Times New Roman CE" w:cs="Times New Roman CE"/>
                      <w:sz w:val="22"/>
                      <w:szCs w:val="22"/>
                    </w:rPr>
                    <w:t xml:space="preserve">          lakosság</w:t>
                  </w:r>
                </w:p>
              </w:tc>
              <w:tc>
                <w:tcPr>
                  <w:tcW w:w="1002" w:type="dxa"/>
                  <w:tcBorders>
                    <w:top w:val="nil"/>
                    <w:left w:val="nil"/>
                    <w:bottom w:val="nil"/>
                    <w:right w:val="nil"/>
                  </w:tcBorders>
                  <w:shd w:val="clear" w:color="auto" w:fill="auto"/>
                  <w:noWrap/>
                  <w:vAlign w:val="bottom"/>
                  <w:hideMark/>
                </w:tcPr>
                <w:p w:rsidR="009E24B3" w:rsidRPr="00DB2665" w:rsidRDefault="009E24B3" w:rsidP="009E24B3">
                  <w:pPr>
                    <w:jc w:val="center"/>
                    <w:rPr>
                      <w:rFonts w:ascii="Times New Roman CE" w:hAnsi="Times New Roman CE" w:cs="Times New Roman CE"/>
                      <w:sz w:val="22"/>
                      <w:szCs w:val="22"/>
                    </w:rPr>
                  </w:pPr>
                  <w:r w:rsidRPr="00DB2665">
                    <w:rPr>
                      <w:rFonts w:ascii="Times New Roman CE" w:hAnsi="Times New Roman CE" w:cs="Times New Roman CE"/>
                      <w:sz w:val="22"/>
                      <w:szCs w:val="22"/>
                    </w:rPr>
                    <w:t>em</w:t>
                  </w:r>
                  <w:r w:rsidRPr="00DB2665">
                    <w:rPr>
                      <w:rFonts w:ascii="Times New Roman CE" w:hAnsi="Times New Roman CE" w:cs="Times New Roman CE"/>
                      <w:sz w:val="22"/>
                      <w:szCs w:val="22"/>
                      <w:vertAlign w:val="superscript"/>
                    </w:rPr>
                    <w:t>3</w:t>
                  </w:r>
                </w:p>
              </w:tc>
              <w:tc>
                <w:tcPr>
                  <w:tcW w:w="1134"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r w:rsidRPr="00DB2665">
                    <w:rPr>
                      <w:rFonts w:ascii="Times New Roman CE" w:hAnsi="Times New Roman CE" w:cs="Times New Roman CE"/>
                      <w:sz w:val="22"/>
                      <w:szCs w:val="22"/>
                    </w:rPr>
                    <w:t>7 562</w:t>
                  </w:r>
                </w:p>
              </w:tc>
              <w:tc>
                <w:tcPr>
                  <w:tcW w:w="843"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p>
              </w:tc>
              <w:tc>
                <w:tcPr>
                  <w:tcW w:w="1020"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r w:rsidRPr="00DB2665">
                    <w:rPr>
                      <w:rFonts w:ascii="Times New Roman CE" w:hAnsi="Times New Roman CE" w:cs="Times New Roman CE"/>
                      <w:sz w:val="22"/>
                      <w:szCs w:val="22"/>
                    </w:rPr>
                    <w:t>7 514</w:t>
                  </w:r>
                </w:p>
              </w:tc>
              <w:tc>
                <w:tcPr>
                  <w:tcW w:w="1145"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r w:rsidRPr="00DB2665">
                    <w:rPr>
                      <w:rFonts w:ascii="Times New Roman CE" w:hAnsi="Times New Roman CE" w:cs="Times New Roman CE"/>
                      <w:sz w:val="22"/>
                      <w:szCs w:val="22"/>
                    </w:rPr>
                    <w:t>99,4%</w:t>
                  </w:r>
                </w:p>
              </w:tc>
              <w:tc>
                <w:tcPr>
                  <w:tcW w:w="1050"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p>
              </w:tc>
            </w:tr>
            <w:tr w:rsidR="009E24B3" w:rsidRPr="00DB2665" w:rsidTr="009E24B3">
              <w:trPr>
                <w:gridAfter w:val="1"/>
                <w:wAfter w:w="240" w:type="dxa"/>
                <w:trHeight w:val="289"/>
              </w:trPr>
              <w:tc>
                <w:tcPr>
                  <w:tcW w:w="3748" w:type="dxa"/>
                  <w:tcBorders>
                    <w:top w:val="nil"/>
                    <w:left w:val="nil"/>
                    <w:bottom w:val="nil"/>
                    <w:right w:val="nil"/>
                  </w:tcBorders>
                  <w:shd w:val="clear" w:color="auto" w:fill="auto"/>
                  <w:vAlign w:val="bottom"/>
                  <w:hideMark/>
                </w:tcPr>
                <w:p w:rsidR="009E24B3" w:rsidRPr="00DB2665" w:rsidRDefault="009E24B3" w:rsidP="009E24B3">
                  <w:pPr>
                    <w:jc w:val="left"/>
                    <w:rPr>
                      <w:rFonts w:ascii="Times New Roman CE" w:hAnsi="Times New Roman CE" w:cs="Times New Roman CE"/>
                      <w:sz w:val="22"/>
                      <w:szCs w:val="22"/>
                    </w:rPr>
                  </w:pPr>
                  <w:r w:rsidRPr="00DB2665">
                    <w:rPr>
                      <w:rFonts w:ascii="Times New Roman CE" w:hAnsi="Times New Roman CE" w:cs="Times New Roman CE"/>
                      <w:sz w:val="22"/>
                      <w:szCs w:val="22"/>
                    </w:rPr>
                    <w:t xml:space="preserve">          nem lakosság</w:t>
                  </w:r>
                </w:p>
              </w:tc>
              <w:tc>
                <w:tcPr>
                  <w:tcW w:w="1002" w:type="dxa"/>
                  <w:tcBorders>
                    <w:top w:val="nil"/>
                    <w:left w:val="nil"/>
                    <w:bottom w:val="nil"/>
                    <w:right w:val="nil"/>
                  </w:tcBorders>
                  <w:shd w:val="clear" w:color="auto" w:fill="auto"/>
                  <w:noWrap/>
                  <w:vAlign w:val="bottom"/>
                  <w:hideMark/>
                </w:tcPr>
                <w:p w:rsidR="009E24B3" w:rsidRPr="00DB2665" w:rsidRDefault="009E24B3" w:rsidP="009E24B3">
                  <w:pPr>
                    <w:jc w:val="center"/>
                    <w:rPr>
                      <w:rFonts w:ascii="Times New Roman CE" w:hAnsi="Times New Roman CE" w:cs="Times New Roman CE"/>
                      <w:sz w:val="22"/>
                      <w:szCs w:val="22"/>
                    </w:rPr>
                  </w:pPr>
                  <w:r w:rsidRPr="00DB2665">
                    <w:rPr>
                      <w:rFonts w:ascii="Times New Roman CE" w:hAnsi="Times New Roman CE" w:cs="Times New Roman CE"/>
                      <w:sz w:val="22"/>
                      <w:szCs w:val="22"/>
                    </w:rPr>
                    <w:t>em</w:t>
                  </w:r>
                  <w:r w:rsidRPr="00DB2665">
                    <w:rPr>
                      <w:rFonts w:ascii="Times New Roman CE" w:hAnsi="Times New Roman CE" w:cs="Times New Roman CE"/>
                      <w:sz w:val="22"/>
                      <w:szCs w:val="22"/>
                      <w:vertAlign w:val="superscript"/>
                    </w:rPr>
                    <w:t>3</w:t>
                  </w:r>
                </w:p>
              </w:tc>
              <w:tc>
                <w:tcPr>
                  <w:tcW w:w="1134"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r w:rsidRPr="00DB2665">
                    <w:rPr>
                      <w:rFonts w:ascii="Times New Roman CE" w:hAnsi="Times New Roman CE" w:cs="Times New Roman CE"/>
                      <w:sz w:val="22"/>
                      <w:szCs w:val="22"/>
                    </w:rPr>
                    <w:t>2 691</w:t>
                  </w:r>
                </w:p>
              </w:tc>
              <w:tc>
                <w:tcPr>
                  <w:tcW w:w="843"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p>
              </w:tc>
              <w:tc>
                <w:tcPr>
                  <w:tcW w:w="1020"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r w:rsidRPr="00DB2665">
                    <w:rPr>
                      <w:rFonts w:ascii="Times New Roman CE" w:hAnsi="Times New Roman CE" w:cs="Times New Roman CE"/>
                      <w:sz w:val="22"/>
                      <w:szCs w:val="22"/>
                    </w:rPr>
                    <w:t>2 881</w:t>
                  </w:r>
                </w:p>
              </w:tc>
              <w:tc>
                <w:tcPr>
                  <w:tcW w:w="1145"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r w:rsidRPr="00DB2665">
                    <w:rPr>
                      <w:rFonts w:ascii="Times New Roman CE" w:hAnsi="Times New Roman CE" w:cs="Times New Roman CE"/>
                      <w:sz w:val="22"/>
                      <w:szCs w:val="22"/>
                    </w:rPr>
                    <w:t>107,1%</w:t>
                  </w:r>
                </w:p>
              </w:tc>
              <w:tc>
                <w:tcPr>
                  <w:tcW w:w="1050" w:type="dxa"/>
                  <w:gridSpan w:val="2"/>
                  <w:tcBorders>
                    <w:top w:val="nil"/>
                    <w:left w:val="nil"/>
                    <w:bottom w:val="nil"/>
                    <w:right w:val="nil"/>
                  </w:tcBorders>
                  <w:shd w:val="clear" w:color="auto" w:fill="auto"/>
                  <w:noWrap/>
                  <w:vAlign w:val="bottom"/>
                  <w:hideMark/>
                </w:tcPr>
                <w:p w:rsidR="009E24B3" w:rsidRPr="00DB2665" w:rsidRDefault="009E24B3" w:rsidP="009E24B3">
                  <w:pPr>
                    <w:jc w:val="right"/>
                    <w:rPr>
                      <w:rFonts w:ascii="Times New Roman CE" w:hAnsi="Times New Roman CE" w:cs="Times New Roman CE"/>
                      <w:sz w:val="22"/>
                      <w:szCs w:val="22"/>
                    </w:rPr>
                  </w:pPr>
                </w:p>
              </w:tc>
            </w:tr>
            <w:tr w:rsidR="009E24B3" w:rsidRPr="00DB2665" w:rsidTr="009E24B3">
              <w:trPr>
                <w:trHeight w:val="289"/>
              </w:trPr>
              <w:tc>
                <w:tcPr>
                  <w:tcW w:w="3748" w:type="dxa"/>
                  <w:tcBorders>
                    <w:top w:val="nil"/>
                    <w:left w:val="nil"/>
                    <w:bottom w:val="nil"/>
                    <w:right w:val="nil"/>
                  </w:tcBorders>
                  <w:shd w:val="clear" w:color="auto" w:fill="auto"/>
                  <w:noWrap/>
                  <w:vAlign w:val="bottom"/>
                  <w:hideMark/>
                </w:tcPr>
                <w:p w:rsidR="009E24B3" w:rsidRPr="00DB2665" w:rsidRDefault="009E24B3" w:rsidP="009E24B3">
                  <w:pPr>
                    <w:jc w:val="left"/>
                    <w:rPr>
                      <w:sz w:val="18"/>
                      <w:szCs w:val="18"/>
                    </w:rPr>
                  </w:pPr>
                  <w:r w:rsidRPr="00DB2665">
                    <w:rPr>
                      <w:sz w:val="18"/>
                      <w:szCs w:val="18"/>
                    </w:rPr>
                    <w:t xml:space="preserve">*Hosszúpereszteg-Szajk üdülőterülettel együtt </w:t>
                  </w:r>
                </w:p>
              </w:tc>
              <w:tc>
                <w:tcPr>
                  <w:tcW w:w="1167" w:type="dxa"/>
                  <w:gridSpan w:val="2"/>
                  <w:tcBorders>
                    <w:top w:val="nil"/>
                    <w:left w:val="nil"/>
                    <w:bottom w:val="nil"/>
                    <w:right w:val="nil"/>
                  </w:tcBorders>
                  <w:shd w:val="clear" w:color="auto" w:fill="auto"/>
                  <w:noWrap/>
                  <w:vAlign w:val="bottom"/>
                  <w:hideMark/>
                </w:tcPr>
                <w:p w:rsidR="009E24B3" w:rsidRPr="00DB2665" w:rsidRDefault="009E24B3" w:rsidP="009E24B3">
                  <w:pPr>
                    <w:jc w:val="left"/>
                    <w:rPr>
                      <w:sz w:val="18"/>
                      <w:szCs w:val="18"/>
                    </w:rPr>
                  </w:pPr>
                </w:p>
              </w:tc>
              <w:tc>
                <w:tcPr>
                  <w:tcW w:w="1111" w:type="dxa"/>
                  <w:gridSpan w:val="2"/>
                  <w:tcBorders>
                    <w:top w:val="nil"/>
                    <w:left w:val="nil"/>
                    <w:bottom w:val="nil"/>
                    <w:right w:val="nil"/>
                  </w:tcBorders>
                  <w:shd w:val="clear" w:color="auto" w:fill="auto"/>
                  <w:noWrap/>
                  <w:vAlign w:val="bottom"/>
                  <w:hideMark/>
                </w:tcPr>
                <w:p w:rsidR="009E24B3" w:rsidRPr="00DB2665" w:rsidRDefault="009E24B3" w:rsidP="009E24B3">
                  <w:pPr>
                    <w:jc w:val="left"/>
                    <w:rPr>
                      <w:sz w:val="20"/>
                    </w:rPr>
                  </w:pPr>
                </w:p>
              </w:tc>
              <w:tc>
                <w:tcPr>
                  <w:tcW w:w="941" w:type="dxa"/>
                  <w:gridSpan w:val="2"/>
                  <w:tcBorders>
                    <w:top w:val="nil"/>
                    <w:left w:val="nil"/>
                    <w:bottom w:val="nil"/>
                    <w:right w:val="nil"/>
                  </w:tcBorders>
                  <w:shd w:val="clear" w:color="auto" w:fill="auto"/>
                  <w:noWrap/>
                  <w:vAlign w:val="bottom"/>
                  <w:hideMark/>
                </w:tcPr>
                <w:p w:rsidR="009E24B3" w:rsidRPr="00DB2665" w:rsidRDefault="009E24B3" w:rsidP="009E24B3">
                  <w:pPr>
                    <w:jc w:val="left"/>
                    <w:rPr>
                      <w:sz w:val="20"/>
                    </w:rPr>
                  </w:pPr>
                </w:p>
              </w:tc>
              <w:tc>
                <w:tcPr>
                  <w:tcW w:w="1020" w:type="dxa"/>
                  <w:gridSpan w:val="2"/>
                  <w:tcBorders>
                    <w:top w:val="nil"/>
                    <w:left w:val="nil"/>
                    <w:bottom w:val="nil"/>
                    <w:right w:val="nil"/>
                  </w:tcBorders>
                  <w:shd w:val="clear" w:color="auto" w:fill="auto"/>
                  <w:noWrap/>
                  <w:vAlign w:val="bottom"/>
                  <w:hideMark/>
                </w:tcPr>
                <w:p w:rsidR="009E24B3" w:rsidRPr="00DB2665" w:rsidRDefault="009E24B3" w:rsidP="009E24B3">
                  <w:pPr>
                    <w:jc w:val="left"/>
                    <w:rPr>
                      <w:sz w:val="20"/>
                    </w:rPr>
                  </w:pPr>
                </w:p>
              </w:tc>
              <w:tc>
                <w:tcPr>
                  <w:tcW w:w="1145" w:type="dxa"/>
                  <w:gridSpan w:val="2"/>
                  <w:tcBorders>
                    <w:top w:val="nil"/>
                    <w:left w:val="nil"/>
                    <w:bottom w:val="nil"/>
                    <w:right w:val="nil"/>
                  </w:tcBorders>
                  <w:shd w:val="clear" w:color="auto" w:fill="auto"/>
                  <w:noWrap/>
                  <w:vAlign w:val="bottom"/>
                  <w:hideMark/>
                </w:tcPr>
                <w:p w:rsidR="009E24B3" w:rsidRPr="00DB2665" w:rsidRDefault="009E24B3" w:rsidP="009E24B3">
                  <w:pPr>
                    <w:jc w:val="left"/>
                    <w:rPr>
                      <w:sz w:val="20"/>
                    </w:rPr>
                  </w:pPr>
                </w:p>
              </w:tc>
              <w:tc>
                <w:tcPr>
                  <w:tcW w:w="1050" w:type="dxa"/>
                  <w:gridSpan w:val="2"/>
                  <w:tcBorders>
                    <w:top w:val="nil"/>
                    <w:left w:val="nil"/>
                    <w:bottom w:val="nil"/>
                    <w:right w:val="nil"/>
                  </w:tcBorders>
                  <w:shd w:val="clear" w:color="auto" w:fill="auto"/>
                  <w:noWrap/>
                  <w:vAlign w:val="bottom"/>
                  <w:hideMark/>
                </w:tcPr>
                <w:p w:rsidR="009E24B3" w:rsidRPr="00DB2665" w:rsidRDefault="009E24B3" w:rsidP="009E24B3">
                  <w:pPr>
                    <w:jc w:val="left"/>
                    <w:rPr>
                      <w:sz w:val="20"/>
                    </w:rPr>
                  </w:pPr>
                </w:p>
              </w:tc>
            </w:tr>
          </w:tbl>
          <w:p w:rsidR="009E24B3" w:rsidRPr="00DB2665" w:rsidRDefault="009E24B3" w:rsidP="00B74D52">
            <w:pPr>
              <w:jc w:val="left"/>
              <w:rPr>
                <w:sz w:val="18"/>
                <w:szCs w:val="18"/>
              </w:rPr>
            </w:pPr>
          </w:p>
          <w:p w:rsidR="009E24B3" w:rsidRPr="00DB2665" w:rsidRDefault="009E24B3" w:rsidP="008A41F0">
            <w:pPr>
              <w:jc w:val="center"/>
              <w:rPr>
                <w:sz w:val="18"/>
                <w:szCs w:val="18"/>
              </w:rPr>
            </w:pPr>
          </w:p>
        </w:tc>
        <w:tc>
          <w:tcPr>
            <w:tcW w:w="1060" w:type="dxa"/>
            <w:tcBorders>
              <w:top w:val="nil"/>
              <w:left w:val="nil"/>
              <w:bottom w:val="nil"/>
              <w:right w:val="nil"/>
            </w:tcBorders>
            <w:shd w:val="clear" w:color="auto" w:fill="auto"/>
            <w:noWrap/>
            <w:vAlign w:val="bottom"/>
            <w:hideMark/>
          </w:tcPr>
          <w:p w:rsidR="00B74D52" w:rsidRPr="00DB2665" w:rsidRDefault="00B74D52" w:rsidP="00B74D52">
            <w:pPr>
              <w:jc w:val="left"/>
              <w:rPr>
                <w:sz w:val="18"/>
                <w:szCs w:val="18"/>
              </w:rPr>
            </w:pPr>
          </w:p>
        </w:tc>
        <w:tc>
          <w:tcPr>
            <w:tcW w:w="1240" w:type="dxa"/>
            <w:tcBorders>
              <w:top w:val="nil"/>
              <w:left w:val="nil"/>
              <w:bottom w:val="nil"/>
              <w:right w:val="nil"/>
            </w:tcBorders>
            <w:shd w:val="clear" w:color="auto" w:fill="auto"/>
            <w:noWrap/>
            <w:vAlign w:val="bottom"/>
            <w:hideMark/>
          </w:tcPr>
          <w:p w:rsidR="00B74D52" w:rsidRPr="00DB2665" w:rsidRDefault="00B74D52" w:rsidP="00B74D52">
            <w:pPr>
              <w:jc w:val="left"/>
              <w:rPr>
                <w:sz w:val="20"/>
              </w:rPr>
            </w:pPr>
          </w:p>
        </w:tc>
        <w:tc>
          <w:tcPr>
            <w:tcW w:w="960" w:type="dxa"/>
            <w:tcBorders>
              <w:top w:val="nil"/>
              <w:left w:val="nil"/>
              <w:bottom w:val="nil"/>
              <w:right w:val="nil"/>
            </w:tcBorders>
            <w:shd w:val="clear" w:color="auto" w:fill="auto"/>
            <w:noWrap/>
            <w:vAlign w:val="bottom"/>
            <w:hideMark/>
          </w:tcPr>
          <w:p w:rsidR="00B74D52" w:rsidRPr="00DB2665" w:rsidRDefault="00B74D52" w:rsidP="00B74D52">
            <w:pPr>
              <w:jc w:val="left"/>
              <w:rPr>
                <w:sz w:val="20"/>
              </w:rPr>
            </w:pPr>
          </w:p>
        </w:tc>
        <w:tc>
          <w:tcPr>
            <w:tcW w:w="1040" w:type="dxa"/>
            <w:tcBorders>
              <w:top w:val="nil"/>
              <w:left w:val="nil"/>
              <w:bottom w:val="nil"/>
              <w:right w:val="nil"/>
            </w:tcBorders>
            <w:shd w:val="clear" w:color="auto" w:fill="auto"/>
            <w:noWrap/>
            <w:vAlign w:val="bottom"/>
            <w:hideMark/>
          </w:tcPr>
          <w:p w:rsidR="00B74D52" w:rsidRPr="00DB2665" w:rsidRDefault="00B74D52" w:rsidP="00B74D52">
            <w:pPr>
              <w:jc w:val="left"/>
              <w:rPr>
                <w:sz w:val="20"/>
              </w:rPr>
            </w:pPr>
          </w:p>
        </w:tc>
        <w:tc>
          <w:tcPr>
            <w:tcW w:w="1173" w:type="dxa"/>
            <w:tcBorders>
              <w:top w:val="nil"/>
              <w:left w:val="nil"/>
              <w:bottom w:val="nil"/>
              <w:right w:val="nil"/>
            </w:tcBorders>
            <w:shd w:val="clear" w:color="auto" w:fill="auto"/>
            <w:noWrap/>
            <w:vAlign w:val="bottom"/>
            <w:hideMark/>
          </w:tcPr>
          <w:p w:rsidR="00B74D52" w:rsidRPr="00DB2665" w:rsidRDefault="00B74D52" w:rsidP="00B74D52">
            <w:pPr>
              <w:jc w:val="left"/>
              <w:rPr>
                <w:sz w:val="20"/>
              </w:rPr>
            </w:pPr>
          </w:p>
        </w:tc>
        <w:tc>
          <w:tcPr>
            <w:tcW w:w="1072" w:type="dxa"/>
            <w:tcBorders>
              <w:top w:val="nil"/>
              <w:left w:val="nil"/>
              <w:bottom w:val="nil"/>
              <w:right w:val="nil"/>
            </w:tcBorders>
            <w:shd w:val="clear" w:color="auto" w:fill="auto"/>
            <w:noWrap/>
            <w:vAlign w:val="bottom"/>
            <w:hideMark/>
          </w:tcPr>
          <w:p w:rsidR="00B74D52" w:rsidRPr="00DB2665" w:rsidRDefault="00B74D52" w:rsidP="00B74D52">
            <w:pPr>
              <w:jc w:val="left"/>
              <w:rPr>
                <w:sz w:val="20"/>
              </w:rPr>
            </w:pPr>
          </w:p>
        </w:tc>
      </w:tr>
    </w:tbl>
    <w:p w:rsidR="00702CF8" w:rsidRDefault="00702CF8">
      <w:pPr>
        <w:jc w:val="left"/>
        <w:rPr>
          <w:b/>
          <w:i/>
          <w:szCs w:val="24"/>
        </w:rPr>
      </w:pPr>
      <w:r>
        <w:rPr>
          <w:b/>
          <w:i/>
          <w:szCs w:val="24"/>
        </w:rPr>
        <w:br w:type="page"/>
      </w:r>
    </w:p>
    <w:p w:rsidR="00C05C4E" w:rsidRPr="00702CF8" w:rsidRDefault="00C05C4E" w:rsidP="00174DC2">
      <w:pPr>
        <w:jc w:val="center"/>
        <w:rPr>
          <w:b/>
          <w:i/>
          <w:sz w:val="12"/>
          <w:szCs w:val="12"/>
        </w:rPr>
      </w:pPr>
    </w:p>
    <w:p w:rsidR="00C05C4E" w:rsidRPr="00DB2665" w:rsidRDefault="00C05C4E" w:rsidP="00174DC2">
      <w:pPr>
        <w:jc w:val="center"/>
        <w:rPr>
          <w:b/>
          <w:i/>
          <w:szCs w:val="24"/>
        </w:rPr>
      </w:pPr>
      <w:r>
        <w:rPr>
          <w:noProof/>
        </w:rPr>
        <w:drawing>
          <wp:inline distT="0" distB="0" distL="0" distR="0" wp14:anchorId="7CBDE55C" wp14:editId="230D88F5">
            <wp:extent cx="5986042" cy="3242931"/>
            <wp:effectExtent l="0" t="0" r="15240" b="15240"/>
            <wp:docPr id="5" name="Diagram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D51AA4" w:rsidRPr="00F96E45" w:rsidRDefault="00D51AA4">
      <w:pPr>
        <w:pStyle w:val="Cmsor2"/>
        <w:ind w:right="-200"/>
        <w:jc w:val="left"/>
        <w:rPr>
          <w:sz w:val="24"/>
          <w:szCs w:val="24"/>
        </w:rPr>
      </w:pPr>
      <w:bookmarkStart w:id="21" w:name="_Toc132629474"/>
      <w:r w:rsidRPr="00F96E45">
        <w:rPr>
          <w:sz w:val="24"/>
          <w:szCs w:val="24"/>
        </w:rPr>
        <w:t>Az elvezetett (tisztított) és számlázott szennyvíz mennyisége közötti különbözet fő összetevői</w:t>
      </w:r>
      <w:bookmarkEnd w:id="21"/>
    </w:p>
    <w:p w:rsidR="00D51AA4" w:rsidRPr="00F96E45" w:rsidRDefault="00D51AA4" w:rsidP="001962A0">
      <w:pPr>
        <w:numPr>
          <w:ilvl w:val="0"/>
          <w:numId w:val="32"/>
        </w:numPr>
        <w:tabs>
          <w:tab w:val="center" w:pos="3544"/>
          <w:tab w:val="right" w:pos="5245"/>
          <w:tab w:val="right" w:pos="6662"/>
          <w:tab w:val="right" w:pos="8222"/>
        </w:tabs>
        <w:ind w:right="601"/>
        <w:rPr>
          <w:szCs w:val="24"/>
        </w:rPr>
      </w:pPr>
      <w:r w:rsidRPr="00F96E45">
        <w:rPr>
          <w:szCs w:val="24"/>
        </w:rPr>
        <w:t>egyesített rendszerű hálózatokba vezetett csapadékvíz mennyisége</w:t>
      </w:r>
    </w:p>
    <w:p w:rsidR="00D51AA4" w:rsidRPr="00F96E45" w:rsidRDefault="00D51AA4" w:rsidP="001962A0">
      <w:pPr>
        <w:numPr>
          <w:ilvl w:val="0"/>
          <w:numId w:val="32"/>
        </w:numPr>
        <w:tabs>
          <w:tab w:val="center" w:pos="3544"/>
          <w:tab w:val="right" w:pos="5245"/>
          <w:tab w:val="right" w:pos="6662"/>
          <w:tab w:val="right" w:pos="8222"/>
        </w:tabs>
        <w:ind w:right="601"/>
        <w:rPr>
          <w:szCs w:val="24"/>
        </w:rPr>
      </w:pPr>
      <w:r w:rsidRPr="00F96E45">
        <w:rPr>
          <w:szCs w:val="24"/>
        </w:rPr>
        <w:t xml:space="preserve">csatorna-infiltráció, a csatornahálózatokba - felhasználóhelyek belső hálózatain is - beáramló talaj- és csapadékvíz. A szennyvízhálózatokon a hibahelyek felderítése, illetve azok javítása a rendelkezésre álló műszaki és gazdasági lehetőségeket </w:t>
      </w:r>
      <w:r w:rsidR="00A53312" w:rsidRPr="00F96E45">
        <w:rPr>
          <w:szCs w:val="24"/>
        </w:rPr>
        <w:t>kihasználva folyik. A beáramló</w:t>
      </w:r>
      <w:r w:rsidRPr="00F96E45">
        <w:rPr>
          <w:szCs w:val="24"/>
        </w:rPr>
        <w:t xml:space="preserve"> </w:t>
      </w:r>
      <w:r w:rsidR="00A53312" w:rsidRPr="00F96E45">
        <w:rPr>
          <w:szCs w:val="24"/>
        </w:rPr>
        <w:t>víz</w:t>
      </w:r>
      <w:r w:rsidRPr="00F96E45">
        <w:rPr>
          <w:szCs w:val="24"/>
        </w:rPr>
        <w:t xml:space="preserve">mennyiséget csökkenteni </w:t>
      </w:r>
      <w:r w:rsidR="00A53312" w:rsidRPr="00F96E45">
        <w:rPr>
          <w:szCs w:val="24"/>
        </w:rPr>
        <w:t xml:space="preserve">rendkívül </w:t>
      </w:r>
      <w:r w:rsidRPr="00F96E45">
        <w:rPr>
          <w:szCs w:val="24"/>
        </w:rPr>
        <w:t>költséges és időigényes eljárás</w:t>
      </w:r>
      <w:r w:rsidR="00A53312" w:rsidRPr="00F96E45">
        <w:rPr>
          <w:szCs w:val="24"/>
        </w:rPr>
        <w:t>.</w:t>
      </w:r>
    </w:p>
    <w:p w:rsidR="00D51AA4" w:rsidRPr="00F96E45" w:rsidRDefault="00D51AA4" w:rsidP="001962A0">
      <w:pPr>
        <w:numPr>
          <w:ilvl w:val="0"/>
          <w:numId w:val="32"/>
        </w:numPr>
        <w:tabs>
          <w:tab w:val="center" w:pos="3544"/>
          <w:tab w:val="right" w:pos="5245"/>
          <w:tab w:val="right" w:pos="6662"/>
          <w:tab w:val="right" w:pos="8222"/>
        </w:tabs>
        <w:ind w:right="601"/>
        <w:rPr>
          <w:szCs w:val="24"/>
        </w:rPr>
      </w:pPr>
      <w:r w:rsidRPr="00F96E45">
        <w:rPr>
          <w:szCs w:val="24"/>
        </w:rPr>
        <w:t>csatornahálózatokba illegálisan bevezetett csapadékvíz (tető- és udvari összefolyók)</w:t>
      </w:r>
    </w:p>
    <w:p w:rsidR="006977D6" w:rsidRPr="00F96E45" w:rsidRDefault="00D51AA4" w:rsidP="001962A0">
      <w:pPr>
        <w:tabs>
          <w:tab w:val="center" w:pos="3544"/>
          <w:tab w:val="right" w:pos="5245"/>
          <w:tab w:val="right" w:pos="6662"/>
          <w:tab w:val="right" w:pos="8222"/>
        </w:tabs>
        <w:ind w:left="709" w:right="601"/>
        <w:rPr>
          <w:szCs w:val="24"/>
        </w:rPr>
      </w:pPr>
      <w:r w:rsidRPr="00F96E45">
        <w:rPr>
          <w:szCs w:val="24"/>
        </w:rPr>
        <w:t>Az illegális bekötések felderítésén és megszüntetésén folyamatosan dolgozunk.</w:t>
      </w:r>
    </w:p>
    <w:p w:rsidR="006977D6" w:rsidRPr="00702CF8" w:rsidRDefault="006977D6">
      <w:pPr>
        <w:jc w:val="left"/>
        <w:rPr>
          <w:sz w:val="16"/>
          <w:szCs w:val="16"/>
        </w:rPr>
      </w:pPr>
    </w:p>
    <w:p w:rsidR="00D51AA4" w:rsidRPr="00F96E45" w:rsidRDefault="00D51AA4">
      <w:pPr>
        <w:pStyle w:val="Cmsor1"/>
        <w:rPr>
          <w:sz w:val="28"/>
          <w:szCs w:val="28"/>
        </w:rPr>
      </w:pPr>
      <w:bookmarkStart w:id="22" w:name="_Toc132629475"/>
      <w:r w:rsidRPr="00F96E45">
        <w:rPr>
          <w:sz w:val="28"/>
          <w:szCs w:val="28"/>
        </w:rPr>
        <w:t>IV. ESZKÖZFENNTARTÁS</w:t>
      </w:r>
      <w:bookmarkEnd w:id="22"/>
    </w:p>
    <w:p w:rsidR="00D51AA4" w:rsidRPr="00DB2665" w:rsidRDefault="00D51AA4">
      <w:pPr>
        <w:pStyle w:val="Szvegtrzs"/>
        <w:ind w:firstLine="708"/>
        <w:rPr>
          <w:sz w:val="12"/>
          <w:szCs w:val="12"/>
        </w:rPr>
      </w:pPr>
    </w:p>
    <w:p w:rsidR="0076232E" w:rsidRPr="00DB2665" w:rsidRDefault="0076232E" w:rsidP="0076232E">
      <w:pPr>
        <w:pStyle w:val="Szvegtrzs3"/>
        <w:tabs>
          <w:tab w:val="clear" w:pos="567"/>
          <w:tab w:val="clear" w:pos="7938"/>
        </w:tabs>
        <w:ind w:right="176"/>
        <w:rPr>
          <w:szCs w:val="24"/>
        </w:rPr>
      </w:pPr>
      <w:r w:rsidRPr="00DB2665">
        <w:rPr>
          <w:szCs w:val="24"/>
        </w:rPr>
        <w:t xml:space="preserve">A zavartalan szolgáltatásnyújtás biztosítéka a víz- és szennyvíz közművek és kiszolgáló eszközök megfelelő üzemi körülményeinek folyamatos biztosítása, az eszközök tervszerű karbantartása, a meghibásodások azonnali kijavítása. Kiemelt fontosságúak továbbá </w:t>
      </w:r>
      <w:r w:rsidR="00AC3F1D">
        <w:rPr>
          <w:szCs w:val="24"/>
        </w:rPr>
        <w:t xml:space="preserve">a </w:t>
      </w:r>
      <w:r w:rsidRPr="00DB2665">
        <w:rPr>
          <w:szCs w:val="24"/>
        </w:rPr>
        <w:t>mérőcserék elvégzése, hálózatöblítések, víztározók tervszerű fertőtlenítő mosatása</w:t>
      </w:r>
      <w:r w:rsidR="00603590" w:rsidRPr="00DB2665">
        <w:rPr>
          <w:szCs w:val="24"/>
        </w:rPr>
        <w:t>,</w:t>
      </w:r>
      <w:r w:rsidR="00192ED1" w:rsidRPr="00DB2665">
        <w:rPr>
          <w:szCs w:val="24"/>
        </w:rPr>
        <w:t xml:space="preserve"> valamint a tűzcsapok évenkénti kétszeri ellenőrzése</w:t>
      </w:r>
      <w:r w:rsidRPr="00DB2665">
        <w:rPr>
          <w:szCs w:val="24"/>
        </w:rPr>
        <w:t>. Mindezek túlnyomó része, mintegy 8</w:t>
      </w:r>
      <w:r w:rsidR="00002A28">
        <w:rPr>
          <w:szCs w:val="24"/>
        </w:rPr>
        <w:t>5</w:t>
      </w:r>
      <w:r w:rsidRPr="00DB2665">
        <w:rPr>
          <w:szCs w:val="24"/>
        </w:rPr>
        <w:t xml:space="preserve"> %-a saját kivitelezésben történik, kisebb része pedig megbízásba adott munka.</w:t>
      </w:r>
    </w:p>
    <w:p w:rsidR="0076232E" w:rsidRPr="00DB2665" w:rsidRDefault="0076232E" w:rsidP="0076232E">
      <w:pPr>
        <w:ind w:right="176"/>
        <w:rPr>
          <w:szCs w:val="24"/>
        </w:rPr>
      </w:pPr>
      <w:r w:rsidRPr="00DB2665">
        <w:rPr>
          <w:szCs w:val="24"/>
        </w:rPr>
        <w:lastRenderedPageBreak/>
        <w:t>A részvénytársaság üzleti terve 202</w:t>
      </w:r>
      <w:r w:rsidR="008D126A" w:rsidRPr="00DB2665">
        <w:rPr>
          <w:szCs w:val="24"/>
        </w:rPr>
        <w:t>2</w:t>
      </w:r>
      <w:r w:rsidRPr="00DB2665">
        <w:rPr>
          <w:szCs w:val="24"/>
        </w:rPr>
        <w:t xml:space="preserve">. évre </w:t>
      </w:r>
      <w:r w:rsidR="008D126A" w:rsidRPr="00DB2665">
        <w:rPr>
          <w:szCs w:val="24"/>
        </w:rPr>
        <w:t>1 061</w:t>
      </w:r>
      <w:r w:rsidRPr="00DB2665">
        <w:rPr>
          <w:szCs w:val="24"/>
        </w:rPr>
        <w:t xml:space="preserve"> mFt saját kivitelezésű, 15</w:t>
      </w:r>
      <w:r w:rsidR="008D126A" w:rsidRPr="00DB2665">
        <w:rPr>
          <w:szCs w:val="24"/>
        </w:rPr>
        <w:t>1</w:t>
      </w:r>
      <w:r w:rsidRPr="00DB2665">
        <w:rPr>
          <w:szCs w:val="24"/>
        </w:rPr>
        <w:t xml:space="preserve"> mF</w:t>
      </w:r>
      <w:r w:rsidR="008D126A" w:rsidRPr="00DB2665">
        <w:rPr>
          <w:szCs w:val="24"/>
        </w:rPr>
        <w:t>t megbízásba adott, összesen 1 212</w:t>
      </w:r>
      <w:r w:rsidRPr="00DB2665">
        <w:rPr>
          <w:szCs w:val="24"/>
        </w:rPr>
        <w:t xml:space="preserve"> mFt értékű fenntartási munkát tartalmazott.</w:t>
      </w:r>
    </w:p>
    <w:p w:rsidR="00702CF8" w:rsidRDefault="00CE478D" w:rsidP="00CE478D">
      <w:pPr>
        <w:ind w:right="176"/>
        <w:jc w:val="center"/>
        <w:rPr>
          <w:szCs w:val="24"/>
        </w:rPr>
      </w:pPr>
      <w:r w:rsidRPr="00DB2665">
        <w:rPr>
          <w:noProof/>
        </w:rPr>
        <w:drawing>
          <wp:inline distT="0" distB="0" distL="0" distR="0" wp14:anchorId="7FDCB1C8" wp14:editId="0229F554">
            <wp:extent cx="4476115" cy="2232187"/>
            <wp:effectExtent l="0" t="0" r="635" b="15875"/>
            <wp:docPr id="8" name="Diagram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702CF8" w:rsidRDefault="00702CF8">
      <w:pPr>
        <w:jc w:val="left"/>
        <w:rPr>
          <w:szCs w:val="24"/>
        </w:rPr>
      </w:pPr>
      <w:r>
        <w:rPr>
          <w:szCs w:val="24"/>
        </w:rPr>
        <w:br w:type="page"/>
      </w:r>
    </w:p>
    <w:p w:rsidR="00CE478D" w:rsidRPr="00DB2665" w:rsidRDefault="00CE478D" w:rsidP="00CE478D">
      <w:pPr>
        <w:ind w:right="176"/>
        <w:jc w:val="center"/>
        <w:rPr>
          <w:szCs w:val="24"/>
        </w:rPr>
      </w:pPr>
    </w:p>
    <w:p w:rsidR="00A54F90" w:rsidRPr="00DB2665" w:rsidRDefault="00A54F90" w:rsidP="0076232E">
      <w:pPr>
        <w:ind w:right="176"/>
        <w:rPr>
          <w:szCs w:val="24"/>
        </w:rPr>
      </w:pPr>
    </w:p>
    <w:p w:rsidR="0076232E" w:rsidRPr="00DB2665" w:rsidRDefault="0076232E" w:rsidP="0076232E">
      <w:pPr>
        <w:pStyle w:val="NormlWeb"/>
        <w:spacing w:before="0" w:beforeAutospacing="0" w:after="0"/>
        <w:ind w:right="176"/>
        <w:jc w:val="right"/>
        <w:rPr>
          <w:sz w:val="20"/>
          <w:szCs w:val="20"/>
        </w:rPr>
      </w:pPr>
      <w:r w:rsidRPr="00DB2665">
        <w:rPr>
          <w:rFonts w:ascii="Times New Roman" w:hAnsi="Times New Roman"/>
          <w:i/>
          <w:iCs/>
          <w:sz w:val="20"/>
          <w:szCs w:val="20"/>
        </w:rPr>
        <w:t>eFt</w:t>
      </w:r>
    </w:p>
    <w:tbl>
      <w:tblPr>
        <w:tblW w:w="9638" w:type="dxa"/>
        <w:tblCellMar>
          <w:left w:w="70" w:type="dxa"/>
          <w:right w:w="70" w:type="dxa"/>
        </w:tblCellMar>
        <w:tblLook w:val="04A0" w:firstRow="1" w:lastRow="0" w:firstColumn="1" w:lastColumn="0" w:noHBand="0" w:noVBand="1"/>
      </w:tblPr>
      <w:tblGrid>
        <w:gridCol w:w="4253"/>
        <w:gridCol w:w="142"/>
        <w:gridCol w:w="955"/>
        <w:gridCol w:w="142"/>
        <w:gridCol w:w="955"/>
        <w:gridCol w:w="142"/>
        <w:gridCol w:w="975"/>
        <w:gridCol w:w="142"/>
        <w:gridCol w:w="834"/>
        <w:gridCol w:w="142"/>
        <w:gridCol w:w="814"/>
        <w:gridCol w:w="142"/>
      </w:tblGrid>
      <w:tr w:rsidR="001C0E5A" w:rsidRPr="00DB2665" w:rsidTr="001C0E5A">
        <w:trPr>
          <w:trHeight w:val="600"/>
        </w:trPr>
        <w:tc>
          <w:tcPr>
            <w:tcW w:w="4395" w:type="dxa"/>
            <w:gridSpan w:val="2"/>
            <w:tcBorders>
              <w:top w:val="single" w:sz="4" w:space="0" w:color="auto"/>
              <w:left w:val="nil"/>
              <w:bottom w:val="single" w:sz="4" w:space="0" w:color="auto"/>
              <w:right w:val="nil"/>
            </w:tcBorders>
            <w:shd w:val="clear" w:color="auto" w:fill="auto"/>
            <w:noWrap/>
            <w:vAlign w:val="bottom"/>
            <w:hideMark/>
          </w:tcPr>
          <w:p w:rsidR="001C0E5A" w:rsidRPr="00DB2665" w:rsidRDefault="001C0E5A" w:rsidP="001C0E5A">
            <w:pPr>
              <w:jc w:val="left"/>
              <w:rPr>
                <w:rFonts w:ascii="Times New Roman CE" w:hAnsi="Times New Roman CE" w:cs="Times New Roman CE"/>
                <w:i/>
                <w:iCs/>
                <w:sz w:val="22"/>
                <w:szCs w:val="22"/>
              </w:rPr>
            </w:pPr>
          </w:p>
        </w:tc>
        <w:tc>
          <w:tcPr>
            <w:tcW w:w="1097" w:type="dxa"/>
            <w:gridSpan w:val="2"/>
            <w:tcBorders>
              <w:top w:val="single" w:sz="4" w:space="0" w:color="auto"/>
              <w:left w:val="nil"/>
              <w:bottom w:val="single" w:sz="4" w:space="0" w:color="auto"/>
              <w:right w:val="nil"/>
            </w:tcBorders>
            <w:shd w:val="clear" w:color="auto" w:fill="auto"/>
            <w:vAlign w:val="center"/>
            <w:hideMark/>
          </w:tcPr>
          <w:p w:rsidR="001C0E5A" w:rsidRPr="00DB2665" w:rsidRDefault="001C0E5A" w:rsidP="001C0E5A">
            <w:pPr>
              <w:jc w:val="center"/>
              <w:rPr>
                <w:rFonts w:ascii="Times New Roman CE" w:hAnsi="Times New Roman CE" w:cs="Times New Roman CE"/>
                <w:i/>
                <w:iCs/>
                <w:sz w:val="22"/>
                <w:szCs w:val="22"/>
              </w:rPr>
            </w:pPr>
            <w:r w:rsidRPr="00DB2665">
              <w:rPr>
                <w:rFonts w:ascii="Times New Roman CE" w:hAnsi="Times New Roman CE" w:cs="Times New Roman CE"/>
                <w:i/>
                <w:iCs/>
                <w:sz w:val="22"/>
                <w:szCs w:val="22"/>
              </w:rPr>
              <w:t>2021. évi</w:t>
            </w:r>
            <w:r w:rsidRPr="00DB2665">
              <w:rPr>
                <w:rFonts w:ascii="Times New Roman CE" w:hAnsi="Times New Roman CE" w:cs="Times New Roman CE"/>
                <w:i/>
                <w:iCs/>
                <w:sz w:val="22"/>
                <w:szCs w:val="22"/>
              </w:rPr>
              <w:br/>
              <w:t>tény</w:t>
            </w:r>
          </w:p>
        </w:tc>
        <w:tc>
          <w:tcPr>
            <w:tcW w:w="1097" w:type="dxa"/>
            <w:gridSpan w:val="2"/>
            <w:tcBorders>
              <w:top w:val="single" w:sz="4" w:space="0" w:color="auto"/>
              <w:left w:val="nil"/>
              <w:bottom w:val="single" w:sz="4" w:space="0" w:color="auto"/>
              <w:right w:val="nil"/>
            </w:tcBorders>
            <w:shd w:val="clear" w:color="auto" w:fill="auto"/>
            <w:vAlign w:val="center"/>
            <w:hideMark/>
          </w:tcPr>
          <w:p w:rsidR="001C0E5A" w:rsidRPr="00DB2665" w:rsidRDefault="001C0E5A" w:rsidP="001C0E5A">
            <w:pPr>
              <w:jc w:val="center"/>
              <w:rPr>
                <w:rFonts w:ascii="Times New Roman CE" w:hAnsi="Times New Roman CE" w:cs="Times New Roman CE"/>
                <w:i/>
                <w:iCs/>
                <w:sz w:val="22"/>
                <w:szCs w:val="22"/>
              </w:rPr>
            </w:pPr>
            <w:r w:rsidRPr="00DB2665">
              <w:rPr>
                <w:rFonts w:ascii="Times New Roman CE" w:hAnsi="Times New Roman CE" w:cs="Times New Roman CE"/>
                <w:i/>
                <w:iCs/>
                <w:sz w:val="22"/>
                <w:szCs w:val="22"/>
              </w:rPr>
              <w:t xml:space="preserve">2022 évi </w:t>
            </w:r>
            <w:r w:rsidRPr="00DB2665">
              <w:rPr>
                <w:rFonts w:ascii="Times New Roman CE" w:hAnsi="Times New Roman CE" w:cs="Times New Roman CE"/>
                <w:i/>
                <w:iCs/>
                <w:sz w:val="22"/>
                <w:szCs w:val="22"/>
              </w:rPr>
              <w:br/>
              <w:t>terv</w:t>
            </w:r>
          </w:p>
        </w:tc>
        <w:tc>
          <w:tcPr>
            <w:tcW w:w="1117" w:type="dxa"/>
            <w:gridSpan w:val="2"/>
            <w:tcBorders>
              <w:top w:val="single" w:sz="4" w:space="0" w:color="auto"/>
              <w:left w:val="nil"/>
              <w:bottom w:val="single" w:sz="4" w:space="0" w:color="auto"/>
              <w:right w:val="nil"/>
            </w:tcBorders>
            <w:shd w:val="clear" w:color="auto" w:fill="auto"/>
            <w:vAlign w:val="center"/>
            <w:hideMark/>
          </w:tcPr>
          <w:p w:rsidR="001C0E5A" w:rsidRPr="00DB2665" w:rsidRDefault="001C0E5A" w:rsidP="001C0E5A">
            <w:pPr>
              <w:jc w:val="center"/>
              <w:rPr>
                <w:rFonts w:ascii="Times New Roman CE" w:hAnsi="Times New Roman CE" w:cs="Times New Roman CE"/>
                <w:i/>
                <w:iCs/>
                <w:sz w:val="22"/>
                <w:szCs w:val="22"/>
              </w:rPr>
            </w:pPr>
            <w:r w:rsidRPr="00DB2665">
              <w:rPr>
                <w:rFonts w:ascii="Times New Roman CE" w:hAnsi="Times New Roman CE" w:cs="Times New Roman CE"/>
                <w:i/>
                <w:iCs/>
                <w:sz w:val="22"/>
                <w:szCs w:val="22"/>
              </w:rPr>
              <w:t>2022. évi</w:t>
            </w:r>
            <w:r w:rsidRPr="00DB2665">
              <w:rPr>
                <w:rFonts w:ascii="Times New Roman CE" w:hAnsi="Times New Roman CE" w:cs="Times New Roman CE"/>
                <w:i/>
                <w:iCs/>
                <w:sz w:val="22"/>
                <w:szCs w:val="22"/>
              </w:rPr>
              <w:br/>
              <w:t>tény</w:t>
            </w:r>
          </w:p>
        </w:tc>
        <w:tc>
          <w:tcPr>
            <w:tcW w:w="976" w:type="dxa"/>
            <w:gridSpan w:val="2"/>
            <w:tcBorders>
              <w:top w:val="single" w:sz="4" w:space="0" w:color="auto"/>
              <w:left w:val="nil"/>
              <w:bottom w:val="single" w:sz="4" w:space="0" w:color="auto"/>
              <w:right w:val="nil"/>
            </w:tcBorders>
            <w:shd w:val="clear" w:color="auto" w:fill="auto"/>
            <w:vAlign w:val="center"/>
            <w:hideMark/>
          </w:tcPr>
          <w:p w:rsidR="001C0E5A" w:rsidRPr="00DB2665" w:rsidRDefault="001C0E5A" w:rsidP="001C0E5A">
            <w:pPr>
              <w:jc w:val="center"/>
              <w:rPr>
                <w:rFonts w:ascii="Times New Roman CE" w:hAnsi="Times New Roman CE" w:cs="Times New Roman CE"/>
                <w:i/>
                <w:iCs/>
                <w:sz w:val="22"/>
                <w:szCs w:val="22"/>
              </w:rPr>
            </w:pPr>
            <w:r w:rsidRPr="00DB2665">
              <w:rPr>
                <w:rFonts w:ascii="Times New Roman CE" w:hAnsi="Times New Roman CE" w:cs="Times New Roman CE"/>
                <w:i/>
                <w:iCs/>
                <w:sz w:val="22"/>
                <w:szCs w:val="22"/>
              </w:rPr>
              <w:t>tény/</w:t>
            </w:r>
            <w:r w:rsidRPr="00DB2665">
              <w:rPr>
                <w:rFonts w:ascii="Times New Roman CE" w:hAnsi="Times New Roman CE" w:cs="Times New Roman CE"/>
                <w:i/>
                <w:iCs/>
                <w:sz w:val="22"/>
                <w:szCs w:val="22"/>
              </w:rPr>
              <w:br/>
              <w:t xml:space="preserve">bázis    </w:t>
            </w:r>
          </w:p>
        </w:tc>
        <w:tc>
          <w:tcPr>
            <w:tcW w:w="956" w:type="dxa"/>
            <w:gridSpan w:val="2"/>
            <w:tcBorders>
              <w:top w:val="single" w:sz="4" w:space="0" w:color="auto"/>
              <w:left w:val="nil"/>
              <w:bottom w:val="single" w:sz="4" w:space="0" w:color="auto"/>
              <w:right w:val="nil"/>
            </w:tcBorders>
            <w:shd w:val="clear" w:color="auto" w:fill="auto"/>
            <w:vAlign w:val="center"/>
            <w:hideMark/>
          </w:tcPr>
          <w:p w:rsidR="001C0E5A" w:rsidRPr="00DB2665" w:rsidRDefault="001C0E5A" w:rsidP="001C0E5A">
            <w:pPr>
              <w:jc w:val="center"/>
              <w:rPr>
                <w:rFonts w:ascii="Times New Roman CE" w:hAnsi="Times New Roman CE" w:cs="Times New Roman CE"/>
                <w:i/>
                <w:iCs/>
                <w:sz w:val="22"/>
                <w:szCs w:val="22"/>
              </w:rPr>
            </w:pPr>
            <w:r w:rsidRPr="00DB2665">
              <w:rPr>
                <w:rFonts w:ascii="Times New Roman CE" w:hAnsi="Times New Roman CE" w:cs="Times New Roman CE"/>
                <w:i/>
                <w:iCs/>
                <w:sz w:val="22"/>
                <w:szCs w:val="22"/>
              </w:rPr>
              <w:t>tény/</w:t>
            </w:r>
            <w:r w:rsidRPr="00DB2665">
              <w:rPr>
                <w:rFonts w:ascii="Times New Roman CE" w:hAnsi="Times New Roman CE" w:cs="Times New Roman CE"/>
                <w:i/>
                <w:iCs/>
                <w:sz w:val="22"/>
                <w:szCs w:val="22"/>
              </w:rPr>
              <w:br/>
              <w:t xml:space="preserve">terv    </w:t>
            </w:r>
          </w:p>
        </w:tc>
      </w:tr>
      <w:tr w:rsidR="001C0E5A" w:rsidRPr="00DB2665" w:rsidTr="001C0E5A">
        <w:trPr>
          <w:gridAfter w:val="1"/>
          <w:wAfter w:w="142" w:type="dxa"/>
          <w:trHeight w:val="315"/>
        </w:trPr>
        <w:tc>
          <w:tcPr>
            <w:tcW w:w="4253" w:type="dxa"/>
            <w:tcBorders>
              <w:top w:val="nil"/>
              <w:left w:val="nil"/>
              <w:bottom w:val="nil"/>
              <w:right w:val="nil"/>
            </w:tcBorders>
            <w:shd w:val="clear" w:color="auto" w:fill="auto"/>
            <w:noWrap/>
            <w:vAlign w:val="bottom"/>
            <w:hideMark/>
          </w:tcPr>
          <w:p w:rsidR="001C0E5A" w:rsidRPr="00DB2665" w:rsidRDefault="001C0E5A" w:rsidP="001C0E5A">
            <w:pPr>
              <w:jc w:val="left"/>
              <w:rPr>
                <w:rFonts w:ascii="Times New Roman CE" w:hAnsi="Times New Roman CE" w:cs="Times New Roman CE"/>
                <w:i/>
                <w:iCs/>
                <w:sz w:val="22"/>
                <w:szCs w:val="22"/>
              </w:rPr>
            </w:pPr>
            <w:r w:rsidRPr="00DB2665">
              <w:rPr>
                <w:rFonts w:ascii="Times New Roman CE" w:hAnsi="Times New Roman CE" w:cs="Times New Roman CE"/>
                <w:i/>
                <w:iCs/>
                <w:sz w:val="22"/>
                <w:szCs w:val="22"/>
              </w:rPr>
              <w:t xml:space="preserve"> Saját kivitelezésű eszközfenntartás</w:t>
            </w:r>
          </w:p>
        </w:tc>
        <w:tc>
          <w:tcPr>
            <w:tcW w:w="1097" w:type="dxa"/>
            <w:gridSpan w:val="2"/>
            <w:tcBorders>
              <w:top w:val="nil"/>
              <w:left w:val="nil"/>
              <w:bottom w:val="nil"/>
              <w:right w:val="nil"/>
            </w:tcBorders>
            <w:shd w:val="clear" w:color="auto" w:fill="auto"/>
            <w:noWrap/>
            <w:vAlign w:val="bottom"/>
            <w:hideMark/>
          </w:tcPr>
          <w:p w:rsidR="001C0E5A" w:rsidRPr="00DB2665" w:rsidRDefault="001C0E5A" w:rsidP="001C0E5A">
            <w:pPr>
              <w:jc w:val="right"/>
              <w:rPr>
                <w:rFonts w:ascii="Times New Roman CE" w:hAnsi="Times New Roman CE" w:cs="Times New Roman CE"/>
                <w:i/>
                <w:iCs/>
                <w:sz w:val="22"/>
                <w:szCs w:val="22"/>
              </w:rPr>
            </w:pPr>
            <w:r w:rsidRPr="00DB2665">
              <w:rPr>
                <w:rFonts w:ascii="Times New Roman CE" w:hAnsi="Times New Roman CE" w:cs="Times New Roman CE"/>
                <w:i/>
                <w:iCs/>
                <w:sz w:val="22"/>
                <w:szCs w:val="22"/>
              </w:rPr>
              <w:t>910 873</w:t>
            </w:r>
          </w:p>
        </w:tc>
        <w:tc>
          <w:tcPr>
            <w:tcW w:w="1097" w:type="dxa"/>
            <w:gridSpan w:val="2"/>
            <w:tcBorders>
              <w:top w:val="nil"/>
              <w:left w:val="nil"/>
              <w:bottom w:val="nil"/>
              <w:right w:val="nil"/>
            </w:tcBorders>
            <w:shd w:val="clear" w:color="auto" w:fill="auto"/>
            <w:noWrap/>
            <w:vAlign w:val="bottom"/>
            <w:hideMark/>
          </w:tcPr>
          <w:p w:rsidR="001C0E5A" w:rsidRPr="00DB2665" w:rsidRDefault="001C0E5A" w:rsidP="001C0E5A">
            <w:pPr>
              <w:jc w:val="right"/>
              <w:rPr>
                <w:rFonts w:ascii="Times New Roman CE" w:hAnsi="Times New Roman CE" w:cs="Times New Roman CE"/>
                <w:i/>
                <w:iCs/>
                <w:sz w:val="22"/>
                <w:szCs w:val="22"/>
              </w:rPr>
            </w:pPr>
            <w:r w:rsidRPr="00DB2665">
              <w:rPr>
                <w:rFonts w:ascii="Times New Roman CE" w:hAnsi="Times New Roman CE" w:cs="Times New Roman CE"/>
                <w:i/>
                <w:iCs/>
                <w:sz w:val="22"/>
                <w:szCs w:val="22"/>
              </w:rPr>
              <w:t>1 061 405</w:t>
            </w:r>
          </w:p>
        </w:tc>
        <w:tc>
          <w:tcPr>
            <w:tcW w:w="1117" w:type="dxa"/>
            <w:gridSpan w:val="2"/>
            <w:tcBorders>
              <w:top w:val="nil"/>
              <w:left w:val="nil"/>
              <w:bottom w:val="nil"/>
              <w:right w:val="nil"/>
            </w:tcBorders>
            <w:shd w:val="clear" w:color="auto" w:fill="auto"/>
            <w:noWrap/>
            <w:vAlign w:val="bottom"/>
            <w:hideMark/>
          </w:tcPr>
          <w:p w:rsidR="001C0E5A" w:rsidRPr="00DB2665" w:rsidRDefault="001C0E5A" w:rsidP="001C0E5A">
            <w:pPr>
              <w:jc w:val="right"/>
              <w:rPr>
                <w:rFonts w:ascii="Times New Roman CE" w:hAnsi="Times New Roman CE" w:cs="Times New Roman CE"/>
                <w:i/>
                <w:iCs/>
                <w:sz w:val="22"/>
                <w:szCs w:val="22"/>
              </w:rPr>
            </w:pPr>
            <w:r w:rsidRPr="00DB2665">
              <w:rPr>
                <w:rFonts w:ascii="Times New Roman CE" w:hAnsi="Times New Roman CE" w:cs="Times New Roman CE"/>
                <w:i/>
                <w:iCs/>
                <w:sz w:val="22"/>
                <w:szCs w:val="22"/>
              </w:rPr>
              <w:t>912 263</w:t>
            </w:r>
          </w:p>
        </w:tc>
        <w:tc>
          <w:tcPr>
            <w:tcW w:w="976" w:type="dxa"/>
            <w:gridSpan w:val="2"/>
            <w:tcBorders>
              <w:top w:val="nil"/>
              <w:left w:val="nil"/>
              <w:bottom w:val="nil"/>
              <w:right w:val="nil"/>
            </w:tcBorders>
            <w:shd w:val="clear" w:color="auto" w:fill="auto"/>
            <w:noWrap/>
            <w:vAlign w:val="bottom"/>
            <w:hideMark/>
          </w:tcPr>
          <w:p w:rsidR="001C0E5A" w:rsidRPr="00DB2665" w:rsidRDefault="001C0E5A" w:rsidP="001C0E5A">
            <w:pPr>
              <w:jc w:val="right"/>
              <w:rPr>
                <w:rFonts w:ascii="Times New Roman CE" w:hAnsi="Times New Roman CE" w:cs="Times New Roman CE"/>
                <w:i/>
                <w:iCs/>
                <w:sz w:val="22"/>
                <w:szCs w:val="22"/>
              </w:rPr>
            </w:pPr>
            <w:r w:rsidRPr="00DB2665">
              <w:rPr>
                <w:rFonts w:ascii="Times New Roman CE" w:hAnsi="Times New Roman CE" w:cs="Times New Roman CE"/>
                <w:i/>
                <w:iCs/>
                <w:sz w:val="22"/>
                <w:szCs w:val="22"/>
              </w:rPr>
              <w:t>100,2%</w:t>
            </w:r>
          </w:p>
        </w:tc>
        <w:tc>
          <w:tcPr>
            <w:tcW w:w="956" w:type="dxa"/>
            <w:gridSpan w:val="2"/>
            <w:tcBorders>
              <w:top w:val="nil"/>
              <w:left w:val="nil"/>
              <w:bottom w:val="nil"/>
              <w:right w:val="nil"/>
            </w:tcBorders>
            <w:shd w:val="clear" w:color="auto" w:fill="auto"/>
            <w:noWrap/>
            <w:vAlign w:val="bottom"/>
            <w:hideMark/>
          </w:tcPr>
          <w:p w:rsidR="001C0E5A" w:rsidRPr="00DB2665" w:rsidRDefault="001C0E5A" w:rsidP="001C0E5A">
            <w:pPr>
              <w:jc w:val="right"/>
              <w:rPr>
                <w:rFonts w:ascii="Times New Roman CE" w:hAnsi="Times New Roman CE" w:cs="Times New Roman CE"/>
                <w:i/>
                <w:iCs/>
                <w:sz w:val="22"/>
                <w:szCs w:val="22"/>
              </w:rPr>
            </w:pPr>
            <w:r w:rsidRPr="00DB2665">
              <w:rPr>
                <w:rFonts w:ascii="Times New Roman CE" w:hAnsi="Times New Roman CE" w:cs="Times New Roman CE"/>
                <w:i/>
                <w:iCs/>
                <w:sz w:val="22"/>
                <w:szCs w:val="22"/>
              </w:rPr>
              <w:t>85,9%</w:t>
            </w:r>
          </w:p>
        </w:tc>
      </w:tr>
      <w:tr w:rsidR="001C0E5A" w:rsidRPr="00DB2665" w:rsidTr="001C0E5A">
        <w:trPr>
          <w:gridAfter w:val="1"/>
          <w:wAfter w:w="142" w:type="dxa"/>
          <w:trHeight w:val="285"/>
        </w:trPr>
        <w:tc>
          <w:tcPr>
            <w:tcW w:w="4253" w:type="dxa"/>
            <w:tcBorders>
              <w:top w:val="nil"/>
              <w:left w:val="nil"/>
              <w:bottom w:val="nil"/>
              <w:right w:val="nil"/>
            </w:tcBorders>
            <w:shd w:val="clear" w:color="auto" w:fill="auto"/>
            <w:noWrap/>
            <w:vAlign w:val="center"/>
            <w:hideMark/>
          </w:tcPr>
          <w:p w:rsidR="001C0E5A" w:rsidRPr="00DB2665" w:rsidRDefault="001C0E5A" w:rsidP="001C0E5A">
            <w:pPr>
              <w:jc w:val="left"/>
              <w:rPr>
                <w:rFonts w:ascii="Times New Roman CE" w:hAnsi="Times New Roman CE" w:cs="Times New Roman CE"/>
                <w:sz w:val="22"/>
                <w:szCs w:val="22"/>
              </w:rPr>
            </w:pPr>
            <w:r w:rsidRPr="00DB2665">
              <w:rPr>
                <w:rFonts w:ascii="Times New Roman CE" w:hAnsi="Times New Roman CE" w:cs="Times New Roman CE"/>
                <w:sz w:val="22"/>
                <w:szCs w:val="22"/>
              </w:rPr>
              <w:t>ebből: Üzemmérnökségek</w:t>
            </w:r>
          </w:p>
        </w:tc>
        <w:tc>
          <w:tcPr>
            <w:tcW w:w="1097" w:type="dxa"/>
            <w:gridSpan w:val="2"/>
            <w:tcBorders>
              <w:top w:val="nil"/>
              <w:left w:val="nil"/>
              <w:bottom w:val="nil"/>
              <w:right w:val="nil"/>
            </w:tcBorders>
            <w:shd w:val="clear" w:color="auto" w:fill="auto"/>
            <w:noWrap/>
            <w:vAlign w:val="bottom"/>
            <w:hideMark/>
          </w:tcPr>
          <w:p w:rsidR="001C0E5A" w:rsidRPr="00DB2665" w:rsidRDefault="001C0E5A" w:rsidP="001C0E5A">
            <w:pPr>
              <w:jc w:val="right"/>
              <w:rPr>
                <w:rFonts w:ascii="Times New Roman CE" w:hAnsi="Times New Roman CE" w:cs="Times New Roman CE"/>
                <w:sz w:val="22"/>
                <w:szCs w:val="22"/>
              </w:rPr>
            </w:pPr>
            <w:r w:rsidRPr="00DB2665">
              <w:rPr>
                <w:rFonts w:ascii="Times New Roman CE" w:hAnsi="Times New Roman CE" w:cs="Times New Roman CE"/>
                <w:sz w:val="22"/>
                <w:szCs w:val="22"/>
              </w:rPr>
              <w:t>747 697</w:t>
            </w:r>
          </w:p>
        </w:tc>
        <w:tc>
          <w:tcPr>
            <w:tcW w:w="1097" w:type="dxa"/>
            <w:gridSpan w:val="2"/>
            <w:tcBorders>
              <w:top w:val="nil"/>
              <w:left w:val="nil"/>
              <w:bottom w:val="nil"/>
              <w:right w:val="nil"/>
            </w:tcBorders>
            <w:shd w:val="clear" w:color="auto" w:fill="auto"/>
            <w:noWrap/>
            <w:vAlign w:val="bottom"/>
            <w:hideMark/>
          </w:tcPr>
          <w:p w:rsidR="001C0E5A" w:rsidRPr="00DB2665" w:rsidRDefault="001C0E5A" w:rsidP="001C0E5A">
            <w:pPr>
              <w:jc w:val="right"/>
              <w:rPr>
                <w:rFonts w:ascii="Times New Roman CE" w:hAnsi="Times New Roman CE" w:cs="Times New Roman CE"/>
                <w:sz w:val="22"/>
                <w:szCs w:val="22"/>
              </w:rPr>
            </w:pPr>
            <w:r w:rsidRPr="00DB2665">
              <w:rPr>
                <w:rFonts w:ascii="Times New Roman CE" w:hAnsi="Times New Roman CE" w:cs="Times New Roman CE"/>
                <w:sz w:val="22"/>
                <w:szCs w:val="22"/>
              </w:rPr>
              <w:t>901 939</w:t>
            </w:r>
          </w:p>
        </w:tc>
        <w:tc>
          <w:tcPr>
            <w:tcW w:w="1117" w:type="dxa"/>
            <w:gridSpan w:val="2"/>
            <w:tcBorders>
              <w:top w:val="nil"/>
              <w:left w:val="nil"/>
              <w:bottom w:val="nil"/>
              <w:right w:val="nil"/>
            </w:tcBorders>
            <w:shd w:val="clear" w:color="auto" w:fill="auto"/>
            <w:noWrap/>
            <w:vAlign w:val="bottom"/>
            <w:hideMark/>
          </w:tcPr>
          <w:p w:rsidR="001C0E5A" w:rsidRPr="00DB2665" w:rsidRDefault="001C0E5A" w:rsidP="001C0E5A">
            <w:pPr>
              <w:jc w:val="right"/>
              <w:rPr>
                <w:rFonts w:ascii="Times New Roman CE" w:hAnsi="Times New Roman CE" w:cs="Times New Roman CE"/>
                <w:sz w:val="22"/>
                <w:szCs w:val="22"/>
              </w:rPr>
            </w:pPr>
            <w:r w:rsidRPr="00DB2665">
              <w:rPr>
                <w:rFonts w:ascii="Times New Roman CE" w:hAnsi="Times New Roman CE" w:cs="Times New Roman CE"/>
                <w:sz w:val="22"/>
                <w:szCs w:val="22"/>
              </w:rPr>
              <w:t>740 273</w:t>
            </w:r>
          </w:p>
        </w:tc>
        <w:tc>
          <w:tcPr>
            <w:tcW w:w="976" w:type="dxa"/>
            <w:gridSpan w:val="2"/>
            <w:tcBorders>
              <w:top w:val="nil"/>
              <w:left w:val="nil"/>
              <w:bottom w:val="nil"/>
              <w:right w:val="nil"/>
            </w:tcBorders>
            <w:shd w:val="clear" w:color="auto" w:fill="auto"/>
            <w:noWrap/>
            <w:vAlign w:val="bottom"/>
            <w:hideMark/>
          </w:tcPr>
          <w:p w:rsidR="001C0E5A" w:rsidRPr="00DB2665" w:rsidRDefault="001C0E5A" w:rsidP="001C0E5A">
            <w:pPr>
              <w:jc w:val="right"/>
              <w:rPr>
                <w:rFonts w:ascii="Times New Roman CE" w:hAnsi="Times New Roman CE" w:cs="Times New Roman CE"/>
                <w:sz w:val="22"/>
                <w:szCs w:val="22"/>
              </w:rPr>
            </w:pPr>
            <w:r w:rsidRPr="00DB2665">
              <w:rPr>
                <w:rFonts w:ascii="Times New Roman CE" w:hAnsi="Times New Roman CE" w:cs="Times New Roman CE"/>
                <w:sz w:val="22"/>
                <w:szCs w:val="22"/>
              </w:rPr>
              <w:t>99,0%</w:t>
            </w:r>
          </w:p>
        </w:tc>
        <w:tc>
          <w:tcPr>
            <w:tcW w:w="956" w:type="dxa"/>
            <w:gridSpan w:val="2"/>
            <w:tcBorders>
              <w:top w:val="nil"/>
              <w:left w:val="nil"/>
              <w:bottom w:val="nil"/>
              <w:right w:val="nil"/>
            </w:tcBorders>
            <w:shd w:val="clear" w:color="auto" w:fill="auto"/>
            <w:noWrap/>
            <w:vAlign w:val="bottom"/>
            <w:hideMark/>
          </w:tcPr>
          <w:p w:rsidR="001C0E5A" w:rsidRPr="00DB2665" w:rsidRDefault="001C0E5A" w:rsidP="001C0E5A">
            <w:pPr>
              <w:jc w:val="right"/>
              <w:rPr>
                <w:rFonts w:ascii="Times New Roman CE" w:hAnsi="Times New Roman CE" w:cs="Times New Roman CE"/>
                <w:sz w:val="22"/>
                <w:szCs w:val="22"/>
              </w:rPr>
            </w:pPr>
            <w:r w:rsidRPr="00DB2665">
              <w:rPr>
                <w:rFonts w:ascii="Times New Roman CE" w:hAnsi="Times New Roman CE" w:cs="Times New Roman CE"/>
                <w:sz w:val="22"/>
                <w:szCs w:val="22"/>
              </w:rPr>
              <w:t>82,1%</w:t>
            </w:r>
          </w:p>
        </w:tc>
      </w:tr>
      <w:tr w:rsidR="001C0E5A" w:rsidRPr="00DB2665" w:rsidTr="001C0E5A">
        <w:trPr>
          <w:gridAfter w:val="1"/>
          <w:wAfter w:w="142" w:type="dxa"/>
          <w:trHeight w:val="285"/>
        </w:trPr>
        <w:tc>
          <w:tcPr>
            <w:tcW w:w="4253" w:type="dxa"/>
            <w:tcBorders>
              <w:top w:val="nil"/>
              <w:left w:val="nil"/>
              <w:bottom w:val="nil"/>
              <w:right w:val="nil"/>
            </w:tcBorders>
            <w:shd w:val="clear" w:color="auto" w:fill="auto"/>
            <w:vAlign w:val="center"/>
            <w:hideMark/>
          </w:tcPr>
          <w:p w:rsidR="001C0E5A" w:rsidRPr="00DB2665" w:rsidRDefault="001C0E5A" w:rsidP="001C0E5A">
            <w:pPr>
              <w:jc w:val="left"/>
              <w:rPr>
                <w:rFonts w:ascii="Times New Roman CE" w:hAnsi="Times New Roman CE" w:cs="Times New Roman CE"/>
                <w:sz w:val="22"/>
                <w:szCs w:val="22"/>
              </w:rPr>
            </w:pPr>
            <w:r w:rsidRPr="00DB2665">
              <w:rPr>
                <w:rFonts w:ascii="Times New Roman CE" w:hAnsi="Times New Roman CE" w:cs="Times New Roman CE"/>
                <w:sz w:val="22"/>
                <w:szCs w:val="22"/>
              </w:rPr>
              <w:t xml:space="preserve">         </w:t>
            </w:r>
            <w:r w:rsidR="00B23E44" w:rsidRPr="00DB2665">
              <w:rPr>
                <w:rFonts w:ascii="Times New Roman CE" w:hAnsi="Times New Roman CE" w:cs="Times New Roman CE"/>
                <w:sz w:val="22"/>
                <w:szCs w:val="22"/>
              </w:rPr>
              <w:t xml:space="preserve"> </w:t>
            </w:r>
            <w:r w:rsidRPr="00DB2665">
              <w:rPr>
                <w:rFonts w:ascii="Times New Roman CE" w:hAnsi="Times New Roman CE" w:cs="Times New Roman CE"/>
                <w:sz w:val="22"/>
                <w:szCs w:val="22"/>
              </w:rPr>
              <w:t xml:space="preserve"> Üzemvitel által végzett kp-i fenntartás</w:t>
            </w:r>
          </w:p>
        </w:tc>
        <w:tc>
          <w:tcPr>
            <w:tcW w:w="1097" w:type="dxa"/>
            <w:gridSpan w:val="2"/>
            <w:tcBorders>
              <w:top w:val="nil"/>
              <w:left w:val="nil"/>
              <w:bottom w:val="nil"/>
              <w:right w:val="nil"/>
            </w:tcBorders>
            <w:shd w:val="clear" w:color="auto" w:fill="auto"/>
            <w:noWrap/>
            <w:vAlign w:val="bottom"/>
            <w:hideMark/>
          </w:tcPr>
          <w:p w:rsidR="001C0E5A" w:rsidRPr="00DB2665" w:rsidRDefault="001C0E5A" w:rsidP="001C0E5A">
            <w:pPr>
              <w:jc w:val="right"/>
              <w:rPr>
                <w:rFonts w:ascii="Times New Roman CE" w:hAnsi="Times New Roman CE" w:cs="Times New Roman CE"/>
                <w:sz w:val="22"/>
                <w:szCs w:val="22"/>
              </w:rPr>
            </w:pPr>
            <w:r w:rsidRPr="00DB2665">
              <w:rPr>
                <w:rFonts w:ascii="Times New Roman CE" w:hAnsi="Times New Roman CE" w:cs="Times New Roman CE"/>
                <w:sz w:val="22"/>
                <w:szCs w:val="22"/>
              </w:rPr>
              <w:t>134 161</w:t>
            </w:r>
          </w:p>
        </w:tc>
        <w:tc>
          <w:tcPr>
            <w:tcW w:w="1097" w:type="dxa"/>
            <w:gridSpan w:val="2"/>
            <w:tcBorders>
              <w:top w:val="nil"/>
              <w:left w:val="nil"/>
              <w:bottom w:val="nil"/>
              <w:right w:val="nil"/>
            </w:tcBorders>
            <w:shd w:val="clear" w:color="auto" w:fill="auto"/>
            <w:noWrap/>
            <w:vAlign w:val="bottom"/>
            <w:hideMark/>
          </w:tcPr>
          <w:p w:rsidR="001C0E5A" w:rsidRPr="00DB2665" w:rsidRDefault="001C0E5A" w:rsidP="001C0E5A">
            <w:pPr>
              <w:jc w:val="right"/>
              <w:rPr>
                <w:rFonts w:ascii="Times New Roman CE" w:hAnsi="Times New Roman CE" w:cs="Times New Roman CE"/>
                <w:sz w:val="22"/>
                <w:szCs w:val="22"/>
              </w:rPr>
            </w:pPr>
            <w:r w:rsidRPr="00DB2665">
              <w:rPr>
                <w:rFonts w:ascii="Times New Roman CE" w:hAnsi="Times New Roman CE" w:cs="Times New Roman CE"/>
                <w:sz w:val="22"/>
                <w:szCs w:val="22"/>
              </w:rPr>
              <w:t>129 259</w:t>
            </w:r>
          </w:p>
        </w:tc>
        <w:tc>
          <w:tcPr>
            <w:tcW w:w="1117" w:type="dxa"/>
            <w:gridSpan w:val="2"/>
            <w:tcBorders>
              <w:top w:val="nil"/>
              <w:left w:val="nil"/>
              <w:bottom w:val="nil"/>
              <w:right w:val="nil"/>
            </w:tcBorders>
            <w:shd w:val="clear" w:color="auto" w:fill="auto"/>
            <w:noWrap/>
            <w:vAlign w:val="bottom"/>
            <w:hideMark/>
          </w:tcPr>
          <w:p w:rsidR="001C0E5A" w:rsidRPr="00DB2665" w:rsidRDefault="001C0E5A" w:rsidP="001C0E5A">
            <w:pPr>
              <w:jc w:val="right"/>
              <w:rPr>
                <w:rFonts w:ascii="Times New Roman CE" w:hAnsi="Times New Roman CE" w:cs="Times New Roman CE"/>
                <w:sz w:val="22"/>
                <w:szCs w:val="22"/>
              </w:rPr>
            </w:pPr>
            <w:r w:rsidRPr="00DB2665">
              <w:rPr>
                <w:rFonts w:ascii="Times New Roman CE" w:hAnsi="Times New Roman CE" w:cs="Times New Roman CE"/>
                <w:sz w:val="22"/>
                <w:szCs w:val="22"/>
              </w:rPr>
              <w:t>135 451</w:t>
            </w:r>
          </w:p>
        </w:tc>
        <w:tc>
          <w:tcPr>
            <w:tcW w:w="976" w:type="dxa"/>
            <w:gridSpan w:val="2"/>
            <w:tcBorders>
              <w:top w:val="nil"/>
              <w:left w:val="nil"/>
              <w:bottom w:val="nil"/>
              <w:right w:val="nil"/>
            </w:tcBorders>
            <w:shd w:val="clear" w:color="auto" w:fill="auto"/>
            <w:noWrap/>
            <w:vAlign w:val="bottom"/>
            <w:hideMark/>
          </w:tcPr>
          <w:p w:rsidR="001C0E5A" w:rsidRPr="00DB2665" w:rsidRDefault="001C0E5A" w:rsidP="001C0E5A">
            <w:pPr>
              <w:jc w:val="right"/>
              <w:rPr>
                <w:rFonts w:ascii="Times New Roman CE" w:hAnsi="Times New Roman CE" w:cs="Times New Roman CE"/>
                <w:sz w:val="22"/>
                <w:szCs w:val="22"/>
              </w:rPr>
            </w:pPr>
            <w:r w:rsidRPr="00DB2665">
              <w:rPr>
                <w:rFonts w:ascii="Times New Roman CE" w:hAnsi="Times New Roman CE" w:cs="Times New Roman CE"/>
                <w:sz w:val="22"/>
                <w:szCs w:val="22"/>
              </w:rPr>
              <w:t>101,0%</w:t>
            </w:r>
          </w:p>
        </w:tc>
        <w:tc>
          <w:tcPr>
            <w:tcW w:w="956" w:type="dxa"/>
            <w:gridSpan w:val="2"/>
            <w:tcBorders>
              <w:top w:val="nil"/>
              <w:left w:val="nil"/>
              <w:bottom w:val="nil"/>
              <w:right w:val="nil"/>
            </w:tcBorders>
            <w:shd w:val="clear" w:color="auto" w:fill="auto"/>
            <w:noWrap/>
            <w:vAlign w:val="bottom"/>
            <w:hideMark/>
          </w:tcPr>
          <w:p w:rsidR="001C0E5A" w:rsidRPr="00DB2665" w:rsidRDefault="001C0E5A" w:rsidP="001C0E5A">
            <w:pPr>
              <w:jc w:val="right"/>
              <w:rPr>
                <w:rFonts w:ascii="Times New Roman CE" w:hAnsi="Times New Roman CE" w:cs="Times New Roman CE"/>
                <w:sz w:val="22"/>
                <w:szCs w:val="22"/>
              </w:rPr>
            </w:pPr>
            <w:r w:rsidRPr="00DB2665">
              <w:rPr>
                <w:rFonts w:ascii="Times New Roman CE" w:hAnsi="Times New Roman CE" w:cs="Times New Roman CE"/>
                <w:sz w:val="22"/>
                <w:szCs w:val="22"/>
              </w:rPr>
              <w:t>104,8%</w:t>
            </w:r>
          </w:p>
        </w:tc>
      </w:tr>
      <w:tr w:rsidR="001C0E5A" w:rsidRPr="00DB2665" w:rsidTr="001C0E5A">
        <w:trPr>
          <w:gridAfter w:val="1"/>
          <w:wAfter w:w="142" w:type="dxa"/>
          <w:trHeight w:val="285"/>
        </w:trPr>
        <w:tc>
          <w:tcPr>
            <w:tcW w:w="4253" w:type="dxa"/>
            <w:tcBorders>
              <w:top w:val="nil"/>
              <w:left w:val="nil"/>
              <w:bottom w:val="nil"/>
              <w:right w:val="nil"/>
            </w:tcBorders>
            <w:shd w:val="clear" w:color="auto" w:fill="auto"/>
            <w:vAlign w:val="center"/>
            <w:hideMark/>
          </w:tcPr>
          <w:p w:rsidR="001C0E5A" w:rsidRPr="00DB2665" w:rsidRDefault="001C0E5A" w:rsidP="001C0E5A">
            <w:pPr>
              <w:jc w:val="left"/>
              <w:rPr>
                <w:rFonts w:ascii="Times New Roman CE" w:hAnsi="Times New Roman CE" w:cs="Times New Roman CE"/>
                <w:sz w:val="22"/>
                <w:szCs w:val="22"/>
              </w:rPr>
            </w:pPr>
            <w:r w:rsidRPr="00DB2665">
              <w:rPr>
                <w:rFonts w:ascii="Times New Roman CE" w:hAnsi="Times New Roman CE" w:cs="Times New Roman CE"/>
                <w:sz w:val="22"/>
                <w:szCs w:val="22"/>
              </w:rPr>
              <w:t xml:space="preserve">          </w:t>
            </w:r>
            <w:r w:rsidR="00B23E44" w:rsidRPr="00DB2665">
              <w:rPr>
                <w:rFonts w:ascii="Times New Roman CE" w:hAnsi="Times New Roman CE" w:cs="Times New Roman CE"/>
                <w:sz w:val="22"/>
                <w:szCs w:val="22"/>
              </w:rPr>
              <w:t xml:space="preserve"> </w:t>
            </w:r>
            <w:r w:rsidRPr="00DB2665">
              <w:rPr>
                <w:rFonts w:ascii="Times New Roman CE" w:hAnsi="Times New Roman CE" w:cs="Times New Roman CE"/>
                <w:sz w:val="22"/>
                <w:szCs w:val="22"/>
              </w:rPr>
              <w:t xml:space="preserve">Uszoda és Termálfürdő </w:t>
            </w:r>
          </w:p>
        </w:tc>
        <w:tc>
          <w:tcPr>
            <w:tcW w:w="1097" w:type="dxa"/>
            <w:gridSpan w:val="2"/>
            <w:tcBorders>
              <w:top w:val="nil"/>
              <w:left w:val="nil"/>
              <w:bottom w:val="nil"/>
              <w:right w:val="nil"/>
            </w:tcBorders>
            <w:shd w:val="clear" w:color="auto" w:fill="auto"/>
            <w:noWrap/>
            <w:vAlign w:val="bottom"/>
            <w:hideMark/>
          </w:tcPr>
          <w:p w:rsidR="001C0E5A" w:rsidRPr="00DB2665" w:rsidRDefault="001C0E5A" w:rsidP="001C0E5A">
            <w:pPr>
              <w:jc w:val="right"/>
              <w:rPr>
                <w:rFonts w:ascii="Times New Roman CE" w:hAnsi="Times New Roman CE" w:cs="Times New Roman CE"/>
                <w:sz w:val="22"/>
                <w:szCs w:val="22"/>
              </w:rPr>
            </w:pPr>
            <w:r w:rsidRPr="00DB2665">
              <w:rPr>
                <w:rFonts w:ascii="Times New Roman CE" w:hAnsi="Times New Roman CE" w:cs="Times New Roman CE"/>
                <w:sz w:val="22"/>
                <w:szCs w:val="22"/>
              </w:rPr>
              <w:t>9 145</w:t>
            </w:r>
          </w:p>
        </w:tc>
        <w:tc>
          <w:tcPr>
            <w:tcW w:w="1097" w:type="dxa"/>
            <w:gridSpan w:val="2"/>
            <w:tcBorders>
              <w:top w:val="nil"/>
              <w:left w:val="nil"/>
              <w:bottom w:val="nil"/>
              <w:right w:val="nil"/>
            </w:tcBorders>
            <w:shd w:val="clear" w:color="auto" w:fill="auto"/>
            <w:noWrap/>
            <w:vAlign w:val="bottom"/>
            <w:hideMark/>
          </w:tcPr>
          <w:p w:rsidR="001C0E5A" w:rsidRPr="00DB2665" w:rsidRDefault="001C0E5A" w:rsidP="001C0E5A">
            <w:pPr>
              <w:jc w:val="right"/>
              <w:rPr>
                <w:rFonts w:ascii="Times New Roman CE" w:hAnsi="Times New Roman CE" w:cs="Times New Roman CE"/>
                <w:sz w:val="22"/>
                <w:szCs w:val="22"/>
              </w:rPr>
            </w:pPr>
            <w:r w:rsidRPr="00DB2665">
              <w:rPr>
                <w:rFonts w:ascii="Times New Roman CE" w:hAnsi="Times New Roman CE" w:cs="Times New Roman CE"/>
                <w:sz w:val="22"/>
                <w:szCs w:val="22"/>
              </w:rPr>
              <w:t>10 430</w:t>
            </w:r>
          </w:p>
        </w:tc>
        <w:tc>
          <w:tcPr>
            <w:tcW w:w="1117" w:type="dxa"/>
            <w:gridSpan w:val="2"/>
            <w:tcBorders>
              <w:top w:val="nil"/>
              <w:left w:val="nil"/>
              <w:bottom w:val="nil"/>
              <w:right w:val="nil"/>
            </w:tcBorders>
            <w:shd w:val="clear" w:color="auto" w:fill="auto"/>
            <w:noWrap/>
            <w:vAlign w:val="bottom"/>
            <w:hideMark/>
          </w:tcPr>
          <w:p w:rsidR="001C0E5A" w:rsidRPr="00DB2665" w:rsidRDefault="001C0E5A" w:rsidP="001C0E5A">
            <w:pPr>
              <w:jc w:val="right"/>
              <w:rPr>
                <w:rFonts w:ascii="Times New Roman CE" w:hAnsi="Times New Roman CE" w:cs="Times New Roman CE"/>
                <w:sz w:val="22"/>
                <w:szCs w:val="22"/>
              </w:rPr>
            </w:pPr>
            <w:r w:rsidRPr="00DB2665">
              <w:rPr>
                <w:rFonts w:ascii="Times New Roman CE" w:hAnsi="Times New Roman CE" w:cs="Times New Roman CE"/>
                <w:sz w:val="22"/>
                <w:szCs w:val="22"/>
              </w:rPr>
              <w:t>10 402</w:t>
            </w:r>
          </w:p>
        </w:tc>
        <w:tc>
          <w:tcPr>
            <w:tcW w:w="976" w:type="dxa"/>
            <w:gridSpan w:val="2"/>
            <w:tcBorders>
              <w:top w:val="nil"/>
              <w:left w:val="nil"/>
              <w:bottom w:val="nil"/>
              <w:right w:val="nil"/>
            </w:tcBorders>
            <w:shd w:val="clear" w:color="auto" w:fill="auto"/>
            <w:noWrap/>
            <w:vAlign w:val="bottom"/>
            <w:hideMark/>
          </w:tcPr>
          <w:p w:rsidR="001C0E5A" w:rsidRPr="00DB2665" w:rsidRDefault="001C0E5A" w:rsidP="001C0E5A">
            <w:pPr>
              <w:jc w:val="right"/>
              <w:rPr>
                <w:rFonts w:ascii="Times New Roman CE" w:hAnsi="Times New Roman CE" w:cs="Times New Roman CE"/>
                <w:sz w:val="22"/>
                <w:szCs w:val="22"/>
              </w:rPr>
            </w:pPr>
            <w:r w:rsidRPr="00DB2665">
              <w:rPr>
                <w:rFonts w:ascii="Times New Roman CE" w:hAnsi="Times New Roman CE" w:cs="Times New Roman CE"/>
                <w:sz w:val="22"/>
                <w:szCs w:val="22"/>
              </w:rPr>
              <w:t>113,7%</w:t>
            </w:r>
          </w:p>
        </w:tc>
        <w:tc>
          <w:tcPr>
            <w:tcW w:w="956" w:type="dxa"/>
            <w:gridSpan w:val="2"/>
            <w:tcBorders>
              <w:top w:val="nil"/>
              <w:left w:val="nil"/>
              <w:bottom w:val="nil"/>
              <w:right w:val="nil"/>
            </w:tcBorders>
            <w:shd w:val="clear" w:color="auto" w:fill="auto"/>
            <w:noWrap/>
            <w:vAlign w:val="bottom"/>
            <w:hideMark/>
          </w:tcPr>
          <w:p w:rsidR="001C0E5A" w:rsidRPr="00DB2665" w:rsidRDefault="001C0E5A" w:rsidP="001C0E5A">
            <w:pPr>
              <w:jc w:val="right"/>
              <w:rPr>
                <w:rFonts w:ascii="Times New Roman CE" w:hAnsi="Times New Roman CE" w:cs="Times New Roman CE"/>
                <w:sz w:val="22"/>
                <w:szCs w:val="22"/>
              </w:rPr>
            </w:pPr>
            <w:r w:rsidRPr="00DB2665">
              <w:rPr>
                <w:rFonts w:ascii="Times New Roman CE" w:hAnsi="Times New Roman CE" w:cs="Times New Roman CE"/>
                <w:sz w:val="22"/>
                <w:szCs w:val="22"/>
              </w:rPr>
              <w:t>99,7%</w:t>
            </w:r>
          </w:p>
        </w:tc>
      </w:tr>
      <w:tr w:rsidR="001C0E5A" w:rsidRPr="00DB2665" w:rsidTr="001C0E5A">
        <w:trPr>
          <w:gridAfter w:val="1"/>
          <w:wAfter w:w="142" w:type="dxa"/>
          <w:trHeight w:val="285"/>
        </w:trPr>
        <w:tc>
          <w:tcPr>
            <w:tcW w:w="4253" w:type="dxa"/>
            <w:tcBorders>
              <w:top w:val="nil"/>
              <w:left w:val="nil"/>
              <w:bottom w:val="nil"/>
              <w:right w:val="nil"/>
            </w:tcBorders>
            <w:shd w:val="clear" w:color="auto" w:fill="auto"/>
            <w:vAlign w:val="center"/>
            <w:hideMark/>
          </w:tcPr>
          <w:p w:rsidR="001C0E5A" w:rsidRPr="00DB2665" w:rsidRDefault="001C0E5A" w:rsidP="001C0E5A">
            <w:pPr>
              <w:jc w:val="left"/>
              <w:rPr>
                <w:rFonts w:ascii="Times New Roman CE" w:hAnsi="Times New Roman CE" w:cs="Times New Roman CE"/>
                <w:sz w:val="22"/>
                <w:szCs w:val="22"/>
              </w:rPr>
            </w:pPr>
            <w:r w:rsidRPr="00DB2665">
              <w:rPr>
                <w:rFonts w:ascii="Times New Roman CE" w:hAnsi="Times New Roman CE" w:cs="Times New Roman CE"/>
                <w:sz w:val="22"/>
                <w:szCs w:val="22"/>
              </w:rPr>
              <w:t xml:space="preserve">          </w:t>
            </w:r>
            <w:r w:rsidR="00B23E44" w:rsidRPr="00DB2665">
              <w:rPr>
                <w:rFonts w:ascii="Times New Roman CE" w:hAnsi="Times New Roman CE" w:cs="Times New Roman CE"/>
                <w:sz w:val="22"/>
                <w:szCs w:val="22"/>
              </w:rPr>
              <w:t xml:space="preserve"> </w:t>
            </w:r>
            <w:r w:rsidRPr="00DB2665">
              <w:rPr>
                <w:rFonts w:ascii="Times New Roman CE" w:hAnsi="Times New Roman CE" w:cs="Times New Roman CE"/>
                <w:sz w:val="22"/>
                <w:szCs w:val="22"/>
              </w:rPr>
              <w:t>Üzemvitel által végzett járműjavítások</w:t>
            </w:r>
          </w:p>
        </w:tc>
        <w:tc>
          <w:tcPr>
            <w:tcW w:w="1097" w:type="dxa"/>
            <w:gridSpan w:val="2"/>
            <w:tcBorders>
              <w:top w:val="nil"/>
              <w:left w:val="nil"/>
              <w:bottom w:val="nil"/>
              <w:right w:val="nil"/>
            </w:tcBorders>
            <w:shd w:val="clear" w:color="auto" w:fill="auto"/>
            <w:noWrap/>
            <w:vAlign w:val="bottom"/>
            <w:hideMark/>
          </w:tcPr>
          <w:p w:rsidR="001C0E5A" w:rsidRPr="00DB2665" w:rsidRDefault="001C0E5A" w:rsidP="001C0E5A">
            <w:pPr>
              <w:jc w:val="right"/>
              <w:rPr>
                <w:rFonts w:ascii="Times New Roman CE" w:hAnsi="Times New Roman CE" w:cs="Times New Roman CE"/>
                <w:sz w:val="22"/>
                <w:szCs w:val="22"/>
              </w:rPr>
            </w:pPr>
            <w:r w:rsidRPr="00DB2665">
              <w:rPr>
                <w:rFonts w:ascii="Times New Roman CE" w:hAnsi="Times New Roman CE" w:cs="Times New Roman CE"/>
                <w:sz w:val="22"/>
                <w:szCs w:val="22"/>
              </w:rPr>
              <w:t>19 870</w:t>
            </w:r>
          </w:p>
        </w:tc>
        <w:tc>
          <w:tcPr>
            <w:tcW w:w="1097" w:type="dxa"/>
            <w:gridSpan w:val="2"/>
            <w:tcBorders>
              <w:top w:val="nil"/>
              <w:left w:val="nil"/>
              <w:bottom w:val="nil"/>
              <w:right w:val="nil"/>
            </w:tcBorders>
            <w:shd w:val="clear" w:color="auto" w:fill="auto"/>
            <w:noWrap/>
            <w:vAlign w:val="bottom"/>
            <w:hideMark/>
          </w:tcPr>
          <w:p w:rsidR="001C0E5A" w:rsidRPr="00DB2665" w:rsidRDefault="001C0E5A" w:rsidP="001C0E5A">
            <w:pPr>
              <w:jc w:val="right"/>
              <w:rPr>
                <w:rFonts w:ascii="Times New Roman CE" w:hAnsi="Times New Roman CE" w:cs="Times New Roman CE"/>
                <w:sz w:val="22"/>
                <w:szCs w:val="22"/>
              </w:rPr>
            </w:pPr>
            <w:r w:rsidRPr="00DB2665">
              <w:rPr>
                <w:rFonts w:ascii="Times New Roman CE" w:hAnsi="Times New Roman CE" w:cs="Times New Roman CE"/>
                <w:sz w:val="22"/>
                <w:szCs w:val="22"/>
              </w:rPr>
              <w:t>19 777</w:t>
            </w:r>
          </w:p>
        </w:tc>
        <w:tc>
          <w:tcPr>
            <w:tcW w:w="1117" w:type="dxa"/>
            <w:gridSpan w:val="2"/>
            <w:tcBorders>
              <w:top w:val="nil"/>
              <w:left w:val="nil"/>
              <w:bottom w:val="nil"/>
              <w:right w:val="nil"/>
            </w:tcBorders>
            <w:shd w:val="clear" w:color="auto" w:fill="auto"/>
            <w:noWrap/>
            <w:vAlign w:val="bottom"/>
            <w:hideMark/>
          </w:tcPr>
          <w:p w:rsidR="001C0E5A" w:rsidRPr="00DB2665" w:rsidRDefault="001C0E5A" w:rsidP="001C0E5A">
            <w:pPr>
              <w:jc w:val="right"/>
              <w:rPr>
                <w:rFonts w:ascii="Times New Roman CE" w:hAnsi="Times New Roman CE" w:cs="Times New Roman CE"/>
                <w:sz w:val="22"/>
                <w:szCs w:val="22"/>
              </w:rPr>
            </w:pPr>
            <w:r w:rsidRPr="00DB2665">
              <w:rPr>
                <w:rFonts w:ascii="Times New Roman CE" w:hAnsi="Times New Roman CE" w:cs="Times New Roman CE"/>
                <w:sz w:val="22"/>
                <w:szCs w:val="22"/>
              </w:rPr>
              <w:t>26 137</w:t>
            </w:r>
          </w:p>
        </w:tc>
        <w:tc>
          <w:tcPr>
            <w:tcW w:w="976" w:type="dxa"/>
            <w:gridSpan w:val="2"/>
            <w:tcBorders>
              <w:top w:val="nil"/>
              <w:left w:val="nil"/>
              <w:bottom w:val="nil"/>
              <w:right w:val="nil"/>
            </w:tcBorders>
            <w:shd w:val="clear" w:color="auto" w:fill="auto"/>
            <w:noWrap/>
            <w:vAlign w:val="bottom"/>
            <w:hideMark/>
          </w:tcPr>
          <w:p w:rsidR="001C0E5A" w:rsidRPr="00DB2665" w:rsidRDefault="001C0E5A" w:rsidP="001C0E5A">
            <w:pPr>
              <w:jc w:val="right"/>
              <w:rPr>
                <w:rFonts w:ascii="Times New Roman CE" w:hAnsi="Times New Roman CE" w:cs="Times New Roman CE"/>
                <w:sz w:val="22"/>
                <w:szCs w:val="22"/>
              </w:rPr>
            </w:pPr>
            <w:r w:rsidRPr="00DB2665">
              <w:rPr>
                <w:rFonts w:ascii="Times New Roman CE" w:hAnsi="Times New Roman CE" w:cs="Times New Roman CE"/>
                <w:sz w:val="22"/>
                <w:szCs w:val="22"/>
              </w:rPr>
              <w:t>131,5%</w:t>
            </w:r>
          </w:p>
        </w:tc>
        <w:tc>
          <w:tcPr>
            <w:tcW w:w="956" w:type="dxa"/>
            <w:gridSpan w:val="2"/>
            <w:tcBorders>
              <w:top w:val="nil"/>
              <w:left w:val="nil"/>
              <w:bottom w:val="nil"/>
              <w:right w:val="nil"/>
            </w:tcBorders>
            <w:shd w:val="clear" w:color="auto" w:fill="auto"/>
            <w:noWrap/>
            <w:vAlign w:val="bottom"/>
            <w:hideMark/>
          </w:tcPr>
          <w:p w:rsidR="001C0E5A" w:rsidRPr="00DB2665" w:rsidRDefault="001C0E5A" w:rsidP="001C0E5A">
            <w:pPr>
              <w:jc w:val="right"/>
              <w:rPr>
                <w:rFonts w:ascii="Times New Roman CE" w:hAnsi="Times New Roman CE" w:cs="Times New Roman CE"/>
                <w:sz w:val="22"/>
                <w:szCs w:val="22"/>
              </w:rPr>
            </w:pPr>
            <w:r w:rsidRPr="00DB2665">
              <w:rPr>
                <w:rFonts w:ascii="Times New Roman CE" w:hAnsi="Times New Roman CE" w:cs="Times New Roman CE"/>
                <w:sz w:val="22"/>
                <w:szCs w:val="22"/>
              </w:rPr>
              <w:t>132,2%</w:t>
            </w:r>
          </w:p>
        </w:tc>
      </w:tr>
      <w:tr w:rsidR="001C0E5A" w:rsidRPr="00DB2665" w:rsidTr="001C0E5A">
        <w:trPr>
          <w:gridAfter w:val="1"/>
          <w:wAfter w:w="142" w:type="dxa"/>
          <w:trHeight w:val="315"/>
        </w:trPr>
        <w:tc>
          <w:tcPr>
            <w:tcW w:w="4253" w:type="dxa"/>
            <w:tcBorders>
              <w:top w:val="nil"/>
              <w:left w:val="nil"/>
              <w:bottom w:val="nil"/>
              <w:right w:val="nil"/>
            </w:tcBorders>
            <w:shd w:val="clear" w:color="auto" w:fill="auto"/>
            <w:noWrap/>
            <w:vAlign w:val="bottom"/>
            <w:hideMark/>
          </w:tcPr>
          <w:p w:rsidR="001C0E5A" w:rsidRPr="00DB2665" w:rsidRDefault="001C0E5A" w:rsidP="001C0E5A">
            <w:pPr>
              <w:jc w:val="left"/>
              <w:rPr>
                <w:rFonts w:ascii="Times New Roman CE" w:hAnsi="Times New Roman CE" w:cs="Times New Roman CE"/>
                <w:i/>
                <w:iCs/>
                <w:sz w:val="22"/>
                <w:szCs w:val="22"/>
              </w:rPr>
            </w:pPr>
            <w:r w:rsidRPr="00DB2665">
              <w:rPr>
                <w:rFonts w:ascii="Times New Roman CE" w:hAnsi="Times New Roman CE" w:cs="Times New Roman CE"/>
                <w:i/>
                <w:iCs/>
                <w:sz w:val="22"/>
                <w:szCs w:val="22"/>
              </w:rPr>
              <w:t>Megbízásba adott eszközfenntartás</w:t>
            </w:r>
          </w:p>
        </w:tc>
        <w:tc>
          <w:tcPr>
            <w:tcW w:w="1097" w:type="dxa"/>
            <w:gridSpan w:val="2"/>
            <w:tcBorders>
              <w:top w:val="nil"/>
              <w:left w:val="nil"/>
              <w:bottom w:val="nil"/>
              <w:right w:val="nil"/>
            </w:tcBorders>
            <w:shd w:val="clear" w:color="auto" w:fill="auto"/>
            <w:noWrap/>
            <w:vAlign w:val="bottom"/>
            <w:hideMark/>
          </w:tcPr>
          <w:p w:rsidR="001C0E5A" w:rsidRPr="00DB2665" w:rsidRDefault="001C0E5A" w:rsidP="001C0E5A">
            <w:pPr>
              <w:jc w:val="right"/>
              <w:rPr>
                <w:rFonts w:ascii="Times New Roman CE" w:hAnsi="Times New Roman CE" w:cs="Times New Roman CE"/>
                <w:i/>
                <w:iCs/>
                <w:sz w:val="22"/>
                <w:szCs w:val="22"/>
              </w:rPr>
            </w:pPr>
            <w:r w:rsidRPr="00DB2665">
              <w:rPr>
                <w:rFonts w:ascii="Times New Roman CE" w:hAnsi="Times New Roman CE" w:cs="Times New Roman CE"/>
                <w:i/>
                <w:iCs/>
                <w:sz w:val="22"/>
                <w:szCs w:val="22"/>
              </w:rPr>
              <w:t>181 387</w:t>
            </w:r>
          </w:p>
        </w:tc>
        <w:tc>
          <w:tcPr>
            <w:tcW w:w="1097" w:type="dxa"/>
            <w:gridSpan w:val="2"/>
            <w:tcBorders>
              <w:top w:val="nil"/>
              <w:left w:val="nil"/>
              <w:bottom w:val="nil"/>
              <w:right w:val="nil"/>
            </w:tcBorders>
            <w:shd w:val="clear" w:color="auto" w:fill="auto"/>
            <w:noWrap/>
            <w:vAlign w:val="bottom"/>
            <w:hideMark/>
          </w:tcPr>
          <w:p w:rsidR="001C0E5A" w:rsidRPr="00DB2665" w:rsidRDefault="001C0E5A" w:rsidP="001C0E5A">
            <w:pPr>
              <w:jc w:val="right"/>
              <w:rPr>
                <w:rFonts w:ascii="Times New Roman CE" w:hAnsi="Times New Roman CE" w:cs="Times New Roman CE"/>
                <w:i/>
                <w:iCs/>
                <w:sz w:val="22"/>
                <w:szCs w:val="22"/>
              </w:rPr>
            </w:pPr>
            <w:r w:rsidRPr="00DB2665">
              <w:rPr>
                <w:rFonts w:ascii="Times New Roman CE" w:hAnsi="Times New Roman CE" w:cs="Times New Roman CE"/>
                <w:i/>
                <w:iCs/>
                <w:sz w:val="22"/>
                <w:szCs w:val="22"/>
              </w:rPr>
              <w:t>151 146</w:t>
            </w:r>
          </w:p>
        </w:tc>
        <w:tc>
          <w:tcPr>
            <w:tcW w:w="1117" w:type="dxa"/>
            <w:gridSpan w:val="2"/>
            <w:tcBorders>
              <w:top w:val="nil"/>
              <w:left w:val="nil"/>
              <w:bottom w:val="nil"/>
              <w:right w:val="nil"/>
            </w:tcBorders>
            <w:shd w:val="clear" w:color="auto" w:fill="auto"/>
            <w:noWrap/>
            <w:vAlign w:val="bottom"/>
            <w:hideMark/>
          </w:tcPr>
          <w:p w:rsidR="001C0E5A" w:rsidRPr="00DB2665" w:rsidRDefault="001C0E5A" w:rsidP="001C0E5A">
            <w:pPr>
              <w:jc w:val="right"/>
              <w:rPr>
                <w:rFonts w:ascii="Times New Roman CE" w:hAnsi="Times New Roman CE" w:cs="Times New Roman CE"/>
                <w:i/>
                <w:iCs/>
                <w:sz w:val="22"/>
                <w:szCs w:val="22"/>
              </w:rPr>
            </w:pPr>
            <w:r w:rsidRPr="00DB2665">
              <w:rPr>
                <w:rFonts w:ascii="Times New Roman CE" w:hAnsi="Times New Roman CE" w:cs="Times New Roman CE"/>
                <w:i/>
                <w:iCs/>
                <w:sz w:val="22"/>
                <w:szCs w:val="22"/>
              </w:rPr>
              <w:t>180 190</w:t>
            </w:r>
          </w:p>
        </w:tc>
        <w:tc>
          <w:tcPr>
            <w:tcW w:w="976" w:type="dxa"/>
            <w:gridSpan w:val="2"/>
            <w:tcBorders>
              <w:top w:val="nil"/>
              <w:left w:val="nil"/>
              <w:bottom w:val="nil"/>
              <w:right w:val="nil"/>
            </w:tcBorders>
            <w:shd w:val="clear" w:color="auto" w:fill="auto"/>
            <w:noWrap/>
            <w:vAlign w:val="bottom"/>
            <w:hideMark/>
          </w:tcPr>
          <w:p w:rsidR="001C0E5A" w:rsidRPr="00DB2665" w:rsidRDefault="001C0E5A" w:rsidP="001C0E5A">
            <w:pPr>
              <w:jc w:val="right"/>
              <w:rPr>
                <w:rFonts w:ascii="Times New Roman CE" w:hAnsi="Times New Roman CE" w:cs="Times New Roman CE"/>
                <w:i/>
                <w:iCs/>
                <w:sz w:val="22"/>
                <w:szCs w:val="22"/>
              </w:rPr>
            </w:pPr>
            <w:r w:rsidRPr="00DB2665">
              <w:rPr>
                <w:rFonts w:ascii="Times New Roman CE" w:hAnsi="Times New Roman CE" w:cs="Times New Roman CE"/>
                <w:i/>
                <w:iCs/>
                <w:sz w:val="22"/>
                <w:szCs w:val="22"/>
              </w:rPr>
              <w:t>99,3%</w:t>
            </w:r>
          </w:p>
        </w:tc>
        <w:tc>
          <w:tcPr>
            <w:tcW w:w="956" w:type="dxa"/>
            <w:gridSpan w:val="2"/>
            <w:tcBorders>
              <w:top w:val="nil"/>
              <w:left w:val="nil"/>
              <w:bottom w:val="nil"/>
              <w:right w:val="nil"/>
            </w:tcBorders>
            <w:shd w:val="clear" w:color="auto" w:fill="auto"/>
            <w:noWrap/>
            <w:vAlign w:val="bottom"/>
            <w:hideMark/>
          </w:tcPr>
          <w:p w:rsidR="001C0E5A" w:rsidRPr="00DB2665" w:rsidRDefault="001C0E5A" w:rsidP="001C0E5A">
            <w:pPr>
              <w:jc w:val="right"/>
              <w:rPr>
                <w:rFonts w:ascii="Times New Roman CE" w:hAnsi="Times New Roman CE" w:cs="Times New Roman CE"/>
                <w:i/>
                <w:iCs/>
                <w:sz w:val="22"/>
                <w:szCs w:val="22"/>
              </w:rPr>
            </w:pPr>
            <w:r w:rsidRPr="00DB2665">
              <w:rPr>
                <w:rFonts w:ascii="Times New Roman CE" w:hAnsi="Times New Roman CE" w:cs="Times New Roman CE"/>
                <w:i/>
                <w:iCs/>
                <w:sz w:val="22"/>
                <w:szCs w:val="22"/>
              </w:rPr>
              <w:t>119,2%</w:t>
            </w:r>
          </w:p>
        </w:tc>
      </w:tr>
      <w:tr w:rsidR="001C0E5A" w:rsidRPr="00DB2665" w:rsidTr="001C0E5A">
        <w:trPr>
          <w:gridAfter w:val="1"/>
          <w:wAfter w:w="142" w:type="dxa"/>
          <w:trHeight w:val="315"/>
        </w:trPr>
        <w:tc>
          <w:tcPr>
            <w:tcW w:w="4253" w:type="dxa"/>
            <w:tcBorders>
              <w:top w:val="nil"/>
              <w:left w:val="nil"/>
              <w:bottom w:val="nil"/>
              <w:right w:val="nil"/>
            </w:tcBorders>
            <w:shd w:val="clear" w:color="auto" w:fill="auto"/>
            <w:noWrap/>
            <w:vAlign w:val="bottom"/>
            <w:hideMark/>
          </w:tcPr>
          <w:p w:rsidR="001C0E5A" w:rsidRPr="00DB2665" w:rsidRDefault="001C0E5A" w:rsidP="001C0E5A">
            <w:pPr>
              <w:jc w:val="left"/>
              <w:rPr>
                <w:rFonts w:ascii="Times New Roman CE" w:hAnsi="Times New Roman CE" w:cs="Times New Roman CE"/>
                <w:sz w:val="22"/>
                <w:szCs w:val="22"/>
              </w:rPr>
            </w:pPr>
            <w:r w:rsidRPr="00DB2665">
              <w:rPr>
                <w:rFonts w:ascii="Times New Roman CE" w:hAnsi="Times New Roman CE" w:cs="Times New Roman CE"/>
                <w:sz w:val="22"/>
                <w:szCs w:val="22"/>
              </w:rPr>
              <w:t>ebből: Üzemvitel megrendelése</w:t>
            </w:r>
          </w:p>
        </w:tc>
        <w:tc>
          <w:tcPr>
            <w:tcW w:w="1097" w:type="dxa"/>
            <w:gridSpan w:val="2"/>
            <w:tcBorders>
              <w:top w:val="nil"/>
              <w:left w:val="nil"/>
              <w:bottom w:val="nil"/>
              <w:right w:val="nil"/>
            </w:tcBorders>
            <w:shd w:val="clear" w:color="auto" w:fill="auto"/>
            <w:noWrap/>
            <w:vAlign w:val="bottom"/>
            <w:hideMark/>
          </w:tcPr>
          <w:p w:rsidR="001C0E5A" w:rsidRPr="00DB2665" w:rsidRDefault="001C0E5A" w:rsidP="001C0E5A">
            <w:pPr>
              <w:jc w:val="right"/>
              <w:rPr>
                <w:rFonts w:ascii="Times New Roman CE" w:hAnsi="Times New Roman CE" w:cs="Times New Roman CE"/>
                <w:sz w:val="22"/>
                <w:szCs w:val="22"/>
              </w:rPr>
            </w:pPr>
            <w:r w:rsidRPr="00DB2665">
              <w:rPr>
                <w:rFonts w:ascii="Times New Roman CE" w:hAnsi="Times New Roman CE" w:cs="Times New Roman CE"/>
                <w:sz w:val="22"/>
                <w:szCs w:val="22"/>
              </w:rPr>
              <w:t>24 105</w:t>
            </w:r>
          </w:p>
        </w:tc>
        <w:tc>
          <w:tcPr>
            <w:tcW w:w="1097" w:type="dxa"/>
            <w:gridSpan w:val="2"/>
            <w:tcBorders>
              <w:top w:val="nil"/>
              <w:left w:val="nil"/>
              <w:bottom w:val="nil"/>
              <w:right w:val="nil"/>
            </w:tcBorders>
            <w:shd w:val="clear" w:color="auto" w:fill="auto"/>
            <w:noWrap/>
            <w:vAlign w:val="bottom"/>
            <w:hideMark/>
          </w:tcPr>
          <w:p w:rsidR="001C0E5A" w:rsidRPr="00DB2665" w:rsidRDefault="001C0E5A" w:rsidP="001C0E5A">
            <w:pPr>
              <w:jc w:val="right"/>
              <w:rPr>
                <w:rFonts w:ascii="Times New Roman CE" w:hAnsi="Times New Roman CE" w:cs="Times New Roman CE"/>
                <w:sz w:val="22"/>
                <w:szCs w:val="22"/>
              </w:rPr>
            </w:pPr>
            <w:r w:rsidRPr="00DB2665">
              <w:rPr>
                <w:rFonts w:ascii="Times New Roman CE" w:hAnsi="Times New Roman CE" w:cs="Times New Roman CE"/>
                <w:sz w:val="22"/>
                <w:szCs w:val="22"/>
              </w:rPr>
              <w:t>22 522</w:t>
            </w:r>
          </w:p>
        </w:tc>
        <w:tc>
          <w:tcPr>
            <w:tcW w:w="1117" w:type="dxa"/>
            <w:gridSpan w:val="2"/>
            <w:tcBorders>
              <w:top w:val="nil"/>
              <w:left w:val="nil"/>
              <w:bottom w:val="nil"/>
              <w:right w:val="nil"/>
            </w:tcBorders>
            <w:shd w:val="clear" w:color="auto" w:fill="auto"/>
            <w:noWrap/>
            <w:vAlign w:val="bottom"/>
            <w:hideMark/>
          </w:tcPr>
          <w:p w:rsidR="001C0E5A" w:rsidRPr="00DB2665" w:rsidRDefault="001C0E5A" w:rsidP="001C0E5A">
            <w:pPr>
              <w:jc w:val="right"/>
              <w:rPr>
                <w:rFonts w:ascii="Times New Roman CE" w:hAnsi="Times New Roman CE" w:cs="Times New Roman CE"/>
                <w:sz w:val="22"/>
                <w:szCs w:val="22"/>
              </w:rPr>
            </w:pPr>
            <w:r w:rsidRPr="00DB2665">
              <w:rPr>
                <w:rFonts w:ascii="Times New Roman CE" w:hAnsi="Times New Roman CE" w:cs="Times New Roman CE"/>
                <w:sz w:val="22"/>
                <w:szCs w:val="22"/>
              </w:rPr>
              <w:t>21 749</w:t>
            </w:r>
          </w:p>
        </w:tc>
        <w:tc>
          <w:tcPr>
            <w:tcW w:w="976" w:type="dxa"/>
            <w:gridSpan w:val="2"/>
            <w:tcBorders>
              <w:top w:val="nil"/>
              <w:left w:val="nil"/>
              <w:bottom w:val="nil"/>
              <w:right w:val="nil"/>
            </w:tcBorders>
            <w:shd w:val="clear" w:color="auto" w:fill="auto"/>
            <w:noWrap/>
            <w:vAlign w:val="bottom"/>
            <w:hideMark/>
          </w:tcPr>
          <w:p w:rsidR="001C0E5A" w:rsidRPr="00DB2665" w:rsidRDefault="001C0E5A" w:rsidP="001C0E5A">
            <w:pPr>
              <w:jc w:val="right"/>
              <w:rPr>
                <w:rFonts w:ascii="Times New Roman CE" w:hAnsi="Times New Roman CE" w:cs="Times New Roman CE"/>
                <w:sz w:val="22"/>
                <w:szCs w:val="22"/>
              </w:rPr>
            </w:pPr>
            <w:r w:rsidRPr="00DB2665">
              <w:rPr>
                <w:rFonts w:ascii="Times New Roman CE" w:hAnsi="Times New Roman CE" w:cs="Times New Roman CE"/>
                <w:sz w:val="22"/>
                <w:szCs w:val="22"/>
              </w:rPr>
              <w:t>90,2%</w:t>
            </w:r>
          </w:p>
        </w:tc>
        <w:tc>
          <w:tcPr>
            <w:tcW w:w="956" w:type="dxa"/>
            <w:gridSpan w:val="2"/>
            <w:tcBorders>
              <w:top w:val="nil"/>
              <w:left w:val="nil"/>
              <w:bottom w:val="nil"/>
              <w:right w:val="nil"/>
            </w:tcBorders>
            <w:shd w:val="clear" w:color="auto" w:fill="auto"/>
            <w:noWrap/>
            <w:vAlign w:val="bottom"/>
            <w:hideMark/>
          </w:tcPr>
          <w:p w:rsidR="001C0E5A" w:rsidRPr="00DB2665" w:rsidRDefault="001C0E5A" w:rsidP="001C0E5A">
            <w:pPr>
              <w:jc w:val="right"/>
              <w:rPr>
                <w:rFonts w:ascii="Times New Roman CE" w:hAnsi="Times New Roman CE" w:cs="Times New Roman CE"/>
                <w:sz w:val="22"/>
                <w:szCs w:val="22"/>
              </w:rPr>
            </w:pPr>
            <w:r w:rsidRPr="00DB2665">
              <w:rPr>
                <w:rFonts w:ascii="Times New Roman CE" w:hAnsi="Times New Roman CE" w:cs="Times New Roman CE"/>
                <w:sz w:val="22"/>
                <w:szCs w:val="22"/>
              </w:rPr>
              <w:t>96,6%</w:t>
            </w:r>
          </w:p>
        </w:tc>
      </w:tr>
      <w:tr w:rsidR="001C0E5A" w:rsidRPr="00DB2665" w:rsidTr="001C0E5A">
        <w:trPr>
          <w:gridAfter w:val="1"/>
          <w:wAfter w:w="142" w:type="dxa"/>
          <w:trHeight w:val="285"/>
        </w:trPr>
        <w:tc>
          <w:tcPr>
            <w:tcW w:w="4253" w:type="dxa"/>
            <w:tcBorders>
              <w:top w:val="nil"/>
              <w:left w:val="nil"/>
              <w:bottom w:val="nil"/>
              <w:right w:val="nil"/>
            </w:tcBorders>
            <w:shd w:val="clear" w:color="auto" w:fill="auto"/>
            <w:noWrap/>
            <w:vAlign w:val="bottom"/>
            <w:hideMark/>
          </w:tcPr>
          <w:p w:rsidR="001C0E5A" w:rsidRPr="00DB2665" w:rsidRDefault="001C0E5A" w:rsidP="001C0E5A">
            <w:pPr>
              <w:jc w:val="left"/>
              <w:rPr>
                <w:rFonts w:ascii="Times New Roman CE" w:hAnsi="Times New Roman CE" w:cs="Times New Roman CE"/>
                <w:sz w:val="22"/>
                <w:szCs w:val="22"/>
              </w:rPr>
            </w:pPr>
            <w:r w:rsidRPr="00DB2665">
              <w:rPr>
                <w:rFonts w:ascii="Times New Roman CE" w:hAnsi="Times New Roman CE" w:cs="Times New Roman CE"/>
                <w:sz w:val="22"/>
                <w:szCs w:val="22"/>
              </w:rPr>
              <w:t xml:space="preserve">         </w:t>
            </w:r>
            <w:r w:rsidR="00B23E44" w:rsidRPr="00DB2665">
              <w:rPr>
                <w:rFonts w:ascii="Times New Roman CE" w:hAnsi="Times New Roman CE" w:cs="Times New Roman CE"/>
                <w:sz w:val="22"/>
                <w:szCs w:val="22"/>
              </w:rPr>
              <w:t xml:space="preserve">  </w:t>
            </w:r>
            <w:r w:rsidRPr="00DB2665">
              <w:rPr>
                <w:rFonts w:ascii="Times New Roman CE" w:hAnsi="Times New Roman CE" w:cs="Times New Roman CE"/>
                <w:sz w:val="22"/>
                <w:szCs w:val="22"/>
              </w:rPr>
              <w:t xml:space="preserve">Uszoda és Termálfürdő </w:t>
            </w:r>
          </w:p>
        </w:tc>
        <w:tc>
          <w:tcPr>
            <w:tcW w:w="1097" w:type="dxa"/>
            <w:gridSpan w:val="2"/>
            <w:tcBorders>
              <w:top w:val="nil"/>
              <w:left w:val="nil"/>
              <w:bottom w:val="nil"/>
              <w:right w:val="nil"/>
            </w:tcBorders>
            <w:shd w:val="clear" w:color="auto" w:fill="auto"/>
            <w:noWrap/>
            <w:vAlign w:val="bottom"/>
            <w:hideMark/>
          </w:tcPr>
          <w:p w:rsidR="001C0E5A" w:rsidRPr="00DB2665" w:rsidRDefault="001C0E5A" w:rsidP="001C0E5A">
            <w:pPr>
              <w:jc w:val="right"/>
              <w:rPr>
                <w:rFonts w:ascii="Times New Roman CE" w:hAnsi="Times New Roman CE" w:cs="Times New Roman CE"/>
                <w:sz w:val="22"/>
                <w:szCs w:val="22"/>
              </w:rPr>
            </w:pPr>
            <w:r w:rsidRPr="00DB2665">
              <w:rPr>
                <w:rFonts w:ascii="Times New Roman CE" w:hAnsi="Times New Roman CE" w:cs="Times New Roman CE"/>
                <w:sz w:val="22"/>
                <w:szCs w:val="22"/>
              </w:rPr>
              <w:t>6 940</w:t>
            </w:r>
          </w:p>
        </w:tc>
        <w:tc>
          <w:tcPr>
            <w:tcW w:w="1097" w:type="dxa"/>
            <w:gridSpan w:val="2"/>
            <w:tcBorders>
              <w:top w:val="nil"/>
              <w:left w:val="nil"/>
              <w:bottom w:val="nil"/>
              <w:right w:val="nil"/>
            </w:tcBorders>
            <w:shd w:val="clear" w:color="auto" w:fill="auto"/>
            <w:noWrap/>
            <w:vAlign w:val="bottom"/>
            <w:hideMark/>
          </w:tcPr>
          <w:p w:rsidR="001C0E5A" w:rsidRPr="00DB2665" w:rsidRDefault="001C0E5A" w:rsidP="001C0E5A">
            <w:pPr>
              <w:jc w:val="right"/>
              <w:rPr>
                <w:rFonts w:ascii="Times New Roman CE" w:hAnsi="Times New Roman CE" w:cs="Times New Roman CE"/>
                <w:sz w:val="22"/>
                <w:szCs w:val="22"/>
              </w:rPr>
            </w:pPr>
            <w:r w:rsidRPr="00DB2665">
              <w:rPr>
                <w:rFonts w:ascii="Times New Roman CE" w:hAnsi="Times New Roman CE" w:cs="Times New Roman CE"/>
                <w:sz w:val="22"/>
                <w:szCs w:val="22"/>
              </w:rPr>
              <w:t>6 039</w:t>
            </w:r>
          </w:p>
        </w:tc>
        <w:tc>
          <w:tcPr>
            <w:tcW w:w="1117" w:type="dxa"/>
            <w:gridSpan w:val="2"/>
            <w:tcBorders>
              <w:top w:val="nil"/>
              <w:left w:val="nil"/>
              <w:bottom w:val="nil"/>
              <w:right w:val="nil"/>
            </w:tcBorders>
            <w:shd w:val="clear" w:color="auto" w:fill="auto"/>
            <w:noWrap/>
            <w:vAlign w:val="bottom"/>
            <w:hideMark/>
          </w:tcPr>
          <w:p w:rsidR="001C0E5A" w:rsidRPr="00DB2665" w:rsidRDefault="001C0E5A" w:rsidP="001C0E5A">
            <w:pPr>
              <w:jc w:val="right"/>
              <w:rPr>
                <w:rFonts w:ascii="Times New Roman CE" w:hAnsi="Times New Roman CE" w:cs="Times New Roman CE"/>
                <w:sz w:val="22"/>
                <w:szCs w:val="22"/>
              </w:rPr>
            </w:pPr>
            <w:r w:rsidRPr="00DB2665">
              <w:rPr>
                <w:rFonts w:ascii="Times New Roman CE" w:hAnsi="Times New Roman CE" w:cs="Times New Roman CE"/>
                <w:sz w:val="22"/>
                <w:szCs w:val="22"/>
              </w:rPr>
              <w:t>4 008</w:t>
            </w:r>
          </w:p>
        </w:tc>
        <w:tc>
          <w:tcPr>
            <w:tcW w:w="976" w:type="dxa"/>
            <w:gridSpan w:val="2"/>
            <w:tcBorders>
              <w:top w:val="nil"/>
              <w:left w:val="nil"/>
              <w:bottom w:val="nil"/>
              <w:right w:val="nil"/>
            </w:tcBorders>
            <w:shd w:val="clear" w:color="auto" w:fill="auto"/>
            <w:noWrap/>
            <w:vAlign w:val="bottom"/>
            <w:hideMark/>
          </w:tcPr>
          <w:p w:rsidR="001C0E5A" w:rsidRPr="00DB2665" w:rsidRDefault="001C0E5A" w:rsidP="001C0E5A">
            <w:pPr>
              <w:jc w:val="right"/>
              <w:rPr>
                <w:rFonts w:ascii="Times New Roman CE" w:hAnsi="Times New Roman CE" w:cs="Times New Roman CE"/>
                <w:sz w:val="22"/>
                <w:szCs w:val="22"/>
              </w:rPr>
            </w:pPr>
            <w:r w:rsidRPr="00DB2665">
              <w:rPr>
                <w:rFonts w:ascii="Times New Roman CE" w:hAnsi="Times New Roman CE" w:cs="Times New Roman CE"/>
                <w:sz w:val="22"/>
                <w:szCs w:val="22"/>
              </w:rPr>
              <w:t>57,8%</w:t>
            </w:r>
          </w:p>
        </w:tc>
        <w:tc>
          <w:tcPr>
            <w:tcW w:w="956" w:type="dxa"/>
            <w:gridSpan w:val="2"/>
            <w:tcBorders>
              <w:top w:val="nil"/>
              <w:left w:val="nil"/>
              <w:bottom w:val="nil"/>
              <w:right w:val="nil"/>
            </w:tcBorders>
            <w:shd w:val="clear" w:color="auto" w:fill="auto"/>
            <w:noWrap/>
            <w:vAlign w:val="bottom"/>
            <w:hideMark/>
          </w:tcPr>
          <w:p w:rsidR="001C0E5A" w:rsidRPr="00DB2665" w:rsidRDefault="001C0E5A" w:rsidP="001C0E5A">
            <w:pPr>
              <w:jc w:val="right"/>
              <w:rPr>
                <w:rFonts w:ascii="Times New Roman CE" w:hAnsi="Times New Roman CE" w:cs="Times New Roman CE"/>
                <w:sz w:val="22"/>
                <w:szCs w:val="22"/>
              </w:rPr>
            </w:pPr>
            <w:r w:rsidRPr="00DB2665">
              <w:rPr>
                <w:rFonts w:ascii="Times New Roman CE" w:hAnsi="Times New Roman CE" w:cs="Times New Roman CE"/>
                <w:sz w:val="22"/>
                <w:szCs w:val="22"/>
              </w:rPr>
              <w:t>66,4%</w:t>
            </w:r>
          </w:p>
        </w:tc>
      </w:tr>
      <w:tr w:rsidR="001C0E5A" w:rsidRPr="00DB2665" w:rsidTr="001C0E5A">
        <w:trPr>
          <w:gridAfter w:val="1"/>
          <w:wAfter w:w="142" w:type="dxa"/>
          <w:trHeight w:val="285"/>
        </w:trPr>
        <w:tc>
          <w:tcPr>
            <w:tcW w:w="4253" w:type="dxa"/>
            <w:tcBorders>
              <w:top w:val="nil"/>
              <w:left w:val="nil"/>
              <w:bottom w:val="nil"/>
              <w:right w:val="nil"/>
            </w:tcBorders>
            <w:shd w:val="clear" w:color="auto" w:fill="auto"/>
            <w:noWrap/>
            <w:vAlign w:val="bottom"/>
            <w:hideMark/>
          </w:tcPr>
          <w:p w:rsidR="001C0E5A" w:rsidRPr="00DB2665" w:rsidRDefault="001C0E5A" w:rsidP="001C0E5A">
            <w:pPr>
              <w:jc w:val="left"/>
              <w:rPr>
                <w:rFonts w:ascii="Times New Roman CE" w:hAnsi="Times New Roman CE" w:cs="Times New Roman CE"/>
                <w:sz w:val="22"/>
                <w:szCs w:val="22"/>
              </w:rPr>
            </w:pPr>
            <w:r w:rsidRPr="00DB2665">
              <w:rPr>
                <w:rFonts w:ascii="Times New Roman CE" w:hAnsi="Times New Roman CE" w:cs="Times New Roman CE"/>
                <w:sz w:val="22"/>
                <w:szCs w:val="22"/>
              </w:rPr>
              <w:t xml:space="preserve">         </w:t>
            </w:r>
            <w:r w:rsidR="00B23E44" w:rsidRPr="00DB2665">
              <w:rPr>
                <w:rFonts w:ascii="Times New Roman CE" w:hAnsi="Times New Roman CE" w:cs="Times New Roman CE"/>
                <w:sz w:val="22"/>
                <w:szCs w:val="22"/>
              </w:rPr>
              <w:t xml:space="preserve">  </w:t>
            </w:r>
            <w:r w:rsidRPr="00DB2665">
              <w:rPr>
                <w:rFonts w:ascii="Times New Roman CE" w:hAnsi="Times New Roman CE" w:cs="Times New Roman CE"/>
                <w:sz w:val="22"/>
                <w:szCs w:val="22"/>
              </w:rPr>
              <w:t>Gépjárművek, munkagépek</w:t>
            </w:r>
          </w:p>
        </w:tc>
        <w:tc>
          <w:tcPr>
            <w:tcW w:w="1097" w:type="dxa"/>
            <w:gridSpan w:val="2"/>
            <w:tcBorders>
              <w:top w:val="nil"/>
              <w:left w:val="nil"/>
              <w:bottom w:val="nil"/>
              <w:right w:val="nil"/>
            </w:tcBorders>
            <w:shd w:val="clear" w:color="auto" w:fill="auto"/>
            <w:noWrap/>
            <w:vAlign w:val="bottom"/>
            <w:hideMark/>
          </w:tcPr>
          <w:p w:rsidR="001C0E5A" w:rsidRPr="00DB2665" w:rsidRDefault="001C0E5A" w:rsidP="001C0E5A">
            <w:pPr>
              <w:jc w:val="right"/>
              <w:rPr>
                <w:rFonts w:ascii="Times New Roman CE" w:hAnsi="Times New Roman CE" w:cs="Times New Roman CE"/>
                <w:sz w:val="22"/>
                <w:szCs w:val="22"/>
              </w:rPr>
            </w:pPr>
            <w:r w:rsidRPr="00DB2665">
              <w:rPr>
                <w:rFonts w:ascii="Times New Roman CE" w:hAnsi="Times New Roman CE" w:cs="Times New Roman CE"/>
                <w:sz w:val="22"/>
                <w:szCs w:val="22"/>
              </w:rPr>
              <w:t>56 570</w:t>
            </w:r>
          </w:p>
        </w:tc>
        <w:tc>
          <w:tcPr>
            <w:tcW w:w="1097" w:type="dxa"/>
            <w:gridSpan w:val="2"/>
            <w:tcBorders>
              <w:top w:val="nil"/>
              <w:left w:val="nil"/>
              <w:bottom w:val="nil"/>
              <w:right w:val="nil"/>
            </w:tcBorders>
            <w:shd w:val="clear" w:color="auto" w:fill="auto"/>
            <w:noWrap/>
            <w:vAlign w:val="bottom"/>
            <w:hideMark/>
          </w:tcPr>
          <w:p w:rsidR="001C0E5A" w:rsidRPr="00DB2665" w:rsidRDefault="001C0E5A" w:rsidP="001C0E5A">
            <w:pPr>
              <w:jc w:val="right"/>
              <w:rPr>
                <w:rFonts w:ascii="Times New Roman CE" w:hAnsi="Times New Roman CE" w:cs="Times New Roman CE"/>
                <w:sz w:val="22"/>
                <w:szCs w:val="22"/>
              </w:rPr>
            </w:pPr>
            <w:r w:rsidRPr="00DB2665">
              <w:rPr>
                <w:rFonts w:ascii="Times New Roman CE" w:hAnsi="Times New Roman CE" w:cs="Times New Roman CE"/>
                <w:sz w:val="22"/>
                <w:szCs w:val="22"/>
              </w:rPr>
              <w:t>40 000</w:t>
            </w:r>
          </w:p>
        </w:tc>
        <w:tc>
          <w:tcPr>
            <w:tcW w:w="1117" w:type="dxa"/>
            <w:gridSpan w:val="2"/>
            <w:tcBorders>
              <w:top w:val="nil"/>
              <w:left w:val="nil"/>
              <w:bottom w:val="nil"/>
              <w:right w:val="nil"/>
            </w:tcBorders>
            <w:shd w:val="clear" w:color="auto" w:fill="auto"/>
            <w:noWrap/>
            <w:vAlign w:val="bottom"/>
            <w:hideMark/>
          </w:tcPr>
          <w:p w:rsidR="001C0E5A" w:rsidRPr="00DB2665" w:rsidRDefault="001C0E5A" w:rsidP="001C0E5A">
            <w:pPr>
              <w:jc w:val="right"/>
              <w:rPr>
                <w:rFonts w:ascii="Times New Roman CE" w:hAnsi="Times New Roman CE" w:cs="Times New Roman CE"/>
                <w:sz w:val="22"/>
                <w:szCs w:val="22"/>
              </w:rPr>
            </w:pPr>
            <w:r w:rsidRPr="00DB2665">
              <w:rPr>
                <w:rFonts w:ascii="Times New Roman CE" w:hAnsi="Times New Roman CE" w:cs="Times New Roman CE"/>
                <w:sz w:val="22"/>
                <w:szCs w:val="22"/>
              </w:rPr>
              <w:t>62 265</w:t>
            </w:r>
          </w:p>
        </w:tc>
        <w:tc>
          <w:tcPr>
            <w:tcW w:w="976" w:type="dxa"/>
            <w:gridSpan w:val="2"/>
            <w:tcBorders>
              <w:top w:val="nil"/>
              <w:left w:val="nil"/>
              <w:bottom w:val="nil"/>
              <w:right w:val="nil"/>
            </w:tcBorders>
            <w:shd w:val="clear" w:color="auto" w:fill="auto"/>
            <w:noWrap/>
            <w:vAlign w:val="bottom"/>
            <w:hideMark/>
          </w:tcPr>
          <w:p w:rsidR="001C0E5A" w:rsidRPr="00DB2665" w:rsidRDefault="001C0E5A" w:rsidP="001C0E5A">
            <w:pPr>
              <w:jc w:val="right"/>
              <w:rPr>
                <w:rFonts w:ascii="Times New Roman CE" w:hAnsi="Times New Roman CE" w:cs="Times New Roman CE"/>
                <w:sz w:val="22"/>
                <w:szCs w:val="22"/>
              </w:rPr>
            </w:pPr>
            <w:r w:rsidRPr="00DB2665">
              <w:rPr>
                <w:rFonts w:ascii="Times New Roman CE" w:hAnsi="Times New Roman CE" w:cs="Times New Roman CE"/>
                <w:sz w:val="22"/>
                <w:szCs w:val="22"/>
              </w:rPr>
              <w:t>110,1%</w:t>
            </w:r>
          </w:p>
        </w:tc>
        <w:tc>
          <w:tcPr>
            <w:tcW w:w="956" w:type="dxa"/>
            <w:gridSpan w:val="2"/>
            <w:tcBorders>
              <w:top w:val="nil"/>
              <w:left w:val="nil"/>
              <w:bottom w:val="nil"/>
              <w:right w:val="nil"/>
            </w:tcBorders>
            <w:shd w:val="clear" w:color="auto" w:fill="auto"/>
            <w:noWrap/>
            <w:vAlign w:val="bottom"/>
            <w:hideMark/>
          </w:tcPr>
          <w:p w:rsidR="001C0E5A" w:rsidRPr="00DB2665" w:rsidRDefault="001C0E5A" w:rsidP="001C0E5A">
            <w:pPr>
              <w:jc w:val="right"/>
              <w:rPr>
                <w:rFonts w:ascii="Times New Roman CE" w:hAnsi="Times New Roman CE" w:cs="Times New Roman CE"/>
                <w:sz w:val="22"/>
                <w:szCs w:val="22"/>
              </w:rPr>
            </w:pPr>
            <w:r w:rsidRPr="00DB2665">
              <w:rPr>
                <w:rFonts w:ascii="Times New Roman CE" w:hAnsi="Times New Roman CE" w:cs="Times New Roman CE"/>
                <w:sz w:val="22"/>
                <w:szCs w:val="22"/>
              </w:rPr>
              <w:t>155,7%</w:t>
            </w:r>
          </w:p>
        </w:tc>
      </w:tr>
      <w:tr w:rsidR="001C0E5A" w:rsidRPr="00DB2665" w:rsidTr="001C0E5A">
        <w:trPr>
          <w:gridAfter w:val="1"/>
          <w:wAfter w:w="142" w:type="dxa"/>
          <w:trHeight w:val="285"/>
        </w:trPr>
        <w:tc>
          <w:tcPr>
            <w:tcW w:w="4253" w:type="dxa"/>
            <w:tcBorders>
              <w:top w:val="nil"/>
              <w:left w:val="nil"/>
              <w:bottom w:val="nil"/>
              <w:right w:val="nil"/>
            </w:tcBorders>
            <w:shd w:val="clear" w:color="auto" w:fill="auto"/>
            <w:noWrap/>
            <w:vAlign w:val="bottom"/>
            <w:hideMark/>
          </w:tcPr>
          <w:p w:rsidR="001C0E5A" w:rsidRPr="00DB2665" w:rsidRDefault="001C0E5A" w:rsidP="001C0E5A">
            <w:pPr>
              <w:jc w:val="left"/>
              <w:rPr>
                <w:rFonts w:ascii="Times New Roman CE" w:hAnsi="Times New Roman CE" w:cs="Times New Roman CE"/>
                <w:sz w:val="22"/>
                <w:szCs w:val="22"/>
              </w:rPr>
            </w:pPr>
            <w:r w:rsidRPr="00DB2665">
              <w:rPr>
                <w:rFonts w:ascii="Times New Roman CE" w:hAnsi="Times New Roman CE" w:cs="Times New Roman CE"/>
                <w:sz w:val="22"/>
                <w:szCs w:val="22"/>
              </w:rPr>
              <w:t xml:space="preserve">         </w:t>
            </w:r>
            <w:r w:rsidR="00B23E44" w:rsidRPr="00DB2665">
              <w:rPr>
                <w:rFonts w:ascii="Times New Roman CE" w:hAnsi="Times New Roman CE" w:cs="Times New Roman CE"/>
                <w:sz w:val="22"/>
                <w:szCs w:val="22"/>
              </w:rPr>
              <w:t xml:space="preserve">  </w:t>
            </w:r>
            <w:r w:rsidRPr="00DB2665">
              <w:rPr>
                <w:rFonts w:ascii="Times New Roman CE" w:hAnsi="Times New Roman CE" w:cs="Times New Roman CE"/>
                <w:sz w:val="22"/>
                <w:szCs w:val="22"/>
              </w:rPr>
              <w:t>Informatika, labor, raktár</w:t>
            </w:r>
          </w:p>
        </w:tc>
        <w:tc>
          <w:tcPr>
            <w:tcW w:w="1097" w:type="dxa"/>
            <w:gridSpan w:val="2"/>
            <w:tcBorders>
              <w:top w:val="nil"/>
              <w:left w:val="nil"/>
              <w:bottom w:val="nil"/>
              <w:right w:val="nil"/>
            </w:tcBorders>
            <w:shd w:val="clear" w:color="auto" w:fill="auto"/>
            <w:noWrap/>
            <w:vAlign w:val="bottom"/>
            <w:hideMark/>
          </w:tcPr>
          <w:p w:rsidR="001C0E5A" w:rsidRPr="00DB2665" w:rsidRDefault="001C0E5A" w:rsidP="001C0E5A">
            <w:pPr>
              <w:jc w:val="right"/>
              <w:rPr>
                <w:rFonts w:ascii="Times New Roman CE" w:hAnsi="Times New Roman CE" w:cs="Times New Roman CE"/>
                <w:sz w:val="22"/>
                <w:szCs w:val="22"/>
              </w:rPr>
            </w:pPr>
            <w:r w:rsidRPr="00DB2665">
              <w:rPr>
                <w:rFonts w:ascii="Times New Roman CE" w:hAnsi="Times New Roman CE" w:cs="Times New Roman CE"/>
                <w:sz w:val="22"/>
                <w:szCs w:val="22"/>
              </w:rPr>
              <w:t>8 987</w:t>
            </w:r>
          </w:p>
        </w:tc>
        <w:tc>
          <w:tcPr>
            <w:tcW w:w="1097" w:type="dxa"/>
            <w:gridSpan w:val="2"/>
            <w:tcBorders>
              <w:top w:val="nil"/>
              <w:left w:val="nil"/>
              <w:bottom w:val="nil"/>
              <w:right w:val="nil"/>
            </w:tcBorders>
            <w:shd w:val="clear" w:color="auto" w:fill="auto"/>
            <w:noWrap/>
            <w:vAlign w:val="bottom"/>
            <w:hideMark/>
          </w:tcPr>
          <w:p w:rsidR="001C0E5A" w:rsidRPr="00DB2665" w:rsidRDefault="001C0E5A" w:rsidP="001C0E5A">
            <w:pPr>
              <w:jc w:val="right"/>
              <w:rPr>
                <w:rFonts w:ascii="Times New Roman CE" w:hAnsi="Times New Roman CE" w:cs="Times New Roman CE"/>
                <w:sz w:val="22"/>
                <w:szCs w:val="22"/>
              </w:rPr>
            </w:pPr>
            <w:r w:rsidRPr="00DB2665">
              <w:rPr>
                <w:rFonts w:ascii="Times New Roman CE" w:hAnsi="Times New Roman CE" w:cs="Times New Roman CE"/>
                <w:sz w:val="22"/>
                <w:szCs w:val="22"/>
              </w:rPr>
              <w:t>8 085</w:t>
            </w:r>
          </w:p>
        </w:tc>
        <w:tc>
          <w:tcPr>
            <w:tcW w:w="1117" w:type="dxa"/>
            <w:gridSpan w:val="2"/>
            <w:tcBorders>
              <w:top w:val="nil"/>
              <w:left w:val="nil"/>
              <w:bottom w:val="nil"/>
              <w:right w:val="nil"/>
            </w:tcBorders>
            <w:shd w:val="clear" w:color="auto" w:fill="auto"/>
            <w:noWrap/>
            <w:vAlign w:val="bottom"/>
            <w:hideMark/>
          </w:tcPr>
          <w:p w:rsidR="001C0E5A" w:rsidRPr="00DB2665" w:rsidRDefault="001C0E5A" w:rsidP="001C0E5A">
            <w:pPr>
              <w:jc w:val="right"/>
              <w:rPr>
                <w:rFonts w:ascii="Times New Roman CE" w:hAnsi="Times New Roman CE" w:cs="Times New Roman CE"/>
                <w:sz w:val="22"/>
                <w:szCs w:val="22"/>
              </w:rPr>
            </w:pPr>
            <w:r w:rsidRPr="00DB2665">
              <w:rPr>
                <w:rFonts w:ascii="Times New Roman CE" w:hAnsi="Times New Roman CE" w:cs="Times New Roman CE"/>
                <w:sz w:val="22"/>
                <w:szCs w:val="22"/>
              </w:rPr>
              <w:t>9 405</w:t>
            </w:r>
          </w:p>
        </w:tc>
        <w:tc>
          <w:tcPr>
            <w:tcW w:w="976" w:type="dxa"/>
            <w:gridSpan w:val="2"/>
            <w:tcBorders>
              <w:top w:val="nil"/>
              <w:left w:val="nil"/>
              <w:bottom w:val="nil"/>
              <w:right w:val="nil"/>
            </w:tcBorders>
            <w:shd w:val="clear" w:color="auto" w:fill="auto"/>
            <w:noWrap/>
            <w:vAlign w:val="bottom"/>
            <w:hideMark/>
          </w:tcPr>
          <w:p w:rsidR="001C0E5A" w:rsidRPr="00DB2665" w:rsidRDefault="001C0E5A" w:rsidP="001C0E5A">
            <w:pPr>
              <w:jc w:val="right"/>
              <w:rPr>
                <w:rFonts w:ascii="Times New Roman CE" w:hAnsi="Times New Roman CE" w:cs="Times New Roman CE"/>
                <w:sz w:val="22"/>
                <w:szCs w:val="22"/>
              </w:rPr>
            </w:pPr>
            <w:r w:rsidRPr="00DB2665">
              <w:rPr>
                <w:rFonts w:ascii="Times New Roman CE" w:hAnsi="Times New Roman CE" w:cs="Times New Roman CE"/>
                <w:sz w:val="22"/>
                <w:szCs w:val="22"/>
              </w:rPr>
              <w:t>104,7%</w:t>
            </w:r>
          </w:p>
        </w:tc>
        <w:tc>
          <w:tcPr>
            <w:tcW w:w="956" w:type="dxa"/>
            <w:gridSpan w:val="2"/>
            <w:tcBorders>
              <w:top w:val="nil"/>
              <w:left w:val="nil"/>
              <w:bottom w:val="nil"/>
              <w:right w:val="nil"/>
            </w:tcBorders>
            <w:shd w:val="clear" w:color="auto" w:fill="auto"/>
            <w:noWrap/>
            <w:vAlign w:val="bottom"/>
            <w:hideMark/>
          </w:tcPr>
          <w:p w:rsidR="001C0E5A" w:rsidRPr="00DB2665" w:rsidRDefault="001C0E5A" w:rsidP="001C0E5A">
            <w:pPr>
              <w:jc w:val="right"/>
              <w:rPr>
                <w:rFonts w:ascii="Times New Roman CE" w:hAnsi="Times New Roman CE" w:cs="Times New Roman CE"/>
                <w:sz w:val="22"/>
                <w:szCs w:val="22"/>
              </w:rPr>
            </w:pPr>
            <w:r w:rsidRPr="00DB2665">
              <w:rPr>
                <w:rFonts w:ascii="Times New Roman CE" w:hAnsi="Times New Roman CE" w:cs="Times New Roman CE"/>
                <w:sz w:val="22"/>
                <w:szCs w:val="22"/>
              </w:rPr>
              <w:t>116,3%</w:t>
            </w:r>
          </w:p>
        </w:tc>
      </w:tr>
      <w:tr w:rsidR="001C0E5A" w:rsidRPr="00DB2665" w:rsidTr="00CA36D0">
        <w:trPr>
          <w:gridAfter w:val="1"/>
          <w:wAfter w:w="142" w:type="dxa"/>
          <w:trHeight w:val="285"/>
        </w:trPr>
        <w:tc>
          <w:tcPr>
            <w:tcW w:w="4253" w:type="dxa"/>
            <w:tcBorders>
              <w:top w:val="nil"/>
              <w:left w:val="nil"/>
              <w:bottom w:val="single" w:sz="4" w:space="0" w:color="auto"/>
              <w:right w:val="nil"/>
            </w:tcBorders>
            <w:shd w:val="clear" w:color="auto" w:fill="auto"/>
            <w:noWrap/>
            <w:vAlign w:val="bottom"/>
            <w:hideMark/>
          </w:tcPr>
          <w:p w:rsidR="001C0E5A" w:rsidRPr="00DB2665" w:rsidRDefault="001C0E5A" w:rsidP="001C0E5A">
            <w:pPr>
              <w:jc w:val="left"/>
              <w:rPr>
                <w:rFonts w:ascii="Times New Roman CE" w:hAnsi="Times New Roman CE" w:cs="Times New Roman CE"/>
                <w:sz w:val="22"/>
                <w:szCs w:val="22"/>
              </w:rPr>
            </w:pPr>
            <w:r w:rsidRPr="00DB2665">
              <w:rPr>
                <w:rFonts w:ascii="Times New Roman CE" w:hAnsi="Times New Roman CE" w:cs="Times New Roman CE"/>
                <w:sz w:val="22"/>
                <w:szCs w:val="22"/>
              </w:rPr>
              <w:t xml:space="preserve">         </w:t>
            </w:r>
            <w:r w:rsidR="00B23E44" w:rsidRPr="00DB2665">
              <w:rPr>
                <w:rFonts w:ascii="Times New Roman CE" w:hAnsi="Times New Roman CE" w:cs="Times New Roman CE"/>
                <w:sz w:val="22"/>
                <w:szCs w:val="22"/>
              </w:rPr>
              <w:t xml:space="preserve">  </w:t>
            </w:r>
            <w:r w:rsidRPr="00DB2665">
              <w:rPr>
                <w:rFonts w:ascii="Times New Roman CE" w:hAnsi="Times New Roman CE" w:cs="Times New Roman CE"/>
                <w:sz w:val="22"/>
                <w:szCs w:val="22"/>
              </w:rPr>
              <w:t>Közmű műtárgyak</w:t>
            </w:r>
          </w:p>
        </w:tc>
        <w:tc>
          <w:tcPr>
            <w:tcW w:w="1097" w:type="dxa"/>
            <w:gridSpan w:val="2"/>
            <w:tcBorders>
              <w:top w:val="nil"/>
              <w:left w:val="nil"/>
              <w:bottom w:val="nil"/>
              <w:right w:val="nil"/>
            </w:tcBorders>
            <w:shd w:val="clear" w:color="auto" w:fill="auto"/>
            <w:noWrap/>
            <w:vAlign w:val="bottom"/>
            <w:hideMark/>
          </w:tcPr>
          <w:p w:rsidR="001C0E5A" w:rsidRPr="00DB2665" w:rsidRDefault="001C0E5A" w:rsidP="001C0E5A">
            <w:pPr>
              <w:jc w:val="right"/>
              <w:rPr>
                <w:rFonts w:ascii="Times New Roman CE" w:hAnsi="Times New Roman CE" w:cs="Times New Roman CE"/>
                <w:sz w:val="22"/>
                <w:szCs w:val="22"/>
              </w:rPr>
            </w:pPr>
            <w:r w:rsidRPr="00DB2665">
              <w:rPr>
                <w:rFonts w:ascii="Times New Roman CE" w:hAnsi="Times New Roman CE" w:cs="Times New Roman CE"/>
                <w:sz w:val="22"/>
                <w:szCs w:val="22"/>
              </w:rPr>
              <w:t>84 785</w:t>
            </w:r>
          </w:p>
        </w:tc>
        <w:tc>
          <w:tcPr>
            <w:tcW w:w="1097" w:type="dxa"/>
            <w:gridSpan w:val="2"/>
            <w:tcBorders>
              <w:top w:val="nil"/>
              <w:left w:val="nil"/>
              <w:bottom w:val="nil"/>
              <w:right w:val="nil"/>
            </w:tcBorders>
            <w:shd w:val="clear" w:color="auto" w:fill="auto"/>
            <w:noWrap/>
            <w:vAlign w:val="bottom"/>
            <w:hideMark/>
          </w:tcPr>
          <w:p w:rsidR="001C0E5A" w:rsidRPr="00DB2665" w:rsidRDefault="001C0E5A" w:rsidP="001C0E5A">
            <w:pPr>
              <w:jc w:val="right"/>
              <w:rPr>
                <w:rFonts w:ascii="Times New Roman CE" w:hAnsi="Times New Roman CE" w:cs="Times New Roman CE"/>
                <w:sz w:val="22"/>
                <w:szCs w:val="22"/>
              </w:rPr>
            </w:pPr>
            <w:r w:rsidRPr="00DB2665">
              <w:rPr>
                <w:rFonts w:ascii="Times New Roman CE" w:hAnsi="Times New Roman CE" w:cs="Times New Roman CE"/>
                <w:sz w:val="22"/>
                <w:szCs w:val="22"/>
              </w:rPr>
              <w:t>74 500</w:t>
            </w:r>
          </w:p>
        </w:tc>
        <w:tc>
          <w:tcPr>
            <w:tcW w:w="1117" w:type="dxa"/>
            <w:gridSpan w:val="2"/>
            <w:tcBorders>
              <w:top w:val="nil"/>
              <w:left w:val="nil"/>
              <w:bottom w:val="nil"/>
              <w:right w:val="nil"/>
            </w:tcBorders>
            <w:shd w:val="clear" w:color="auto" w:fill="auto"/>
            <w:noWrap/>
            <w:vAlign w:val="bottom"/>
            <w:hideMark/>
          </w:tcPr>
          <w:p w:rsidR="001C0E5A" w:rsidRPr="00DB2665" w:rsidRDefault="001C0E5A" w:rsidP="001C0E5A">
            <w:pPr>
              <w:jc w:val="right"/>
              <w:rPr>
                <w:rFonts w:ascii="Times New Roman CE" w:hAnsi="Times New Roman CE" w:cs="Times New Roman CE"/>
                <w:sz w:val="22"/>
                <w:szCs w:val="22"/>
              </w:rPr>
            </w:pPr>
            <w:r w:rsidRPr="00DB2665">
              <w:rPr>
                <w:rFonts w:ascii="Times New Roman CE" w:hAnsi="Times New Roman CE" w:cs="Times New Roman CE"/>
                <w:sz w:val="22"/>
                <w:szCs w:val="22"/>
              </w:rPr>
              <w:t>82 763</w:t>
            </w:r>
          </w:p>
        </w:tc>
        <w:tc>
          <w:tcPr>
            <w:tcW w:w="976" w:type="dxa"/>
            <w:gridSpan w:val="2"/>
            <w:tcBorders>
              <w:top w:val="nil"/>
              <w:left w:val="nil"/>
              <w:bottom w:val="nil"/>
              <w:right w:val="nil"/>
            </w:tcBorders>
            <w:shd w:val="clear" w:color="auto" w:fill="auto"/>
            <w:noWrap/>
            <w:vAlign w:val="bottom"/>
            <w:hideMark/>
          </w:tcPr>
          <w:p w:rsidR="001C0E5A" w:rsidRPr="00DB2665" w:rsidRDefault="001C0E5A" w:rsidP="001C0E5A">
            <w:pPr>
              <w:jc w:val="right"/>
              <w:rPr>
                <w:rFonts w:ascii="Times New Roman CE" w:hAnsi="Times New Roman CE" w:cs="Times New Roman CE"/>
                <w:sz w:val="22"/>
                <w:szCs w:val="22"/>
              </w:rPr>
            </w:pPr>
            <w:r w:rsidRPr="00DB2665">
              <w:rPr>
                <w:rFonts w:ascii="Times New Roman CE" w:hAnsi="Times New Roman CE" w:cs="Times New Roman CE"/>
                <w:sz w:val="22"/>
                <w:szCs w:val="22"/>
              </w:rPr>
              <w:t>97,6%</w:t>
            </w:r>
          </w:p>
        </w:tc>
        <w:tc>
          <w:tcPr>
            <w:tcW w:w="956" w:type="dxa"/>
            <w:gridSpan w:val="2"/>
            <w:tcBorders>
              <w:top w:val="nil"/>
              <w:left w:val="nil"/>
              <w:bottom w:val="nil"/>
              <w:right w:val="nil"/>
            </w:tcBorders>
            <w:shd w:val="clear" w:color="auto" w:fill="auto"/>
            <w:noWrap/>
            <w:vAlign w:val="bottom"/>
            <w:hideMark/>
          </w:tcPr>
          <w:p w:rsidR="001C0E5A" w:rsidRPr="00DB2665" w:rsidRDefault="001C0E5A" w:rsidP="001C0E5A">
            <w:pPr>
              <w:jc w:val="right"/>
              <w:rPr>
                <w:rFonts w:ascii="Times New Roman CE" w:hAnsi="Times New Roman CE" w:cs="Times New Roman CE"/>
                <w:sz w:val="22"/>
                <w:szCs w:val="22"/>
              </w:rPr>
            </w:pPr>
            <w:r w:rsidRPr="00DB2665">
              <w:rPr>
                <w:rFonts w:ascii="Times New Roman CE" w:hAnsi="Times New Roman CE" w:cs="Times New Roman CE"/>
                <w:sz w:val="22"/>
                <w:szCs w:val="22"/>
              </w:rPr>
              <w:t>111,1%</w:t>
            </w:r>
          </w:p>
        </w:tc>
      </w:tr>
      <w:tr w:rsidR="001C0E5A" w:rsidRPr="00DB2665" w:rsidTr="00CA36D0">
        <w:trPr>
          <w:gridAfter w:val="1"/>
          <w:wAfter w:w="142" w:type="dxa"/>
          <w:trHeight w:val="315"/>
        </w:trPr>
        <w:tc>
          <w:tcPr>
            <w:tcW w:w="4253" w:type="dxa"/>
            <w:tcBorders>
              <w:top w:val="single" w:sz="4" w:space="0" w:color="auto"/>
              <w:bottom w:val="nil"/>
              <w:right w:val="nil"/>
            </w:tcBorders>
            <w:shd w:val="clear" w:color="auto" w:fill="auto"/>
            <w:noWrap/>
            <w:vAlign w:val="bottom"/>
            <w:hideMark/>
          </w:tcPr>
          <w:p w:rsidR="001C0E5A" w:rsidRPr="00DB2665" w:rsidRDefault="001C0E5A" w:rsidP="001C0E5A">
            <w:pPr>
              <w:jc w:val="left"/>
              <w:rPr>
                <w:rFonts w:ascii="Times New Roman CE" w:hAnsi="Times New Roman CE" w:cs="Times New Roman CE"/>
                <w:i/>
                <w:iCs/>
                <w:sz w:val="22"/>
                <w:szCs w:val="22"/>
              </w:rPr>
            </w:pPr>
            <w:r w:rsidRPr="00DB2665">
              <w:rPr>
                <w:rFonts w:ascii="Times New Roman CE" w:hAnsi="Times New Roman CE" w:cs="Times New Roman CE"/>
                <w:i/>
                <w:iCs/>
                <w:sz w:val="22"/>
                <w:szCs w:val="22"/>
              </w:rPr>
              <w:t>Eszközfenntartás összesen</w:t>
            </w:r>
          </w:p>
        </w:tc>
        <w:tc>
          <w:tcPr>
            <w:tcW w:w="1097" w:type="dxa"/>
            <w:gridSpan w:val="2"/>
            <w:tcBorders>
              <w:top w:val="single" w:sz="4" w:space="0" w:color="auto"/>
              <w:left w:val="nil"/>
              <w:bottom w:val="nil"/>
              <w:right w:val="nil"/>
            </w:tcBorders>
            <w:shd w:val="clear" w:color="auto" w:fill="auto"/>
            <w:noWrap/>
            <w:vAlign w:val="bottom"/>
            <w:hideMark/>
          </w:tcPr>
          <w:p w:rsidR="001C0E5A" w:rsidRPr="00DB2665" w:rsidRDefault="001C0E5A" w:rsidP="001C0E5A">
            <w:pPr>
              <w:jc w:val="right"/>
              <w:rPr>
                <w:rFonts w:ascii="Times New Roman CE" w:hAnsi="Times New Roman CE" w:cs="Times New Roman CE"/>
                <w:i/>
                <w:iCs/>
                <w:sz w:val="22"/>
                <w:szCs w:val="22"/>
              </w:rPr>
            </w:pPr>
            <w:r w:rsidRPr="00DB2665">
              <w:rPr>
                <w:rFonts w:ascii="Times New Roman CE" w:hAnsi="Times New Roman CE" w:cs="Times New Roman CE"/>
                <w:i/>
                <w:iCs/>
                <w:sz w:val="22"/>
                <w:szCs w:val="22"/>
              </w:rPr>
              <w:t>1 092 260</w:t>
            </w:r>
          </w:p>
        </w:tc>
        <w:tc>
          <w:tcPr>
            <w:tcW w:w="1097" w:type="dxa"/>
            <w:gridSpan w:val="2"/>
            <w:tcBorders>
              <w:top w:val="single" w:sz="4" w:space="0" w:color="auto"/>
              <w:left w:val="nil"/>
              <w:bottom w:val="nil"/>
              <w:right w:val="nil"/>
            </w:tcBorders>
            <w:shd w:val="clear" w:color="auto" w:fill="auto"/>
            <w:noWrap/>
            <w:vAlign w:val="bottom"/>
            <w:hideMark/>
          </w:tcPr>
          <w:p w:rsidR="001C0E5A" w:rsidRPr="00DB2665" w:rsidRDefault="001C0E5A" w:rsidP="001C0E5A">
            <w:pPr>
              <w:jc w:val="right"/>
              <w:rPr>
                <w:rFonts w:ascii="Times New Roman CE" w:hAnsi="Times New Roman CE" w:cs="Times New Roman CE"/>
                <w:i/>
                <w:iCs/>
                <w:sz w:val="22"/>
                <w:szCs w:val="22"/>
              </w:rPr>
            </w:pPr>
            <w:r w:rsidRPr="00DB2665">
              <w:rPr>
                <w:rFonts w:ascii="Times New Roman CE" w:hAnsi="Times New Roman CE" w:cs="Times New Roman CE"/>
                <w:i/>
                <w:iCs/>
                <w:sz w:val="22"/>
                <w:szCs w:val="22"/>
              </w:rPr>
              <w:t>1 212 551</w:t>
            </w:r>
          </w:p>
        </w:tc>
        <w:tc>
          <w:tcPr>
            <w:tcW w:w="1117" w:type="dxa"/>
            <w:gridSpan w:val="2"/>
            <w:tcBorders>
              <w:top w:val="single" w:sz="4" w:space="0" w:color="auto"/>
              <w:left w:val="nil"/>
              <w:bottom w:val="nil"/>
              <w:right w:val="nil"/>
            </w:tcBorders>
            <w:shd w:val="clear" w:color="auto" w:fill="auto"/>
            <w:noWrap/>
            <w:vAlign w:val="bottom"/>
            <w:hideMark/>
          </w:tcPr>
          <w:p w:rsidR="001C0E5A" w:rsidRPr="00DB2665" w:rsidRDefault="001C0E5A" w:rsidP="001C0E5A">
            <w:pPr>
              <w:jc w:val="right"/>
              <w:rPr>
                <w:rFonts w:ascii="Times New Roman CE" w:hAnsi="Times New Roman CE" w:cs="Times New Roman CE"/>
                <w:i/>
                <w:iCs/>
                <w:sz w:val="22"/>
                <w:szCs w:val="22"/>
              </w:rPr>
            </w:pPr>
            <w:r w:rsidRPr="00DB2665">
              <w:rPr>
                <w:rFonts w:ascii="Times New Roman CE" w:hAnsi="Times New Roman CE" w:cs="Times New Roman CE"/>
                <w:i/>
                <w:iCs/>
                <w:sz w:val="22"/>
                <w:szCs w:val="22"/>
              </w:rPr>
              <w:t>1 092 453</w:t>
            </w:r>
          </w:p>
        </w:tc>
        <w:tc>
          <w:tcPr>
            <w:tcW w:w="976" w:type="dxa"/>
            <w:gridSpan w:val="2"/>
            <w:tcBorders>
              <w:top w:val="single" w:sz="4" w:space="0" w:color="auto"/>
              <w:left w:val="nil"/>
              <w:bottom w:val="nil"/>
              <w:right w:val="nil"/>
            </w:tcBorders>
            <w:shd w:val="clear" w:color="auto" w:fill="auto"/>
            <w:noWrap/>
            <w:vAlign w:val="bottom"/>
            <w:hideMark/>
          </w:tcPr>
          <w:p w:rsidR="001C0E5A" w:rsidRPr="00DB2665" w:rsidRDefault="001C0E5A" w:rsidP="001C0E5A">
            <w:pPr>
              <w:jc w:val="right"/>
              <w:rPr>
                <w:rFonts w:ascii="Times New Roman CE" w:hAnsi="Times New Roman CE" w:cs="Times New Roman CE"/>
                <w:i/>
                <w:iCs/>
                <w:sz w:val="22"/>
                <w:szCs w:val="22"/>
              </w:rPr>
            </w:pPr>
            <w:r w:rsidRPr="00DB2665">
              <w:rPr>
                <w:rFonts w:ascii="Times New Roman CE" w:hAnsi="Times New Roman CE" w:cs="Times New Roman CE"/>
                <w:i/>
                <w:iCs/>
                <w:sz w:val="22"/>
                <w:szCs w:val="22"/>
              </w:rPr>
              <w:t>100,0%</w:t>
            </w:r>
          </w:p>
        </w:tc>
        <w:tc>
          <w:tcPr>
            <w:tcW w:w="956" w:type="dxa"/>
            <w:gridSpan w:val="2"/>
            <w:tcBorders>
              <w:top w:val="single" w:sz="4" w:space="0" w:color="auto"/>
              <w:left w:val="nil"/>
              <w:bottom w:val="nil"/>
              <w:right w:val="nil"/>
            </w:tcBorders>
            <w:shd w:val="clear" w:color="auto" w:fill="auto"/>
            <w:noWrap/>
            <w:vAlign w:val="bottom"/>
            <w:hideMark/>
          </w:tcPr>
          <w:p w:rsidR="001C0E5A" w:rsidRPr="00DB2665" w:rsidRDefault="001C0E5A" w:rsidP="001C0E5A">
            <w:pPr>
              <w:jc w:val="right"/>
              <w:rPr>
                <w:rFonts w:ascii="Times New Roman CE" w:hAnsi="Times New Roman CE" w:cs="Times New Roman CE"/>
                <w:i/>
                <w:iCs/>
                <w:sz w:val="22"/>
                <w:szCs w:val="22"/>
              </w:rPr>
            </w:pPr>
            <w:r w:rsidRPr="00DB2665">
              <w:rPr>
                <w:rFonts w:ascii="Times New Roman CE" w:hAnsi="Times New Roman CE" w:cs="Times New Roman CE"/>
                <w:i/>
                <w:iCs/>
                <w:sz w:val="22"/>
                <w:szCs w:val="22"/>
              </w:rPr>
              <w:t>90,1%</w:t>
            </w:r>
          </w:p>
        </w:tc>
      </w:tr>
    </w:tbl>
    <w:p w:rsidR="001C0E5A" w:rsidRPr="00DB2665" w:rsidRDefault="001C0E5A" w:rsidP="0076232E">
      <w:pPr>
        <w:ind w:right="176"/>
        <w:jc w:val="left"/>
        <w:rPr>
          <w:i/>
          <w:iCs/>
          <w:szCs w:val="24"/>
        </w:rPr>
      </w:pPr>
    </w:p>
    <w:p w:rsidR="0076232E" w:rsidRPr="00F96E45" w:rsidRDefault="0076232E" w:rsidP="00002A28">
      <w:pPr>
        <w:ind w:right="176"/>
        <w:rPr>
          <w:szCs w:val="24"/>
        </w:rPr>
      </w:pPr>
      <w:r w:rsidRPr="00F96E45">
        <w:rPr>
          <w:i/>
          <w:iCs/>
          <w:szCs w:val="24"/>
        </w:rPr>
        <w:t>A 202</w:t>
      </w:r>
      <w:r w:rsidR="008D126A" w:rsidRPr="00F96E45">
        <w:rPr>
          <w:i/>
          <w:iCs/>
          <w:szCs w:val="24"/>
        </w:rPr>
        <w:t>2</w:t>
      </w:r>
      <w:r w:rsidRPr="00F96E45">
        <w:rPr>
          <w:i/>
          <w:iCs/>
          <w:szCs w:val="24"/>
        </w:rPr>
        <w:t>. évi saját kivitelezésű eszközfenntartás</w:t>
      </w:r>
      <w:r w:rsidRPr="00F96E45">
        <w:rPr>
          <w:szCs w:val="24"/>
        </w:rPr>
        <w:t xml:space="preserve"> </w:t>
      </w:r>
      <w:r w:rsidR="008D126A" w:rsidRPr="00F96E45">
        <w:rPr>
          <w:szCs w:val="24"/>
        </w:rPr>
        <w:t>0,2</w:t>
      </w:r>
      <w:r w:rsidRPr="00F96E45">
        <w:rPr>
          <w:szCs w:val="24"/>
        </w:rPr>
        <w:t xml:space="preserve"> %-kal, </w:t>
      </w:r>
      <w:r w:rsidR="008D126A" w:rsidRPr="00F96E45">
        <w:rPr>
          <w:szCs w:val="24"/>
        </w:rPr>
        <w:t>1,4</w:t>
      </w:r>
      <w:r w:rsidRPr="00F96E45">
        <w:rPr>
          <w:szCs w:val="24"/>
        </w:rPr>
        <w:t xml:space="preserve"> mFt-tal </w:t>
      </w:r>
      <w:r w:rsidR="008D126A" w:rsidRPr="00F96E45">
        <w:rPr>
          <w:szCs w:val="24"/>
        </w:rPr>
        <w:t>magasabb</w:t>
      </w:r>
      <w:r w:rsidRPr="00F96E45">
        <w:rPr>
          <w:szCs w:val="24"/>
        </w:rPr>
        <w:t xml:space="preserve">, a </w:t>
      </w:r>
      <w:r w:rsidRPr="00F96E45">
        <w:rPr>
          <w:i/>
          <w:szCs w:val="24"/>
        </w:rPr>
        <w:t>megbízásba adott munkák értéke</w:t>
      </w:r>
      <w:r w:rsidRPr="00F96E45">
        <w:rPr>
          <w:szCs w:val="24"/>
        </w:rPr>
        <w:t xml:space="preserve"> </w:t>
      </w:r>
      <w:r w:rsidR="008D126A" w:rsidRPr="00F96E45">
        <w:rPr>
          <w:szCs w:val="24"/>
        </w:rPr>
        <w:t>0,7</w:t>
      </w:r>
      <w:r w:rsidRPr="00F96E45">
        <w:rPr>
          <w:szCs w:val="24"/>
        </w:rPr>
        <w:t xml:space="preserve"> %-kal,</w:t>
      </w:r>
      <w:r w:rsidR="008D126A" w:rsidRPr="00F96E45">
        <w:rPr>
          <w:szCs w:val="24"/>
        </w:rPr>
        <w:t xml:space="preserve"> 1,2</w:t>
      </w:r>
      <w:r w:rsidRPr="00F96E45">
        <w:rPr>
          <w:szCs w:val="24"/>
        </w:rPr>
        <w:t xml:space="preserve"> mFt-tal alacsonyabb a bázis időszakhoz képest.</w:t>
      </w:r>
    </w:p>
    <w:p w:rsidR="0076232E" w:rsidRPr="00F96E45" w:rsidRDefault="0076232E" w:rsidP="00002A28">
      <w:pPr>
        <w:ind w:right="176"/>
        <w:rPr>
          <w:szCs w:val="24"/>
        </w:rPr>
      </w:pPr>
      <w:r w:rsidRPr="00F96E45">
        <w:rPr>
          <w:i/>
          <w:szCs w:val="24"/>
        </w:rPr>
        <w:t>A saját kivitelezésben végzett eszközfenntartás</w:t>
      </w:r>
      <w:r w:rsidRPr="00F96E45">
        <w:rPr>
          <w:szCs w:val="24"/>
        </w:rPr>
        <w:t xml:space="preserve"> </w:t>
      </w:r>
      <w:r w:rsidR="00E938AF" w:rsidRPr="00F96E45">
        <w:rPr>
          <w:szCs w:val="24"/>
        </w:rPr>
        <w:t>149</w:t>
      </w:r>
      <w:r w:rsidRPr="00F96E45">
        <w:rPr>
          <w:szCs w:val="24"/>
        </w:rPr>
        <w:t xml:space="preserve"> mFt-tal, </w:t>
      </w:r>
      <w:r w:rsidR="00E938AF" w:rsidRPr="00F96E45">
        <w:rPr>
          <w:szCs w:val="24"/>
        </w:rPr>
        <w:t>14,1</w:t>
      </w:r>
      <w:r w:rsidRPr="00F96E45">
        <w:rPr>
          <w:szCs w:val="24"/>
        </w:rPr>
        <w:t xml:space="preserve"> %-kal alacsonyabb a tervezettnél.</w:t>
      </w:r>
    </w:p>
    <w:p w:rsidR="00267D93" w:rsidRPr="00F96E45" w:rsidRDefault="00DF64D5" w:rsidP="00002A28">
      <w:pPr>
        <w:autoSpaceDE w:val="0"/>
        <w:autoSpaceDN w:val="0"/>
        <w:adjustRightInd w:val="0"/>
        <w:ind w:right="176"/>
        <w:rPr>
          <w:szCs w:val="24"/>
        </w:rPr>
      </w:pPr>
      <w:r w:rsidRPr="00F96E45">
        <w:rPr>
          <w:szCs w:val="24"/>
        </w:rPr>
        <w:t>Ezen belül a</w:t>
      </w:r>
      <w:r w:rsidR="0076232E" w:rsidRPr="00F96E45">
        <w:rPr>
          <w:szCs w:val="24"/>
        </w:rPr>
        <w:t xml:space="preserve">z üzemmérnökségek saját kivitelezésben végzett eszközfenntartása </w:t>
      </w:r>
      <w:r w:rsidRPr="00F96E45">
        <w:rPr>
          <w:szCs w:val="24"/>
        </w:rPr>
        <w:t xml:space="preserve">a folyamatos megszorítások miatt </w:t>
      </w:r>
      <w:r w:rsidR="00E938AF" w:rsidRPr="00F96E45">
        <w:rPr>
          <w:szCs w:val="24"/>
        </w:rPr>
        <w:t>17,9 %-kal, 162</w:t>
      </w:r>
      <w:r w:rsidR="0076232E" w:rsidRPr="00F96E45">
        <w:rPr>
          <w:szCs w:val="24"/>
        </w:rPr>
        <w:t xml:space="preserve"> mFt-tal </w:t>
      </w:r>
      <w:r w:rsidRPr="00F96E45">
        <w:rPr>
          <w:szCs w:val="24"/>
        </w:rPr>
        <w:t xml:space="preserve">alacsonyabb </w:t>
      </w:r>
      <w:r w:rsidR="00267D93" w:rsidRPr="00F96E45">
        <w:rPr>
          <w:szCs w:val="24"/>
        </w:rPr>
        <w:t>a tervezett</w:t>
      </w:r>
      <w:r w:rsidRPr="00F96E45">
        <w:rPr>
          <w:szCs w:val="24"/>
        </w:rPr>
        <w:t>nél</w:t>
      </w:r>
      <w:r w:rsidR="00267D93" w:rsidRPr="00F96E45">
        <w:rPr>
          <w:szCs w:val="24"/>
        </w:rPr>
        <w:t>.</w:t>
      </w:r>
      <w:r w:rsidR="0076232E" w:rsidRPr="00F96E45">
        <w:rPr>
          <w:szCs w:val="24"/>
        </w:rPr>
        <w:t xml:space="preserve"> </w:t>
      </w:r>
      <w:r w:rsidR="00267D93" w:rsidRPr="00F96E45">
        <w:rPr>
          <w:szCs w:val="24"/>
        </w:rPr>
        <w:t>Az ivóvíz szolgáltatás</w:t>
      </w:r>
      <w:r w:rsidRPr="00F96E45">
        <w:rPr>
          <w:szCs w:val="24"/>
        </w:rPr>
        <w:t xml:space="preserve"> területén 22,5 %, 134 mFt, a szennyvízelvezetés és –tisztítás területén 9 %, 28 mFt az elmaradás a tervhez képest.</w:t>
      </w:r>
    </w:p>
    <w:p w:rsidR="0076232E" w:rsidRPr="00F96E45" w:rsidRDefault="00DF64D5" w:rsidP="00002A28">
      <w:pPr>
        <w:ind w:right="176"/>
        <w:rPr>
          <w:szCs w:val="24"/>
        </w:rPr>
      </w:pPr>
      <w:r w:rsidRPr="00F96E45">
        <w:rPr>
          <w:szCs w:val="24"/>
        </w:rPr>
        <w:t>A</w:t>
      </w:r>
      <w:r w:rsidR="00E938AF" w:rsidRPr="00F96E45">
        <w:rPr>
          <w:szCs w:val="24"/>
        </w:rPr>
        <w:t>z Üzemvitel által végzett</w:t>
      </w:r>
      <w:r w:rsidR="003D57A5" w:rsidRPr="00F96E45">
        <w:rPr>
          <w:szCs w:val="24"/>
        </w:rPr>
        <w:t xml:space="preserve"> </w:t>
      </w:r>
      <w:r w:rsidR="00903CCE" w:rsidRPr="00F96E45">
        <w:rPr>
          <w:szCs w:val="24"/>
        </w:rPr>
        <w:t xml:space="preserve">központi </w:t>
      </w:r>
      <w:r w:rsidR="00E938AF" w:rsidRPr="00F96E45">
        <w:rPr>
          <w:szCs w:val="24"/>
        </w:rPr>
        <w:t xml:space="preserve">fenntartási munkák </w:t>
      </w:r>
      <w:r w:rsidR="003D57A5" w:rsidRPr="00F96E45">
        <w:rPr>
          <w:szCs w:val="24"/>
        </w:rPr>
        <w:t xml:space="preserve">és a jármű javítások </w:t>
      </w:r>
      <w:r w:rsidRPr="00F96E45">
        <w:rPr>
          <w:szCs w:val="24"/>
        </w:rPr>
        <w:t xml:space="preserve">költsége </w:t>
      </w:r>
      <w:r w:rsidR="0076232E" w:rsidRPr="00F96E45">
        <w:rPr>
          <w:szCs w:val="24"/>
        </w:rPr>
        <w:t>10,</w:t>
      </w:r>
      <w:r w:rsidR="00110CFD" w:rsidRPr="00F96E45">
        <w:rPr>
          <w:szCs w:val="24"/>
        </w:rPr>
        <w:t>4</w:t>
      </w:r>
      <w:r w:rsidR="0076232E" w:rsidRPr="00F96E45">
        <w:rPr>
          <w:szCs w:val="24"/>
        </w:rPr>
        <w:t xml:space="preserve"> %-kal,</w:t>
      </w:r>
      <w:r w:rsidR="00110CFD" w:rsidRPr="00F96E45">
        <w:rPr>
          <w:szCs w:val="24"/>
        </w:rPr>
        <w:t xml:space="preserve"> illetve 32,2 %-kal, 6-6</w:t>
      </w:r>
      <w:r w:rsidR="0076232E" w:rsidRPr="00F96E45">
        <w:rPr>
          <w:szCs w:val="24"/>
        </w:rPr>
        <w:t xml:space="preserve"> mFt-tal volt </w:t>
      </w:r>
      <w:r w:rsidRPr="00F96E45">
        <w:rPr>
          <w:szCs w:val="24"/>
        </w:rPr>
        <w:t xml:space="preserve">magasabb </w:t>
      </w:r>
      <w:r w:rsidR="0076232E" w:rsidRPr="00F96E45">
        <w:rPr>
          <w:szCs w:val="24"/>
        </w:rPr>
        <w:t xml:space="preserve">a tervezettnél. </w:t>
      </w:r>
    </w:p>
    <w:p w:rsidR="0076232E" w:rsidRPr="00F96E45" w:rsidRDefault="0076232E" w:rsidP="00002A28">
      <w:pPr>
        <w:ind w:right="176"/>
        <w:rPr>
          <w:szCs w:val="24"/>
        </w:rPr>
      </w:pPr>
    </w:p>
    <w:p w:rsidR="0076232E" w:rsidRPr="00F96E45" w:rsidRDefault="0076232E" w:rsidP="00002A28">
      <w:pPr>
        <w:ind w:right="176"/>
        <w:rPr>
          <w:szCs w:val="24"/>
        </w:rPr>
      </w:pPr>
      <w:r w:rsidRPr="00F96E45">
        <w:rPr>
          <w:i/>
          <w:iCs/>
          <w:szCs w:val="24"/>
        </w:rPr>
        <w:t>Megbízásba adott eszközfenntartási munkák</w:t>
      </w:r>
      <w:r w:rsidRPr="00F96E45">
        <w:rPr>
          <w:szCs w:val="24"/>
        </w:rPr>
        <w:t xml:space="preserve"> költsége a tervezett összegnél </w:t>
      </w:r>
      <w:r w:rsidR="00110CFD" w:rsidRPr="00F96E45">
        <w:rPr>
          <w:szCs w:val="24"/>
        </w:rPr>
        <w:t>19,2</w:t>
      </w:r>
      <w:r w:rsidRPr="00F96E45">
        <w:rPr>
          <w:szCs w:val="24"/>
        </w:rPr>
        <w:t xml:space="preserve"> %-kal, </w:t>
      </w:r>
      <w:r w:rsidR="00110CFD" w:rsidRPr="00F96E45">
        <w:rPr>
          <w:szCs w:val="24"/>
        </w:rPr>
        <w:t>29</w:t>
      </w:r>
      <w:r w:rsidRPr="00F96E45">
        <w:rPr>
          <w:szCs w:val="24"/>
        </w:rPr>
        <w:t xml:space="preserve"> mFt-tal volt magasabb.</w:t>
      </w:r>
    </w:p>
    <w:p w:rsidR="00267D93" w:rsidRPr="00F96E45" w:rsidRDefault="00B23E44" w:rsidP="00002A28">
      <w:pPr>
        <w:ind w:right="176"/>
        <w:rPr>
          <w:szCs w:val="24"/>
        </w:rPr>
      </w:pPr>
      <w:r w:rsidRPr="00F96E45">
        <w:rPr>
          <w:szCs w:val="24"/>
        </w:rPr>
        <w:t>A</w:t>
      </w:r>
      <w:r w:rsidR="00267D93" w:rsidRPr="00F96E45">
        <w:rPr>
          <w:szCs w:val="24"/>
        </w:rPr>
        <w:t xml:space="preserve"> gépjármű</w:t>
      </w:r>
      <w:r w:rsidRPr="00F96E45">
        <w:rPr>
          <w:szCs w:val="24"/>
        </w:rPr>
        <w:t>vek,</w:t>
      </w:r>
      <w:r w:rsidR="00267D93" w:rsidRPr="00F96E45">
        <w:rPr>
          <w:szCs w:val="24"/>
        </w:rPr>
        <w:t xml:space="preserve"> munkagépek </w:t>
      </w:r>
      <w:r w:rsidRPr="00F96E45">
        <w:rPr>
          <w:szCs w:val="24"/>
        </w:rPr>
        <w:t xml:space="preserve">és a közmű műtárgyak </w:t>
      </w:r>
      <w:r w:rsidR="00267D93" w:rsidRPr="00F96E45">
        <w:rPr>
          <w:szCs w:val="24"/>
        </w:rPr>
        <w:t xml:space="preserve">javíttatása haladta meg </w:t>
      </w:r>
      <w:r w:rsidR="00F96E45" w:rsidRPr="00F96E45">
        <w:rPr>
          <w:szCs w:val="24"/>
        </w:rPr>
        <w:t>jelentősen</w:t>
      </w:r>
      <w:r w:rsidRPr="00F96E45">
        <w:rPr>
          <w:szCs w:val="24"/>
        </w:rPr>
        <w:t xml:space="preserve"> a tervezett összeget </w:t>
      </w:r>
      <w:r w:rsidR="00267D93" w:rsidRPr="00F96E45">
        <w:rPr>
          <w:szCs w:val="24"/>
        </w:rPr>
        <w:t xml:space="preserve">a </w:t>
      </w:r>
      <w:r w:rsidR="00314EC7">
        <w:rPr>
          <w:szCs w:val="24"/>
        </w:rPr>
        <w:t>géppark elöregedéséből eredő</w:t>
      </w:r>
      <w:r w:rsidR="00314EC7" w:rsidRPr="00F96E45">
        <w:rPr>
          <w:szCs w:val="24"/>
        </w:rPr>
        <w:t xml:space="preserve"> </w:t>
      </w:r>
      <w:r w:rsidR="00267D93" w:rsidRPr="00F96E45">
        <w:rPr>
          <w:szCs w:val="24"/>
        </w:rPr>
        <w:t>viszonylag gyakori meghibásodás</w:t>
      </w:r>
      <w:r w:rsidRPr="00F96E45">
        <w:rPr>
          <w:szCs w:val="24"/>
        </w:rPr>
        <w:t>ok, valamint</w:t>
      </w:r>
      <w:r w:rsidR="00267D93" w:rsidRPr="00F96E45">
        <w:rPr>
          <w:szCs w:val="24"/>
        </w:rPr>
        <w:t xml:space="preserve"> a drasztikusan növekvő </w:t>
      </w:r>
      <w:r w:rsidRPr="00F96E45">
        <w:rPr>
          <w:szCs w:val="24"/>
        </w:rPr>
        <w:t>munkadíjak és alkatrészárak következtében.</w:t>
      </w:r>
    </w:p>
    <w:p w:rsidR="0076232E" w:rsidRPr="00F96E45" w:rsidRDefault="0076232E" w:rsidP="0076232E">
      <w:pPr>
        <w:ind w:right="202"/>
        <w:rPr>
          <w:szCs w:val="24"/>
        </w:rPr>
      </w:pPr>
    </w:p>
    <w:p w:rsidR="0076232E" w:rsidRPr="00F96E45" w:rsidRDefault="0076232E" w:rsidP="0076232E">
      <w:pPr>
        <w:pStyle w:val="Cmsor2"/>
        <w:rPr>
          <w:sz w:val="24"/>
          <w:szCs w:val="24"/>
        </w:rPr>
      </w:pPr>
      <w:bookmarkStart w:id="23" w:name="_Toc68779756"/>
      <w:bookmarkStart w:id="24" w:name="_Toc132629476"/>
      <w:r w:rsidRPr="00F96E45">
        <w:rPr>
          <w:rFonts w:hint="eastAsia"/>
          <w:sz w:val="24"/>
          <w:szCs w:val="24"/>
        </w:rPr>
        <w:lastRenderedPageBreak/>
        <w:t xml:space="preserve">Saját </w:t>
      </w:r>
      <w:r w:rsidRPr="00F96E45">
        <w:rPr>
          <w:sz w:val="24"/>
          <w:szCs w:val="24"/>
        </w:rPr>
        <w:t xml:space="preserve">kivitelezésben végzett </w:t>
      </w:r>
      <w:r w:rsidRPr="00F96E45">
        <w:rPr>
          <w:rFonts w:hint="eastAsia"/>
          <w:sz w:val="24"/>
          <w:szCs w:val="24"/>
        </w:rPr>
        <w:t>eszközfenntartás</w:t>
      </w:r>
      <w:bookmarkEnd w:id="23"/>
      <w:bookmarkEnd w:id="24"/>
    </w:p>
    <w:p w:rsidR="0076232E" w:rsidRPr="00F96E45" w:rsidRDefault="0076232E" w:rsidP="0076232E">
      <w:pPr>
        <w:rPr>
          <w:szCs w:val="24"/>
        </w:rPr>
      </w:pPr>
    </w:p>
    <w:p w:rsidR="009A5E5C" w:rsidRPr="00AF4206" w:rsidRDefault="009A5E5C" w:rsidP="00E736F6">
      <w:pPr>
        <w:pStyle w:val="Szvegtrzs"/>
        <w:tabs>
          <w:tab w:val="left" w:pos="709"/>
          <w:tab w:val="right" w:pos="8222"/>
        </w:tabs>
        <w:ind w:right="317"/>
        <w:rPr>
          <w:b/>
          <w:i/>
          <w:iCs/>
          <w:sz w:val="24"/>
          <w:szCs w:val="24"/>
        </w:rPr>
      </w:pPr>
      <w:bookmarkStart w:id="25" w:name="_Toc331589985"/>
      <w:r w:rsidRPr="00AF4206">
        <w:rPr>
          <w:b/>
          <w:i/>
          <w:iCs/>
          <w:sz w:val="24"/>
          <w:szCs w:val="24"/>
        </w:rPr>
        <w:t>Üzemmérnökségek által végzett</w:t>
      </w:r>
      <w:r w:rsidRPr="00AF4206">
        <w:rPr>
          <w:rFonts w:hint="eastAsia"/>
          <w:b/>
          <w:i/>
          <w:iCs/>
          <w:sz w:val="24"/>
          <w:szCs w:val="24"/>
        </w:rPr>
        <w:t xml:space="preserve"> eszközfenntartás</w:t>
      </w:r>
      <w:bookmarkEnd w:id="25"/>
    </w:p>
    <w:p w:rsidR="009A5E5C" w:rsidRPr="00F96E45" w:rsidRDefault="009A5E5C" w:rsidP="00E736F6">
      <w:pPr>
        <w:ind w:right="317"/>
        <w:rPr>
          <w:szCs w:val="24"/>
        </w:rPr>
      </w:pPr>
      <w:r w:rsidRPr="00F96E45">
        <w:rPr>
          <w:szCs w:val="24"/>
        </w:rPr>
        <w:t>Tervszerű karbantartások: kutak, szivattyúk, víztároló létesítmények, védterületek karbantartása, víz- és szennyvízelvezetési hálózatok manuális és műszeres ellenőrzése, mosatása, a lejárt hitelesítésű és meghibásodott vízmérők cseréje, bekötés cserék, stb.</w:t>
      </w:r>
    </w:p>
    <w:p w:rsidR="00E736F6" w:rsidRDefault="009A5E5C" w:rsidP="00E736F6">
      <w:pPr>
        <w:ind w:right="317"/>
        <w:rPr>
          <w:szCs w:val="24"/>
        </w:rPr>
      </w:pPr>
      <w:r w:rsidRPr="00F96E45">
        <w:rPr>
          <w:szCs w:val="24"/>
        </w:rPr>
        <w:t xml:space="preserve">Váratlan meghibásodások elhárítása: bekötések és szerelvényei meghibásodásának javítása, gerincvezeték csőtörések javítása, tűzcsapjavítások és cserék, dugulások elhárítása, szennyvíz átemelők gépészeti és villamos meghibásodások javítása, stb. </w:t>
      </w:r>
    </w:p>
    <w:p w:rsidR="00E736F6" w:rsidRDefault="00E736F6">
      <w:pPr>
        <w:jc w:val="left"/>
        <w:rPr>
          <w:szCs w:val="24"/>
        </w:rPr>
      </w:pPr>
      <w:r>
        <w:rPr>
          <w:szCs w:val="24"/>
        </w:rPr>
        <w:br w:type="page"/>
      </w:r>
    </w:p>
    <w:p w:rsidR="009A5E5C" w:rsidRPr="00F96E45" w:rsidRDefault="009A5E5C" w:rsidP="0076232E">
      <w:pPr>
        <w:pStyle w:val="xl41"/>
        <w:spacing w:before="0" w:beforeAutospacing="0" w:after="0" w:afterAutospacing="0"/>
        <w:rPr>
          <w:rFonts w:eastAsia="Times New Roman"/>
          <w:b w:val="0"/>
          <w:bCs w:val="0"/>
        </w:rPr>
      </w:pPr>
    </w:p>
    <w:p w:rsidR="0076232E" w:rsidRPr="00F96E45" w:rsidRDefault="0076232E" w:rsidP="0076232E">
      <w:pPr>
        <w:pStyle w:val="xl41"/>
        <w:spacing w:before="0" w:beforeAutospacing="0" w:after="0" w:afterAutospacing="0"/>
        <w:rPr>
          <w:rFonts w:eastAsia="Times New Roman"/>
          <w:b w:val="0"/>
          <w:bCs w:val="0"/>
        </w:rPr>
      </w:pPr>
      <w:r w:rsidRPr="00F96E45">
        <w:rPr>
          <w:rFonts w:eastAsia="Times New Roman"/>
          <w:b w:val="0"/>
          <w:bCs w:val="0"/>
        </w:rPr>
        <w:t>Ivóvíz- és szennyvízhálózati főbb meghibásodások alakulása</w:t>
      </w:r>
    </w:p>
    <w:tbl>
      <w:tblPr>
        <w:tblW w:w="9460" w:type="dxa"/>
        <w:tblCellMar>
          <w:left w:w="70" w:type="dxa"/>
          <w:right w:w="70" w:type="dxa"/>
        </w:tblCellMar>
        <w:tblLook w:val="04A0" w:firstRow="1" w:lastRow="0" w:firstColumn="1" w:lastColumn="0" w:noHBand="0" w:noVBand="1"/>
      </w:tblPr>
      <w:tblGrid>
        <w:gridCol w:w="567"/>
        <w:gridCol w:w="3433"/>
        <w:gridCol w:w="1529"/>
        <w:gridCol w:w="480"/>
        <w:gridCol w:w="91"/>
        <w:gridCol w:w="988"/>
        <w:gridCol w:w="480"/>
        <w:gridCol w:w="912"/>
        <w:gridCol w:w="451"/>
        <w:gridCol w:w="529"/>
      </w:tblGrid>
      <w:tr w:rsidR="009A5E5C" w:rsidRPr="00DB2665" w:rsidTr="002D17C8">
        <w:trPr>
          <w:trHeight w:val="315"/>
        </w:trPr>
        <w:tc>
          <w:tcPr>
            <w:tcW w:w="4000" w:type="dxa"/>
            <w:gridSpan w:val="2"/>
            <w:tcBorders>
              <w:top w:val="nil"/>
              <w:left w:val="nil"/>
              <w:bottom w:val="single" w:sz="4" w:space="0" w:color="auto"/>
              <w:right w:val="nil"/>
            </w:tcBorders>
            <w:shd w:val="clear" w:color="auto" w:fill="auto"/>
            <w:noWrap/>
            <w:vAlign w:val="bottom"/>
            <w:hideMark/>
          </w:tcPr>
          <w:p w:rsidR="009A5E5C" w:rsidRPr="00DB2665" w:rsidRDefault="009A5E5C" w:rsidP="009A5E5C">
            <w:pPr>
              <w:rPr>
                <w:szCs w:val="24"/>
              </w:rPr>
            </w:pPr>
            <w:r w:rsidRPr="00DB2665">
              <w:rPr>
                <w:szCs w:val="24"/>
              </w:rPr>
              <w:t> </w:t>
            </w:r>
          </w:p>
        </w:tc>
        <w:tc>
          <w:tcPr>
            <w:tcW w:w="2100" w:type="dxa"/>
            <w:gridSpan w:val="3"/>
            <w:tcBorders>
              <w:top w:val="nil"/>
              <w:left w:val="nil"/>
              <w:bottom w:val="single" w:sz="4" w:space="0" w:color="auto"/>
              <w:right w:val="nil"/>
            </w:tcBorders>
            <w:shd w:val="clear" w:color="auto" w:fill="auto"/>
            <w:vAlign w:val="bottom"/>
            <w:hideMark/>
          </w:tcPr>
          <w:p w:rsidR="009A5E5C" w:rsidRPr="00DB2665" w:rsidRDefault="009A5E5C" w:rsidP="009A5E5C">
            <w:pPr>
              <w:jc w:val="center"/>
              <w:rPr>
                <w:i/>
                <w:iCs/>
                <w:sz w:val="23"/>
                <w:szCs w:val="23"/>
              </w:rPr>
            </w:pPr>
            <w:r w:rsidRPr="00DB2665">
              <w:rPr>
                <w:i/>
                <w:iCs/>
                <w:sz w:val="23"/>
                <w:szCs w:val="23"/>
              </w:rPr>
              <w:t xml:space="preserve">   2021. év tény </w:t>
            </w:r>
          </w:p>
        </w:tc>
        <w:tc>
          <w:tcPr>
            <w:tcW w:w="2380" w:type="dxa"/>
            <w:gridSpan w:val="3"/>
            <w:tcBorders>
              <w:top w:val="nil"/>
              <w:left w:val="nil"/>
              <w:bottom w:val="single" w:sz="4" w:space="0" w:color="auto"/>
              <w:right w:val="nil"/>
            </w:tcBorders>
            <w:shd w:val="clear" w:color="auto" w:fill="auto"/>
            <w:vAlign w:val="bottom"/>
            <w:hideMark/>
          </w:tcPr>
          <w:p w:rsidR="009A5E5C" w:rsidRPr="00DB2665" w:rsidRDefault="009A5E5C" w:rsidP="009A5E5C">
            <w:pPr>
              <w:jc w:val="center"/>
              <w:rPr>
                <w:i/>
                <w:iCs/>
                <w:sz w:val="23"/>
                <w:szCs w:val="23"/>
              </w:rPr>
            </w:pPr>
            <w:r w:rsidRPr="00DB2665">
              <w:rPr>
                <w:i/>
                <w:iCs/>
                <w:sz w:val="23"/>
                <w:szCs w:val="23"/>
              </w:rPr>
              <w:t xml:space="preserve">   2022. év tény </w:t>
            </w:r>
          </w:p>
        </w:tc>
        <w:tc>
          <w:tcPr>
            <w:tcW w:w="980" w:type="dxa"/>
            <w:gridSpan w:val="2"/>
            <w:tcBorders>
              <w:top w:val="nil"/>
              <w:left w:val="nil"/>
              <w:bottom w:val="single" w:sz="4" w:space="0" w:color="auto"/>
              <w:right w:val="nil"/>
            </w:tcBorders>
            <w:shd w:val="clear" w:color="auto" w:fill="auto"/>
            <w:noWrap/>
            <w:vAlign w:val="bottom"/>
            <w:hideMark/>
          </w:tcPr>
          <w:p w:rsidR="009A5E5C" w:rsidRPr="00DB2665" w:rsidRDefault="009A5E5C" w:rsidP="009A5E5C">
            <w:pPr>
              <w:jc w:val="center"/>
              <w:rPr>
                <w:i/>
                <w:iCs/>
                <w:sz w:val="23"/>
                <w:szCs w:val="23"/>
              </w:rPr>
            </w:pPr>
            <w:r w:rsidRPr="00DB2665">
              <w:rPr>
                <w:i/>
                <w:iCs/>
                <w:sz w:val="23"/>
                <w:szCs w:val="23"/>
              </w:rPr>
              <w:t xml:space="preserve">Index </w:t>
            </w:r>
          </w:p>
        </w:tc>
      </w:tr>
      <w:tr w:rsidR="009A5E5C" w:rsidRPr="00DB2665" w:rsidTr="002D17C8">
        <w:trPr>
          <w:gridBefore w:val="1"/>
          <w:gridAfter w:val="1"/>
          <w:wBefore w:w="567" w:type="dxa"/>
          <w:wAfter w:w="529" w:type="dxa"/>
          <w:trHeight w:val="315"/>
        </w:trPr>
        <w:tc>
          <w:tcPr>
            <w:tcW w:w="3433" w:type="dxa"/>
            <w:tcBorders>
              <w:top w:val="nil"/>
              <w:left w:val="nil"/>
              <w:bottom w:val="nil"/>
              <w:right w:val="nil"/>
            </w:tcBorders>
            <w:shd w:val="clear" w:color="auto" w:fill="auto"/>
            <w:noWrap/>
            <w:vAlign w:val="bottom"/>
            <w:hideMark/>
          </w:tcPr>
          <w:p w:rsidR="009A5E5C" w:rsidRPr="00DB2665" w:rsidRDefault="009A5E5C" w:rsidP="009A5E5C">
            <w:pPr>
              <w:rPr>
                <w:i/>
                <w:iCs/>
                <w:sz w:val="23"/>
                <w:szCs w:val="23"/>
              </w:rPr>
            </w:pPr>
            <w:r w:rsidRPr="00DB2665">
              <w:rPr>
                <w:i/>
                <w:iCs/>
                <w:sz w:val="23"/>
                <w:szCs w:val="23"/>
              </w:rPr>
              <w:t>Ivóvíz hálózat</w:t>
            </w:r>
          </w:p>
        </w:tc>
        <w:tc>
          <w:tcPr>
            <w:tcW w:w="1529" w:type="dxa"/>
            <w:tcBorders>
              <w:top w:val="nil"/>
              <w:left w:val="nil"/>
              <w:bottom w:val="nil"/>
              <w:right w:val="nil"/>
            </w:tcBorders>
            <w:shd w:val="clear" w:color="auto" w:fill="auto"/>
            <w:noWrap/>
            <w:vAlign w:val="bottom"/>
            <w:hideMark/>
          </w:tcPr>
          <w:p w:rsidR="009A5E5C" w:rsidRPr="00DB2665" w:rsidRDefault="009A5E5C" w:rsidP="009A5E5C">
            <w:pPr>
              <w:rPr>
                <w:i/>
                <w:iCs/>
                <w:sz w:val="23"/>
                <w:szCs w:val="23"/>
              </w:rPr>
            </w:pPr>
          </w:p>
        </w:tc>
        <w:tc>
          <w:tcPr>
            <w:tcW w:w="480" w:type="dxa"/>
            <w:tcBorders>
              <w:top w:val="nil"/>
              <w:left w:val="nil"/>
              <w:bottom w:val="nil"/>
              <w:right w:val="nil"/>
            </w:tcBorders>
            <w:shd w:val="clear" w:color="auto" w:fill="auto"/>
            <w:noWrap/>
            <w:vAlign w:val="bottom"/>
            <w:hideMark/>
          </w:tcPr>
          <w:p w:rsidR="009A5E5C" w:rsidRPr="00DB2665" w:rsidRDefault="009A5E5C" w:rsidP="009A5E5C">
            <w:pPr>
              <w:rPr>
                <w:sz w:val="20"/>
              </w:rPr>
            </w:pPr>
          </w:p>
        </w:tc>
        <w:tc>
          <w:tcPr>
            <w:tcW w:w="1079" w:type="dxa"/>
            <w:gridSpan w:val="2"/>
            <w:tcBorders>
              <w:top w:val="nil"/>
              <w:left w:val="nil"/>
              <w:bottom w:val="nil"/>
              <w:right w:val="nil"/>
            </w:tcBorders>
            <w:shd w:val="clear" w:color="auto" w:fill="auto"/>
            <w:noWrap/>
            <w:vAlign w:val="bottom"/>
            <w:hideMark/>
          </w:tcPr>
          <w:p w:rsidR="009A5E5C" w:rsidRPr="00DB2665" w:rsidRDefault="009A5E5C" w:rsidP="009A5E5C">
            <w:pPr>
              <w:rPr>
                <w:sz w:val="20"/>
              </w:rPr>
            </w:pPr>
          </w:p>
        </w:tc>
        <w:tc>
          <w:tcPr>
            <w:tcW w:w="480" w:type="dxa"/>
            <w:tcBorders>
              <w:top w:val="nil"/>
              <w:left w:val="nil"/>
              <w:bottom w:val="nil"/>
              <w:right w:val="nil"/>
            </w:tcBorders>
            <w:shd w:val="clear" w:color="auto" w:fill="auto"/>
            <w:noWrap/>
            <w:vAlign w:val="bottom"/>
            <w:hideMark/>
          </w:tcPr>
          <w:p w:rsidR="009A5E5C" w:rsidRPr="00DB2665" w:rsidRDefault="009A5E5C" w:rsidP="009A5E5C">
            <w:pPr>
              <w:rPr>
                <w:sz w:val="20"/>
              </w:rPr>
            </w:pPr>
          </w:p>
        </w:tc>
        <w:tc>
          <w:tcPr>
            <w:tcW w:w="1363" w:type="dxa"/>
            <w:gridSpan w:val="2"/>
            <w:tcBorders>
              <w:top w:val="nil"/>
              <w:left w:val="nil"/>
              <w:bottom w:val="nil"/>
              <w:right w:val="nil"/>
            </w:tcBorders>
            <w:shd w:val="clear" w:color="auto" w:fill="auto"/>
            <w:noWrap/>
            <w:vAlign w:val="bottom"/>
            <w:hideMark/>
          </w:tcPr>
          <w:p w:rsidR="009A5E5C" w:rsidRPr="00DB2665" w:rsidRDefault="009A5E5C" w:rsidP="009A5E5C">
            <w:pPr>
              <w:rPr>
                <w:sz w:val="20"/>
              </w:rPr>
            </w:pPr>
          </w:p>
        </w:tc>
      </w:tr>
      <w:tr w:rsidR="009A5E5C" w:rsidRPr="00DB2665" w:rsidTr="002D17C8">
        <w:trPr>
          <w:gridBefore w:val="1"/>
          <w:gridAfter w:val="1"/>
          <w:wBefore w:w="567" w:type="dxa"/>
          <w:wAfter w:w="529" w:type="dxa"/>
          <w:trHeight w:val="315"/>
        </w:trPr>
        <w:tc>
          <w:tcPr>
            <w:tcW w:w="3433" w:type="dxa"/>
            <w:tcBorders>
              <w:top w:val="nil"/>
              <w:left w:val="nil"/>
              <w:bottom w:val="nil"/>
              <w:right w:val="nil"/>
            </w:tcBorders>
            <w:shd w:val="clear" w:color="auto" w:fill="auto"/>
            <w:noWrap/>
            <w:vAlign w:val="bottom"/>
            <w:hideMark/>
          </w:tcPr>
          <w:p w:rsidR="009A5E5C" w:rsidRPr="00DB2665" w:rsidRDefault="009A5E5C" w:rsidP="009A5E5C">
            <w:pPr>
              <w:rPr>
                <w:sz w:val="23"/>
                <w:szCs w:val="23"/>
              </w:rPr>
            </w:pPr>
            <w:r w:rsidRPr="00DB2665">
              <w:rPr>
                <w:sz w:val="23"/>
                <w:szCs w:val="23"/>
              </w:rPr>
              <w:t>Csőtörések száma</w:t>
            </w:r>
          </w:p>
        </w:tc>
        <w:tc>
          <w:tcPr>
            <w:tcW w:w="1529" w:type="dxa"/>
            <w:tcBorders>
              <w:top w:val="nil"/>
              <w:left w:val="nil"/>
              <w:bottom w:val="nil"/>
              <w:right w:val="nil"/>
            </w:tcBorders>
            <w:shd w:val="clear" w:color="auto" w:fill="auto"/>
            <w:noWrap/>
            <w:vAlign w:val="bottom"/>
            <w:hideMark/>
          </w:tcPr>
          <w:p w:rsidR="009A5E5C" w:rsidRPr="00DB2665" w:rsidRDefault="009A5E5C" w:rsidP="009A5E5C">
            <w:pPr>
              <w:rPr>
                <w:sz w:val="23"/>
                <w:szCs w:val="23"/>
              </w:rPr>
            </w:pPr>
          </w:p>
        </w:tc>
        <w:tc>
          <w:tcPr>
            <w:tcW w:w="480" w:type="dxa"/>
            <w:tcBorders>
              <w:top w:val="nil"/>
              <w:left w:val="nil"/>
              <w:bottom w:val="nil"/>
              <w:right w:val="nil"/>
            </w:tcBorders>
            <w:shd w:val="clear" w:color="auto" w:fill="auto"/>
            <w:noWrap/>
            <w:vAlign w:val="bottom"/>
            <w:hideMark/>
          </w:tcPr>
          <w:p w:rsidR="009A5E5C" w:rsidRPr="00DB2665" w:rsidRDefault="009A5E5C" w:rsidP="009A5E5C">
            <w:pPr>
              <w:rPr>
                <w:sz w:val="20"/>
              </w:rPr>
            </w:pPr>
          </w:p>
        </w:tc>
        <w:tc>
          <w:tcPr>
            <w:tcW w:w="1079" w:type="dxa"/>
            <w:gridSpan w:val="2"/>
            <w:tcBorders>
              <w:top w:val="nil"/>
              <w:left w:val="nil"/>
              <w:bottom w:val="nil"/>
              <w:right w:val="nil"/>
            </w:tcBorders>
            <w:shd w:val="clear" w:color="auto" w:fill="auto"/>
            <w:noWrap/>
            <w:vAlign w:val="bottom"/>
            <w:hideMark/>
          </w:tcPr>
          <w:p w:rsidR="009A5E5C" w:rsidRPr="00DB2665" w:rsidRDefault="009A5E5C" w:rsidP="009A5E5C">
            <w:pPr>
              <w:rPr>
                <w:sz w:val="20"/>
              </w:rPr>
            </w:pPr>
          </w:p>
        </w:tc>
        <w:tc>
          <w:tcPr>
            <w:tcW w:w="480" w:type="dxa"/>
            <w:tcBorders>
              <w:top w:val="nil"/>
              <w:left w:val="nil"/>
              <w:bottom w:val="nil"/>
              <w:right w:val="nil"/>
            </w:tcBorders>
            <w:shd w:val="clear" w:color="auto" w:fill="auto"/>
            <w:noWrap/>
            <w:vAlign w:val="bottom"/>
            <w:hideMark/>
          </w:tcPr>
          <w:p w:rsidR="009A5E5C" w:rsidRPr="00DB2665" w:rsidRDefault="009A5E5C" w:rsidP="009A5E5C">
            <w:pPr>
              <w:rPr>
                <w:sz w:val="20"/>
              </w:rPr>
            </w:pPr>
          </w:p>
        </w:tc>
        <w:tc>
          <w:tcPr>
            <w:tcW w:w="1363" w:type="dxa"/>
            <w:gridSpan w:val="2"/>
            <w:tcBorders>
              <w:top w:val="nil"/>
              <w:left w:val="nil"/>
              <w:bottom w:val="nil"/>
              <w:right w:val="nil"/>
            </w:tcBorders>
            <w:shd w:val="clear" w:color="auto" w:fill="auto"/>
            <w:noWrap/>
            <w:vAlign w:val="bottom"/>
            <w:hideMark/>
          </w:tcPr>
          <w:p w:rsidR="009A5E5C" w:rsidRPr="00DB2665" w:rsidRDefault="009A5E5C" w:rsidP="009A5E5C">
            <w:pPr>
              <w:rPr>
                <w:sz w:val="20"/>
              </w:rPr>
            </w:pPr>
          </w:p>
        </w:tc>
      </w:tr>
      <w:tr w:rsidR="009A5E5C" w:rsidRPr="00DB2665" w:rsidTr="002D17C8">
        <w:trPr>
          <w:gridBefore w:val="1"/>
          <w:gridAfter w:val="1"/>
          <w:wBefore w:w="567" w:type="dxa"/>
          <w:wAfter w:w="529" w:type="dxa"/>
          <w:trHeight w:val="80"/>
        </w:trPr>
        <w:tc>
          <w:tcPr>
            <w:tcW w:w="3433" w:type="dxa"/>
            <w:tcBorders>
              <w:top w:val="nil"/>
              <w:left w:val="nil"/>
              <w:bottom w:val="nil"/>
              <w:right w:val="nil"/>
            </w:tcBorders>
            <w:shd w:val="clear" w:color="auto" w:fill="auto"/>
            <w:noWrap/>
            <w:vAlign w:val="bottom"/>
            <w:hideMark/>
          </w:tcPr>
          <w:p w:rsidR="009A5E5C" w:rsidRPr="00DB2665" w:rsidRDefault="009A5E5C" w:rsidP="009A5E5C">
            <w:pPr>
              <w:rPr>
                <w:sz w:val="23"/>
                <w:szCs w:val="23"/>
              </w:rPr>
            </w:pPr>
            <w:r w:rsidRPr="00DB2665">
              <w:rPr>
                <w:sz w:val="23"/>
                <w:szCs w:val="23"/>
              </w:rPr>
              <w:t xml:space="preserve">    gerincvezetéken</w:t>
            </w:r>
          </w:p>
        </w:tc>
        <w:tc>
          <w:tcPr>
            <w:tcW w:w="1529" w:type="dxa"/>
            <w:tcBorders>
              <w:top w:val="nil"/>
              <w:left w:val="nil"/>
              <w:bottom w:val="nil"/>
              <w:right w:val="nil"/>
            </w:tcBorders>
            <w:shd w:val="clear" w:color="auto" w:fill="auto"/>
            <w:noWrap/>
            <w:vAlign w:val="bottom"/>
            <w:hideMark/>
          </w:tcPr>
          <w:p w:rsidR="009A5E5C" w:rsidRPr="00DB2665" w:rsidRDefault="009A5E5C" w:rsidP="009A5E5C">
            <w:pPr>
              <w:jc w:val="right"/>
              <w:rPr>
                <w:sz w:val="23"/>
                <w:szCs w:val="23"/>
              </w:rPr>
            </w:pPr>
            <w:r w:rsidRPr="00DB2665">
              <w:rPr>
                <w:sz w:val="23"/>
                <w:szCs w:val="23"/>
              </w:rPr>
              <w:t>251</w:t>
            </w:r>
          </w:p>
        </w:tc>
        <w:tc>
          <w:tcPr>
            <w:tcW w:w="480" w:type="dxa"/>
            <w:tcBorders>
              <w:top w:val="nil"/>
              <w:left w:val="nil"/>
              <w:bottom w:val="nil"/>
              <w:right w:val="nil"/>
            </w:tcBorders>
            <w:shd w:val="clear" w:color="auto" w:fill="auto"/>
            <w:noWrap/>
            <w:vAlign w:val="bottom"/>
            <w:hideMark/>
          </w:tcPr>
          <w:p w:rsidR="009A5E5C" w:rsidRPr="00DB2665" w:rsidRDefault="009A5E5C" w:rsidP="009A5E5C">
            <w:pPr>
              <w:rPr>
                <w:sz w:val="23"/>
                <w:szCs w:val="23"/>
              </w:rPr>
            </w:pPr>
            <w:r w:rsidRPr="00DB2665">
              <w:rPr>
                <w:sz w:val="23"/>
                <w:szCs w:val="23"/>
              </w:rPr>
              <w:t>db</w:t>
            </w:r>
          </w:p>
        </w:tc>
        <w:tc>
          <w:tcPr>
            <w:tcW w:w="1079" w:type="dxa"/>
            <w:gridSpan w:val="2"/>
            <w:tcBorders>
              <w:top w:val="nil"/>
              <w:left w:val="nil"/>
              <w:bottom w:val="nil"/>
              <w:right w:val="nil"/>
            </w:tcBorders>
            <w:shd w:val="clear" w:color="auto" w:fill="auto"/>
            <w:noWrap/>
            <w:vAlign w:val="bottom"/>
            <w:hideMark/>
          </w:tcPr>
          <w:p w:rsidR="009A5E5C" w:rsidRPr="00DB2665" w:rsidRDefault="009A5E5C" w:rsidP="009A5E5C">
            <w:pPr>
              <w:jc w:val="right"/>
              <w:rPr>
                <w:sz w:val="23"/>
                <w:szCs w:val="23"/>
              </w:rPr>
            </w:pPr>
            <w:r w:rsidRPr="00DB2665">
              <w:rPr>
                <w:sz w:val="23"/>
                <w:szCs w:val="23"/>
              </w:rPr>
              <w:t>280</w:t>
            </w:r>
          </w:p>
        </w:tc>
        <w:tc>
          <w:tcPr>
            <w:tcW w:w="480" w:type="dxa"/>
            <w:tcBorders>
              <w:top w:val="nil"/>
              <w:left w:val="nil"/>
              <w:bottom w:val="nil"/>
              <w:right w:val="nil"/>
            </w:tcBorders>
            <w:shd w:val="clear" w:color="auto" w:fill="auto"/>
            <w:noWrap/>
            <w:vAlign w:val="bottom"/>
            <w:hideMark/>
          </w:tcPr>
          <w:p w:rsidR="009A5E5C" w:rsidRPr="00DB2665" w:rsidRDefault="009A5E5C" w:rsidP="009A5E5C">
            <w:pPr>
              <w:rPr>
                <w:sz w:val="23"/>
                <w:szCs w:val="23"/>
              </w:rPr>
            </w:pPr>
            <w:r w:rsidRPr="00DB2665">
              <w:rPr>
                <w:sz w:val="23"/>
                <w:szCs w:val="23"/>
              </w:rPr>
              <w:t>db</w:t>
            </w:r>
          </w:p>
        </w:tc>
        <w:tc>
          <w:tcPr>
            <w:tcW w:w="1363" w:type="dxa"/>
            <w:gridSpan w:val="2"/>
            <w:tcBorders>
              <w:top w:val="nil"/>
              <w:left w:val="nil"/>
              <w:bottom w:val="nil"/>
              <w:right w:val="nil"/>
            </w:tcBorders>
            <w:shd w:val="clear" w:color="auto" w:fill="auto"/>
            <w:noWrap/>
            <w:vAlign w:val="bottom"/>
            <w:hideMark/>
          </w:tcPr>
          <w:p w:rsidR="009A5E5C" w:rsidRPr="00DB2665" w:rsidRDefault="009A5E5C" w:rsidP="009A5E5C">
            <w:pPr>
              <w:jc w:val="center"/>
              <w:rPr>
                <w:sz w:val="23"/>
                <w:szCs w:val="23"/>
              </w:rPr>
            </w:pPr>
            <w:r w:rsidRPr="00DB2665">
              <w:rPr>
                <w:sz w:val="23"/>
                <w:szCs w:val="23"/>
              </w:rPr>
              <w:t>111,6%</w:t>
            </w:r>
          </w:p>
        </w:tc>
      </w:tr>
      <w:tr w:rsidR="009A5E5C" w:rsidRPr="00DB2665" w:rsidTr="002D17C8">
        <w:trPr>
          <w:gridBefore w:val="1"/>
          <w:gridAfter w:val="1"/>
          <w:wBefore w:w="567" w:type="dxa"/>
          <w:wAfter w:w="529" w:type="dxa"/>
          <w:trHeight w:val="160"/>
        </w:trPr>
        <w:tc>
          <w:tcPr>
            <w:tcW w:w="3433" w:type="dxa"/>
            <w:tcBorders>
              <w:top w:val="nil"/>
              <w:left w:val="nil"/>
              <w:bottom w:val="nil"/>
              <w:right w:val="nil"/>
            </w:tcBorders>
            <w:shd w:val="clear" w:color="auto" w:fill="auto"/>
            <w:noWrap/>
            <w:vAlign w:val="bottom"/>
            <w:hideMark/>
          </w:tcPr>
          <w:p w:rsidR="009A5E5C" w:rsidRPr="00DB2665" w:rsidRDefault="009A5E5C" w:rsidP="009A5E5C">
            <w:pPr>
              <w:rPr>
                <w:sz w:val="23"/>
                <w:szCs w:val="23"/>
              </w:rPr>
            </w:pPr>
            <w:r w:rsidRPr="00DB2665">
              <w:rPr>
                <w:sz w:val="23"/>
                <w:szCs w:val="23"/>
              </w:rPr>
              <w:t xml:space="preserve">    bekötővezetéken</w:t>
            </w:r>
          </w:p>
        </w:tc>
        <w:tc>
          <w:tcPr>
            <w:tcW w:w="1529" w:type="dxa"/>
            <w:tcBorders>
              <w:top w:val="nil"/>
              <w:left w:val="nil"/>
              <w:bottom w:val="nil"/>
              <w:right w:val="nil"/>
            </w:tcBorders>
            <w:shd w:val="clear" w:color="auto" w:fill="auto"/>
            <w:noWrap/>
            <w:vAlign w:val="bottom"/>
            <w:hideMark/>
          </w:tcPr>
          <w:p w:rsidR="009A5E5C" w:rsidRPr="00DB2665" w:rsidRDefault="009A5E5C" w:rsidP="009A5E5C">
            <w:pPr>
              <w:jc w:val="right"/>
              <w:rPr>
                <w:sz w:val="23"/>
                <w:szCs w:val="23"/>
              </w:rPr>
            </w:pPr>
            <w:r w:rsidRPr="00DB2665">
              <w:rPr>
                <w:sz w:val="23"/>
                <w:szCs w:val="23"/>
              </w:rPr>
              <w:t>509</w:t>
            </w:r>
          </w:p>
        </w:tc>
        <w:tc>
          <w:tcPr>
            <w:tcW w:w="480" w:type="dxa"/>
            <w:tcBorders>
              <w:top w:val="nil"/>
              <w:left w:val="nil"/>
              <w:bottom w:val="nil"/>
              <w:right w:val="nil"/>
            </w:tcBorders>
            <w:shd w:val="clear" w:color="auto" w:fill="auto"/>
            <w:noWrap/>
            <w:vAlign w:val="bottom"/>
            <w:hideMark/>
          </w:tcPr>
          <w:p w:rsidR="009A5E5C" w:rsidRPr="00DB2665" w:rsidRDefault="009A5E5C" w:rsidP="009A5E5C">
            <w:pPr>
              <w:rPr>
                <w:sz w:val="23"/>
                <w:szCs w:val="23"/>
              </w:rPr>
            </w:pPr>
            <w:r w:rsidRPr="00DB2665">
              <w:rPr>
                <w:sz w:val="23"/>
                <w:szCs w:val="23"/>
              </w:rPr>
              <w:t>db</w:t>
            </w:r>
          </w:p>
        </w:tc>
        <w:tc>
          <w:tcPr>
            <w:tcW w:w="1079" w:type="dxa"/>
            <w:gridSpan w:val="2"/>
            <w:tcBorders>
              <w:top w:val="nil"/>
              <w:left w:val="nil"/>
              <w:bottom w:val="nil"/>
              <w:right w:val="nil"/>
            </w:tcBorders>
            <w:shd w:val="clear" w:color="auto" w:fill="auto"/>
            <w:noWrap/>
            <w:vAlign w:val="bottom"/>
            <w:hideMark/>
          </w:tcPr>
          <w:p w:rsidR="009A5E5C" w:rsidRPr="00DB2665" w:rsidRDefault="009A5E5C" w:rsidP="009A5E5C">
            <w:pPr>
              <w:jc w:val="right"/>
              <w:rPr>
                <w:sz w:val="23"/>
                <w:szCs w:val="23"/>
              </w:rPr>
            </w:pPr>
            <w:r w:rsidRPr="00DB2665">
              <w:rPr>
                <w:sz w:val="23"/>
                <w:szCs w:val="23"/>
              </w:rPr>
              <w:t>403</w:t>
            </w:r>
          </w:p>
        </w:tc>
        <w:tc>
          <w:tcPr>
            <w:tcW w:w="480" w:type="dxa"/>
            <w:tcBorders>
              <w:top w:val="nil"/>
              <w:left w:val="nil"/>
              <w:bottom w:val="nil"/>
              <w:right w:val="nil"/>
            </w:tcBorders>
            <w:shd w:val="clear" w:color="auto" w:fill="auto"/>
            <w:noWrap/>
            <w:vAlign w:val="bottom"/>
            <w:hideMark/>
          </w:tcPr>
          <w:p w:rsidR="009A5E5C" w:rsidRPr="00DB2665" w:rsidRDefault="009A5E5C" w:rsidP="009A5E5C">
            <w:pPr>
              <w:rPr>
                <w:sz w:val="23"/>
                <w:szCs w:val="23"/>
              </w:rPr>
            </w:pPr>
            <w:r w:rsidRPr="00DB2665">
              <w:rPr>
                <w:sz w:val="23"/>
                <w:szCs w:val="23"/>
              </w:rPr>
              <w:t>db</w:t>
            </w:r>
          </w:p>
        </w:tc>
        <w:tc>
          <w:tcPr>
            <w:tcW w:w="1363" w:type="dxa"/>
            <w:gridSpan w:val="2"/>
            <w:tcBorders>
              <w:top w:val="nil"/>
              <w:left w:val="nil"/>
              <w:bottom w:val="nil"/>
              <w:right w:val="nil"/>
            </w:tcBorders>
            <w:shd w:val="clear" w:color="auto" w:fill="auto"/>
            <w:noWrap/>
            <w:vAlign w:val="bottom"/>
            <w:hideMark/>
          </w:tcPr>
          <w:p w:rsidR="009A5E5C" w:rsidRPr="00DB2665" w:rsidRDefault="009A5E5C" w:rsidP="009A5E5C">
            <w:pPr>
              <w:jc w:val="center"/>
              <w:rPr>
                <w:sz w:val="23"/>
                <w:szCs w:val="23"/>
              </w:rPr>
            </w:pPr>
            <w:r w:rsidRPr="00DB2665">
              <w:rPr>
                <w:sz w:val="23"/>
                <w:szCs w:val="23"/>
              </w:rPr>
              <w:t>79,2%</w:t>
            </w:r>
          </w:p>
        </w:tc>
      </w:tr>
      <w:tr w:rsidR="009A5E5C" w:rsidRPr="00DB2665" w:rsidTr="002D17C8">
        <w:trPr>
          <w:gridBefore w:val="1"/>
          <w:gridAfter w:val="1"/>
          <w:wBefore w:w="567" w:type="dxa"/>
          <w:wAfter w:w="529" w:type="dxa"/>
          <w:trHeight w:val="136"/>
        </w:trPr>
        <w:tc>
          <w:tcPr>
            <w:tcW w:w="3433" w:type="dxa"/>
            <w:tcBorders>
              <w:top w:val="nil"/>
              <w:left w:val="nil"/>
              <w:bottom w:val="nil"/>
              <w:right w:val="nil"/>
            </w:tcBorders>
            <w:shd w:val="clear" w:color="auto" w:fill="auto"/>
            <w:noWrap/>
            <w:vAlign w:val="bottom"/>
            <w:hideMark/>
          </w:tcPr>
          <w:p w:rsidR="009A5E5C" w:rsidRPr="00DB2665" w:rsidRDefault="009A5E5C" w:rsidP="009A5E5C">
            <w:pPr>
              <w:rPr>
                <w:sz w:val="23"/>
                <w:szCs w:val="23"/>
              </w:rPr>
            </w:pPr>
            <w:r w:rsidRPr="00DB2665">
              <w:rPr>
                <w:sz w:val="23"/>
                <w:szCs w:val="23"/>
              </w:rPr>
              <w:t>Csőcsere</w:t>
            </w:r>
          </w:p>
        </w:tc>
        <w:tc>
          <w:tcPr>
            <w:tcW w:w="1529" w:type="dxa"/>
            <w:tcBorders>
              <w:top w:val="nil"/>
              <w:left w:val="nil"/>
              <w:bottom w:val="nil"/>
              <w:right w:val="nil"/>
            </w:tcBorders>
            <w:shd w:val="clear" w:color="auto" w:fill="auto"/>
            <w:noWrap/>
            <w:vAlign w:val="bottom"/>
            <w:hideMark/>
          </w:tcPr>
          <w:p w:rsidR="009A5E5C" w:rsidRPr="00DB2665" w:rsidRDefault="009A5E5C" w:rsidP="009A5E5C">
            <w:pPr>
              <w:rPr>
                <w:sz w:val="23"/>
                <w:szCs w:val="23"/>
              </w:rPr>
            </w:pPr>
          </w:p>
        </w:tc>
        <w:tc>
          <w:tcPr>
            <w:tcW w:w="480" w:type="dxa"/>
            <w:tcBorders>
              <w:top w:val="nil"/>
              <w:left w:val="nil"/>
              <w:bottom w:val="nil"/>
              <w:right w:val="nil"/>
            </w:tcBorders>
            <w:shd w:val="clear" w:color="auto" w:fill="auto"/>
            <w:noWrap/>
            <w:vAlign w:val="bottom"/>
            <w:hideMark/>
          </w:tcPr>
          <w:p w:rsidR="009A5E5C" w:rsidRPr="00DB2665" w:rsidRDefault="009A5E5C" w:rsidP="009A5E5C">
            <w:pPr>
              <w:jc w:val="right"/>
              <w:rPr>
                <w:sz w:val="20"/>
              </w:rPr>
            </w:pPr>
          </w:p>
        </w:tc>
        <w:tc>
          <w:tcPr>
            <w:tcW w:w="1079" w:type="dxa"/>
            <w:gridSpan w:val="2"/>
            <w:tcBorders>
              <w:top w:val="nil"/>
              <w:left w:val="nil"/>
              <w:bottom w:val="nil"/>
              <w:right w:val="nil"/>
            </w:tcBorders>
            <w:shd w:val="clear" w:color="auto" w:fill="auto"/>
            <w:noWrap/>
            <w:vAlign w:val="bottom"/>
            <w:hideMark/>
          </w:tcPr>
          <w:p w:rsidR="009A5E5C" w:rsidRPr="00DB2665" w:rsidRDefault="009A5E5C" w:rsidP="009A5E5C">
            <w:pPr>
              <w:rPr>
                <w:sz w:val="20"/>
              </w:rPr>
            </w:pPr>
          </w:p>
        </w:tc>
        <w:tc>
          <w:tcPr>
            <w:tcW w:w="480" w:type="dxa"/>
            <w:tcBorders>
              <w:top w:val="nil"/>
              <w:left w:val="nil"/>
              <w:bottom w:val="nil"/>
              <w:right w:val="nil"/>
            </w:tcBorders>
            <w:shd w:val="clear" w:color="auto" w:fill="auto"/>
            <w:noWrap/>
            <w:vAlign w:val="bottom"/>
            <w:hideMark/>
          </w:tcPr>
          <w:p w:rsidR="009A5E5C" w:rsidRPr="00DB2665" w:rsidRDefault="009A5E5C" w:rsidP="009A5E5C">
            <w:pPr>
              <w:jc w:val="right"/>
              <w:rPr>
                <w:sz w:val="20"/>
              </w:rPr>
            </w:pPr>
          </w:p>
        </w:tc>
        <w:tc>
          <w:tcPr>
            <w:tcW w:w="1363" w:type="dxa"/>
            <w:gridSpan w:val="2"/>
            <w:tcBorders>
              <w:top w:val="nil"/>
              <w:left w:val="nil"/>
              <w:bottom w:val="nil"/>
              <w:right w:val="nil"/>
            </w:tcBorders>
            <w:shd w:val="clear" w:color="auto" w:fill="auto"/>
            <w:noWrap/>
            <w:vAlign w:val="bottom"/>
            <w:hideMark/>
          </w:tcPr>
          <w:p w:rsidR="009A5E5C" w:rsidRPr="00DB2665" w:rsidRDefault="009A5E5C" w:rsidP="009A5E5C">
            <w:pPr>
              <w:rPr>
                <w:sz w:val="20"/>
              </w:rPr>
            </w:pPr>
          </w:p>
        </w:tc>
      </w:tr>
      <w:tr w:rsidR="009A5E5C" w:rsidRPr="00DB2665" w:rsidTr="002D17C8">
        <w:trPr>
          <w:gridBefore w:val="1"/>
          <w:gridAfter w:val="1"/>
          <w:wBefore w:w="567" w:type="dxa"/>
          <w:wAfter w:w="529" w:type="dxa"/>
          <w:trHeight w:val="168"/>
        </w:trPr>
        <w:tc>
          <w:tcPr>
            <w:tcW w:w="3433" w:type="dxa"/>
            <w:tcBorders>
              <w:top w:val="nil"/>
              <w:left w:val="nil"/>
              <w:bottom w:val="nil"/>
              <w:right w:val="nil"/>
            </w:tcBorders>
            <w:shd w:val="clear" w:color="auto" w:fill="auto"/>
            <w:noWrap/>
            <w:vAlign w:val="bottom"/>
            <w:hideMark/>
          </w:tcPr>
          <w:p w:rsidR="009A5E5C" w:rsidRPr="00DB2665" w:rsidRDefault="009A5E5C" w:rsidP="009A5E5C">
            <w:pPr>
              <w:rPr>
                <w:sz w:val="23"/>
                <w:szCs w:val="23"/>
              </w:rPr>
            </w:pPr>
            <w:r w:rsidRPr="00DB2665">
              <w:rPr>
                <w:sz w:val="23"/>
                <w:szCs w:val="23"/>
              </w:rPr>
              <w:t xml:space="preserve">    gerincvezetéken</w:t>
            </w:r>
          </w:p>
        </w:tc>
        <w:tc>
          <w:tcPr>
            <w:tcW w:w="1529" w:type="dxa"/>
            <w:tcBorders>
              <w:top w:val="nil"/>
              <w:left w:val="nil"/>
              <w:bottom w:val="nil"/>
              <w:right w:val="nil"/>
            </w:tcBorders>
            <w:shd w:val="clear" w:color="auto" w:fill="auto"/>
            <w:noWrap/>
            <w:vAlign w:val="bottom"/>
            <w:hideMark/>
          </w:tcPr>
          <w:p w:rsidR="009A5E5C" w:rsidRPr="00DB2665" w:rsidRDefault="009A5E5C" w:rsidP="009A5E5C">
            <w:pPr>
              <w:jc w:val="right"/>
              <w:rPr>
                <w:sz w:val="23"/>
                <w:szCs w:val="23"/>
              </w:rPr>
            </w:pPr>
            <w:r w:rsidRPr="00DB2665">
              <w:rPr>
                <w:sz w:val="23"/>
                <w:szCs w:val="23"/>
              </w:rPr>
              <w:t>495</w:t>
            </w:r>
          </w:p>
        </w:tc>
        <w:tc>
          <w:tcPr>
            <w:tcW w:w="480" w:type="dxa"/>
            <w:tcBorders>
              <w:top w:val="nil"/>
              <w:left w:val="nil"/>
              <w:bottom w:val="nil"/>
              <w:right w:val="nil"/>
            </w:tcBorders>
            <w:shd w:val="clear" w:color="auto" w:fill="auto"/>
            <w:noWrap/>
            <w:vAlign w:val="bottom"/>
            <w:hideMark/>
          </w:tcPr>
          <w:p w:rsidR="009A5E5C" w:rsidRPr="00DB2665" w:rsidRDefault="009A5E5C" w:rsidP="009A5E5C">
            <w:pPr>
              <w:rPr>
                <w:sz w:val="23"/>
                <w:szCs w:val="23"/>
              </w:rPr>
            </w:pPr>
            <w:r w:rsidRPr="00DB2665">
              <w:rPr>
                <w:sz w:val="23"/>
                <w:szCs w:val="23"/>
              </w:rPr>
              <w:t>fm</w:t>
            </w:r>
          </w:p>
        </w:tc>
        <w:tc>
          <w:tcPr>
            <w:tcW w:w="1079" w:type="dxa"/>
            <w:gridSpan w:val="2"/>
            <w:tcBorders>
              <w:top w:val="nil"/>
              <w:left w:val="nil"/>
              <w:bottom w:val="nil"/>
              <w:right w:val="nil"/>
            </w:tcBorders>
            <w:shd w:val="clear" w:color="auto" w:fill="auto"/>
            <w:noWrap/>
            <w:vAlign w:val="bottom"/>
            <w:hideMark/>
          </w:tcPr>
          <w:p w:rsidR="009A5E5C" w:rsidRPr="00DB2665" w:rsidRDefault="009A5E5C" w:rsidP="009A5E5C">
            <w:pPr>
              <w:jc w:val="right"/>
              <w:rPr>
                <w:sz w:val="23"/>
                <w:szCs w:val="23"/>
              </w:rPr>
            </w:pPr>
            <w:r w:rsidRPr="00DB2665">
              <w:rPr>
                <w:sz w:val="23"/>
                <w:szCs w:val="23"/>
              </w:rPr>
              <w:t>230</w:t>
            </w:r>
          </w:p>
        </w:tc>
        <w:tc>
          <w:tcPr>
            <w:tcW w:w="480" w:type="dxa"/>
            <w:tcBorders>
              <w:top w:val="nil"/>
              <w:left w:val="nil"/>
              <w:bottom w:val="nil"/>
              <w:right w:val="nil"/>
            </w:tcBorders>
            <w:shd w:val="clear" w:color="auto" w:fill="auto"/>
            <w:noWrap/>
            <w:vAlign w:val="bottom"/>
            <w:hideMark/>
          </w:tcPr>
          <w:p w:rsidR="009A5E5C" w:rsidRPr="00DB2665" w:rsidRDefault="009A5E5C" w:rsidP="009A5E5C">
            <w:pPr>
              <w:rPr>
                <w:sz w:val="23"/>
                <w:szCs w:val="23"/>
              </w:rPr>
            </w:pPr>
            <w:r w:rsidRPr="00DB2665">
              <w:rPr>
                <w:sz w:val="23"/>
                <w:szCs w:val="23"/>
              </w:rPr>
              <w:t>fm</w:t>
            </w:r>
          </w:p>
        </w:tc>
        <w:tc>
          <w:tcPr>
            <w:tcW w:w="1363" w:type="dxa"/>
            <w:gridSpan w:val="2"/>
            <w:tcBorders>
              <w:top w:val="nil"/>
              <w:left w:val="nil"/>
              <w:bottom w:val="nil"/>
              <w:right w:val="nil"/>
            </w:tcBorders>
            <w:shd w:val="clear" w:color="auto" w:fill="auto"/>
            <w:noWrap/>
            <w:vAlign w:val="bottom"/>
            <w:hideMark/>
          </w:tcPr>
          <w:p w:rsidR="009A5E5C" w:rsidRPr="00DB2665" w:rsidRDefault="009A5E5C" w:rsidP="009A5E5C">
            <w:pPr>
              <w:jc w:val="center"/>
              <w:rPr>
                <w:sz w:val="23"/>
                <w:szCs w:val="23"/>
              </w:rPr>
            </w:pPr>
            <w:r w:rsidRPr="00DB2665">
              <w:rPr>
                <w:sz w:val="23"/>
                <w:szCs w:val="23"/>
              </w:rPr>
              <w:t>46,5%</w:t>
            </w:r>
          </w:p>
        </w:tc>
      </w:tr>
      <w:tr w:rsidR="009A5E5C" w:rsidRPr="00DB2665" w:rsidTr="002D17C8">
        <w:trPr>
          <w:gridBefore w:val="1"/>
          <w:gridAfter w:val="1"/>
          <w:wBefore w:w="567" w:type="dxa"/>
          <w:wAfter w:w="529" w:type="dxa"/>
          <w:trHeight w:val="186"/>
        </w:trPr>
        <w:tc>
          <w:tcPr>
            <w:tcW w:w="3433" w:type="dxa"/>
            <w:tcBorders>
              <w:top w:val="nil"/>
              <w:left w:val="nil"/>
              <w:bottom w:val="nil"/>
              <w:right w:val="nil"/>
            </w:tcBorders>
            <w:shd w:val="clear" w:color="auto" w:fill="auto"/>
            <w:noWrap/>
            <w:vAlign w:val="bottom"/>
            <w:hideMark/>
          </w:tcPr>
          <w:p w:rsidR="009A5E5C" w:rsidRPr="00DB2665" w:rsidRDefault="009A5E5C" w:rsidP="009A5E5C">
            <w:pPr>
              <w:rPr>
                <w:sz w:val="23"/>
                <w:szCs w:val="23"/>
              </w:rPr>
            </w:pPr>
            <w:r w:rsidRPr="00DB2665">
              <w:rPr>
                <w:sz w:val="23"/>
                <w:szCs w:val="23"/>
              </w:rPr>
              <w:t xml:space="preserve">    bekötővezetéken</w:t>
            </w:r>
          </w:p>
        </w:tc>
        <w:tc>
          <w:tcPr>
            <w:tcW w:w="1529" w:type="dxa"/>
            <w:tcBorders>
              <w:top w:val="nil"/>
              <w:left w:val="nil"/>
              <w:bottom w:val="nil"/>
              <w:right w:val="nil"/>
            </w:tcBorders>
            <w:shd w:val="clear" w:color="auto" w:fill="auto"/>
            <w:noWrap/>
            <w:vAlign w:val="bottom"/>
            <w:hideMark/>
          </w:tcPr>
          <w:p w:rsidR="009A5E5C" w:rsidRPr="00DB2665" w:rsidRDefault="009A5E5C" w:rsidP="009A5E5C">
            <w:pPr>
              <w:jc w:val="right"/>
              <w:rPr>
                <w:sz w:val="23"/>
                <w:szCs w:val="23"/>
              </w:rPr>
            </w:pPr>
            <w:r w:rsidRPr="00DB2665">
              <w:rPr>
                <w:sz w:val="23"/>
                <w:szCs w:val="23"/>
              </w:rPr>
              <w:t>1 692</w:t>
            </w:r>
          </w:p>
        </w:tc>
        <w:tc>
          <w:tcPr>
            <w:tcW w:w="480" w:type="dxa"/>
            <w:tcBorders>
              <w:top w:val="nil"/>
              <w:left w:val="nil"/>
              <w:bottom w:val="nil"/>
              <w:right w:val="nil"/>
            </w:tcBorders>
            <w:shd w:val="clear" w:color="auto" w:fill="auto"/>
            <w:noWrap/>
            <w:vAlign w:val="bottom"/>
            <w:hideMark/>
          </w:tcPr>
          <w:p w:rsidR="009A5E5C" w:rsidRPr="00DB2665" w:rsidRDefault="009A5E5C" w:rsidP="009A5E5C">
            <w:pPr>
              <w:rPr>
                <w:sz w:val="23"/>
                <w:szCs w:val="23"/>
              </w:rPr>
            </w:pPr>
            <w:r w:rsidRPr="00DB2665">
              <w:rPr>
                <w:sz w:val="23"/>
                <w:szCs w:val="23"/>
              </w:rPr>
              <w:t>fm</w:t>
            </w:r>
          </w:p>
        </w:tc>
        <w:tc>
          <w:tcPr>
            <w:tcW w:w="1079" w:type="dxa"/>
            <w:gridSpan w:val="2"/>
            <w:tcBorders>
              <w:top w:val="nil"/>
              <w:left w:val="nil"/>
              <w:bottom w:val="nil"/>
              <w:right w:val="nil"/>
            </w:tcBorders>
            <w:shd w:val="clear" w:color="auto" w:fill="auto"/>
            <w:noWrap/>
            <w:vAlign w:val="bottom"/>
            <w:hideMark/>
          </w:tcPr>
          <w:p w:rsidR="009A5E5C" w:rsidRPr="00DB2665" w:rsidRDefault="009A5E5C" w:rsidP="009A5E5C">
            <w:pPr>
              <w:jc w:val="right"/>
              <w:rPr>
                <w:sz w:val="23"/>
                <w:szCs w:val="23"/>
              </w:rPr>
            </w:pPr>
            <w:r w:rsidRPr="00DB2665">
              <w:rPr>
                <w:sz w:val="23"/>
                <w:szCs w:val="23"/>
              </w:rPr>
              <w:t>1 692</w:t>
            </w:r>
          </w:p>
        </w:tc>
        <w:tc>
          <w:tcPr>
            <w:tcW w:w="480" w:type="dxa"/>
            <w:tcBorders>
              <w:top w:val="nil"/>
              <w:left w:val="nil"/>
              <w:bottom w:val="nil"/>
              <w:right w:val="nil"/>
            </w:tcBorders>
            <w:shd w:val="clear" w:color="auto" w:fill="auto"/>
            <w:noWrap/>
            <w:vAlign w:val="bottom"/>
            <w:hideMark/>
          </w:tcPr>
          <w:p w:rsidR="009A5E5C" w:rsidRPr="00DB2665" w:rsidRDefault="009A5E5C" w:rsidP="009A5E5C">
            <w:pPr>
              <w:rPr>
                <w:sz w:val="23"/>
                <w:szCs w:val="23"/>
              </w:rPr>
            </w:pPr>
            <w:r w:rsidRPr="00DB2665">
              <w:rPr>
                <w:sz w:val="23"/>
                <w:szCs w:val="23"/>
              </w:rPr>
              <w:t>fm</w:t>
            </w:r>
          </w:p>
        </w:tc>
        <w:tc>
          <w:tcPr>
            <w:tcW w:w="1363" w:type="dxa"/>
            <w:gridSpan w:val="2"/>
            <w:tcBorders>
              <w:top w:val="nil"/>
              <w:left w:val="nil"/>
              <w:bottom w:val="nil"/>
              <w:right w:val="nil"/>
            </w:tcBorders>
            <w:shd w:val="clear" w:color="auto" w:fill="auto"/>
            <w:noWrap/>
            <w:vAlign w:val="bottom"/>
            <w:hideMark/>
          </w:tcPr>
          <w:p w:rsidR="009A5E5C" w:rsidRPr="00DB2665" w:rsidRDefault="009A5E5C" w:rsidP="009A5E5C">
            <w:pPr>
              <w:jc w:val="center"/>
              <w:rPr>
                <w:sz w:val="23"/>
                <w:szCs w:val="23"/>
              </w:rPr>
            </w:pPr>
            <w:r w:rsidRPr="00DB2665">
              <w:rPr>
                <w:sz w:val="23"/>
                <w:szCs w:val="23"/>
              </w:rPr>
              <w:t>100,0%</w:t>
            </w:r>
          </w:p>
        </w:tc>
      </w:tr>
      <w:tr w:rsidR="009A5E5C" w:rsidRPr="00DB2665" w:rsidTr="002D17C8">
        <w:trPr>
          <w:gridBefore w:val="1"/>
          <w:gridAfter w:val="1"/>
          <w:wBefore w:w="567" w:type="dxa"/>
          <w:wAfter w:w="529" w:type="dxa"/>
          <w:trHeight w:val="300"/>
        </w:trPr>
        <w:tc>
          <w:tcPr>
            <w:tcW w:w="3433" w:type="dxa"/>
            <w:tcBorders>
              <w:top w:val="nil"/>
              <w:left w:val="nil"/>
              <w:bottom w:val="nil"/>
              <w:right w:val="nil"/>
            </w:tcBorders>
            <w:shd w:val="clear" w:color="auto" w:fill="auto"/>
            <w:noWrap/>
            <w:vAlign w:val="bottom"/>
            <w:hideMark/>
          </w:tcPr>
          <w:p w:rsidR="009A5E5C" w:rsidRPr="00DB2665" w:rsidRDefault="009A5E5C" w:rsidP="009A5E5C">
            <w:pPr>
              <w:rPr>
                <w:sz w:val="23"/>
                <w:szCs w:val="23"/>
              </w:rPr>
            </w:pPr>
            <w:r w:rsidRPr="00DB2665">
              <w:rPr>
                <w:sz w:val="23"/>
                <w:szCs w:val="23"/>
              </w:rPr>
              <w:t xml:space="preserve">Szerelvény javítások </w:t>
            </w:r>
          </w:p>
        </w:tc>
        <w:tc>
          <w:tcPr>
            <w:tcW w:w="1529" w:type="dxa"/>
            <w:tcBorders>
              <w:top w:val="nil"/>
              <w:left w:val="nil"/>
              <w:bottom w:val="nil"/>
              <w:right w:val="nil"/>
            </w:tcBorders>
            <w:shd w:val="clear" w:color="auto" w:fill="auto"/>
            <w:noWrap/>
            <w:vAlign w:val="bottom"/>
            <w:hideMark/>
          </w:tcPr>
          <w:p w:rsidR="009A5E5C" w:rsidRPr="00DB2665" w:rsidRDefault="009A5E5C" w:rsidP="009A5E5C">
            <w:pPr>
              <w:rPr>
                <w:sz w:val="23"/>
                <w:szCs w:val="23"/>
              </w:rPr>
            </w:pPr>
          </w:p>
        </w:tc>
        <w:tc>
          <w:tcPr>
            <w:tcW w:w="480" w:type="dxa"/>
            <w:tcBorders>
              <w:top w:val="nil"/>
              <w:left w:val="nil"/>
              <w:bottom w:val="nil"/>
              <w:right w:val="nil"/>
            </w:tcBorders>
            <w:shd w:val="clear" w:color="auto" w:fill="auto"/>
            <w:noWrap/>
            <w:vAlign w:val="bottom"/>
            <w:hideMark/>
          </w:tcPr>
          <w:p w:rsidR="009A5E5C" w:rsidRPr="00DB2665" w:rsidRDefault="009A5E5C" w:rsidP="009A5E5C">
            <w:pPr>
              <w:jc w:val="left"/>
              <w:rPr>
                <w:sz w:val="20"/>
              </w:rPr>
            </w:pPr>
          </w:p>
        </w:tc>
        <w:tc>
          <w:tcPr>
            <w:tcW w:w="1079" w:type="dxa"/>
            <w:gridSpan w:val="2"/>
            <w:tcBorders>
              <w:top w:val="nil"/>
              <w:left w:val="nil"/>
              <w:bottom w:val="nil"/>
              <w:right w:val="nil"/>
            </w:tcBorders>
            <w:shd w:val="clear" w:color="auto" w:fill="auto"/>
            <w:noWrap/>
            <w:vAlign w:val="bottom"/>
            <w:hideMark/>
          </w:tcPr>
          <w:p w:rsidR="009A5E5C" w:rsidRPr="00DB2665" w:rsidRDefault="009A5E5C" w:rsidP="009A5E5C">
            <w:pPr>
              <w:jc w:val="left"/>
              <w:rPr>
                <w:sz w:val="20"/>
              </w:rPr>
            </w:pPr>
          </w:p>
        </w:tc>
        <w:tc>
          <w:tcPr>
            <w:tcW w:w="480" w:type="dxa"/>
            <w:tcBorders>
              <w:top w:val="nil"/>
              <w:left w:val="nil"/>
              <w:bottom w:val="nil"/>
              <w:right w:val="nil"/>
            </w:tcBorders>
            <w:shd w:val="clear" w:color="auto" w:fill="auto"/>
            <w:noWrap/>
            <w:vAlign w:val="bottom"/>
            <w:hideMark/>
          </w:tcPr>
          <w:p w:rsidR="009A5E5C" w:rsidRPr="00DB2665" w:rsidRDefault="009A5E5C" w:rsidP="009A5E5C">
            <w:pPr>
              <w:jc w:val="left"/>
              <w:rPr>
                <w:sz w:val="20"/>
              </w:rPr>
            </w:pPr>
          </w:p>
        </w:tc>
        <w:tc>
          <w:tcPr>
            <w:tcW w:w="1363" w:type="dxa"/>
            <w:gridSpan w:val="2"/>
            <w:tcBorders>
              <w:top w:val="nil"/>
              <w:left w:val="nil"/>
              <w:bottom w:val="nil"/>
              <w:right w:val="nil"/>
            </w:tcBorders>
            <w:shd w:val="clear" w:color="auto" w:fill="auto"/>
            <w:noWrap/>
            <w:vAlign w:val="bottom"/>
            <w:hideMark/>
          </w:tcPr>
          <w:p w:rsidR="009A5E5C" w:rsidRPr="00DB2665" w:rsidRDefault="009A5E5C" w:rsidP="009A5E5C">
            <w:pPr>
              <w:jc w:val="left"/>
              <w:rPr>
                <w:sz w:val="20"/>
              </w:rPr>
            </w:pPr>
          </w:p>
        </w:tc>
      </w:tr>
      <w:tr w:rsidR="009A5E5C" w:rsidRPr="00DB2665" w:rsidTr="002D17C8">
        <w:trPr>
          <w:gridBefore w:val="1"/>
          <w:gridAfter w:val="1"/>
          <w:wBefore w:w="567" w:type="dxa"/>
          <w:wAfter w:w="529" w:type="dxa"/>
          <w:trHeight w:val="152"/>
        </w:trPr>
        <w:tc>
          <w:tcPr>
            <w:tcW w:w="3433" w:type="dxa"/>
            <w:tcBorders>
              <w:top w:val="nil"/>
              <w:left w:val="nil"/>
              <w:bottom w:val="nil"/>
              <w:right w:val="nil"/>
            </w:tcBorders>
            <w:shd w:val="clear" w:color="auto" w:fill="auto"/>
            <w:noWrap/>
            <w:vAlign w:val="bottom"/>
            <w:hideMark/>
          </w:tcPr>
          <w:p w:rsidR="009A5E5C" w:rsidRPr="00DB2665" w:rsidRDefault="009A5E5C" w:rsidP="009A5E5C">
            <w:pPr>
              <w:rPr>
                <w:sz w:val="23"/>
                <w:szCs w:val="23"/>
              </w:rPr>
            </w:pPr>
            <w:r w:rsidRPr="00DB2665">
              <w:rPr>
                <w:sz w:val="23"/>
                <w:szCs w:val="23"/>
              </w:rPr>
              <w:t xml:space="preserve">   gerincvezetéken</w:t>
            </w:r>
          </w:p>
        </w:tc>
        <w:tc>
          <w:tcPr>
            <w:tcW w:w="1529" w:type="dxa"/>
            <w:tcBorders>
              <w:top w:val="nil"/>
              <w:left w:val="nil"/>
              <w:bottom w:val="nil"/>
              <w:right w:val="nil"/>
            </w:tcBorders>
            <w:shd w:val="clear" w:color="auto" w:fill="auto"/>
            <w:noWrap/>
            <w:vAlign w:val="bottom"/>
            <w:hideMark/>
          </w:tcPr>
          <w:p w:rsidR="009A5E5C" w:rsidRPr="00DB2665" w:rsidRDefault="009A5E5C" w:rsidP="009A5E5C">
            <w:pPr>
              <w:jc w:val="right"/>
              <w:rPr>
                <w:color w:val="000000"/>
                <w:sz w:val="23"/>
                <w:szCs w:val="23"/>
              </w:rPr>
            </w:pPr>
            <w:r w:rsidRPr="00DB2665">
              <w:rPr>
                <w:color w:val="000000"/>
                <w:sz w:val="23"/>
                <w:szCs w:val="23"/>
              </w:rPr>
              <w:t>152</w:t>
            </w:r>
          </w:p>
        </w:tc>
        <w:tc>
          <w:tcPr>
            <w:tcW w:w="480" w:type="dxa"/>
            <w:tcBorders>
              <w:top w:val="nil"/>
              <w:left w:val="nil"/>
              <w:bottom w:val="nil"/>
              <w:right w:val="nil"/>
            </w:tcBorders>
            <w:shd w:val="clear" w:color="auto" w:fill="auto"/>
            <w:noWrap/>
            <w:vAlign w:val="bottom"/>
            <w:hideMark/>
          </w:tcPr>
          <w:p w:rsidR="009A5E5C" w:rsidRPr="00DB2665" w:rsidRDefault="009A5E5C" w:rsidP="009A5E5C">
            <w:pPr>
              <w:rPr>
                <w:sz w:val="23"/>
                <w:szCs w:val="23"/>
              </w:rPr>
            </w:pPr>
            <w:r w:rsidRPr="00DB2665">
              <w:rPr>
                <w:sz w:val="23"/>
                <w:szCs w:val="23"/>
              </w:rPr>
              <w:t>db</w:t>
            </w:r>
          </w:p>
        </w:tc>
        <w:tc>
          <w:tcPr>
            <w:tcW w:w="1079" w:type="dxa"/>
            <w:gridSpan w:val="2"/>
            <w:tcBorders>
              <w:top w:val="nil"/>
              <w:left w:val="nil"/>
              <w:bottom w:val="nil"/>
              <w:right w:val="nil"/>
            </w:tcBorders>
            <w:shd w:val="clear" w:color="auto" w:fill="auto"/>
            <w:noWrap/>
            <w:vAlign w:val="bottom"/>
            <w:hideMark/>
          </w:tcPr>
          <w:p w:rsidR="009A5E5C" w:rsidRPr="00DB2665" w:rsidRDefault="009A5E5C" w:rsidP="009A5E5C">
            <w:pPr>
              <w:jc w:val="right"/>
              <w:rPr>
                <w:color w:val="000000"/>
                <w:sz w:val="23"/>
                <w:szCs w:val="23"/>
              </w:rPr>
            </w:pPr>
            <w:r w:rsidRPr="00DB2665">
              <w:rPr>
                <w:color w:val="000000"/>
                <w:sz w:val="23"/>
                <w:szCs w:val="23"/>
              </w:rPr>
              <w:t>152</w:t>
            </w:r>
          </w:p>
        </w:tc>
        <w:tc>
          <w:tcPr>
            <w:tcW w:w="480" w:type="dxa"/>
            <w:tcBorders>
              <w:top w:val="nil"/>
              <w:left w:val="nil"/>
              <w:bottom w:val="nil"/>
              <w:right w:val="nil"/>
            </w:tcBorders>
            <w:shd w:val="clear" w:color="auto" w:fill="auto"/>
            <w:noWrap/>
            <w:vAlign w:val="bottom"/>
            <w:hideMark/>
          </w:tcPr>
          <w:p w:rsidR="009A5E5C" w:rsidRPr="00DB2665" w:rsidRDefault="009A5E5C" w:rsidP="009A5E5C">
            <w:pPr>
              <w:rPr>
                <w:sz w:val="23"/>
                <w:szCs w:val="23"/>
              </w:rPr>
            </w:pPr>
            <w:r w:rsidRPr="00DB2665">
              <w:rPr>
                <w:sz w:val="23"/>
                <w:szCs w:val="23"/>
              </w:rPr>
              <w:t>db</w:t>
            </w:r>
          </w:p>
        </w:tc>
        <w:tc>
          <w:tcPr>
            <w:tcW w:w="1363" w:type="dxa"/>
            <w:gridSpan w:val="2"/>
            <w:tcBorders>
              <w:top w:val="nil"/>
              <w:left w:val="nil"/>
              <w:bottom w:val="nil"/>
              <w:right w:val="nil"/>
            </w:tcBorders>
            <w:shd w:val="clear" w:color="auto" w:fill="auto"/>
            <w:noWrap/>
            <w:vAlign w:val="bottom"/>
            <w:hideMark/>
          </w:tcPr>
          <w:p w:rsidR="009A5E5C" w:rsidRPr="00DB2665" w:rsidRDefault="009A5E5C" w:rsidP="009A5E5C">
            <w:pPr>
              <w:jc w:val="center"/>
              <w:rPr>
                <w:sz w:val="23"/>
                <w:szCs w:val="23"/>
              </w:rPr>
            </w:pPr>
            <w:r w:rsidRPr="00DB2665">
              <w:rPr>
                <w:sz w:val="23"/>
                <w:szCs w:val="23"/>
              </w:rPr>
              <w:t>100,0%</w:t>
            </w:r>
          </w:p>
        </w:tc>
      </w:tr>
      <w:tr w:rsidR="009A5E5C" w:rsidRPr="00DB2665" w:rsidTr="002D17C8">
        <w:trPr>
          <w:gridBefore w:val="1"/>
          <w:gridAfter w:val="1"/>
          <w:wBefore w:w="567" w:type="dxa"/>
          <w:wAfter w:w="529" w:type="dxa"/>
          <w:trHeight w:val="156"/>
        </w:trPr>
        <w:tc>
          <w:tcPr>
            <w:tcW w:w="3433" w:type="dxa"/>
            <w:tcBorders>
              <w:top w:val="nil"/>
              <w:left w:val="nil"/>
              <w:bottom w:val="nil"/>
              <w:right w:val="nil"/>
            </w:tcBorders>
            <w:shd w:val="clear" w:color="auto" w:fill="auto"/>
            <w:noWrap/>
            <w:vAlign w:val="bottom"/>
            <w:hideMark/>
          </w:tcPr>
          <w:p w:rsidR="009A5E5C" w:rsidRPr="00DB2665" w:rsidRDefault="009A5E5C" w:rsidP="009A5E5C">
            <w:pPr>
              <w:rPr>
                <w:sz w:val="23"/>
                <w:szCs w:val="23"/>
              </w:rPr>
            </w:pPr>
            <w:r w:rsidRPr="00DB2665">
              <w:rPr>
                <w:sz w:val="23"/>
                <w:szCs w:val="23"/>
              </w:rPr>
              <w:t xml:space="preserve">   bekötővezetéken</w:t>
            </w:r>
          </w:p>
        </w:tc>
        <w:tc>
          <w:tcPr>
            <w:tcW w:w="1529" w:type="dxa"/>
            <w:tcBorders>
              <w:top w:val="nil"/>
              <w:left w:val="nil"/>
              <w:bottom w:val="nil"/>
              <w:right w:val="nil"/>
            </w:tcBorders>
            <w:shd w:val="clear" w:color="auto" w:fill="auto"/>
            <w:noWrap/>
            <w:vAlign w:val="bottom"/>
            <w:hideMark/>
          </w:tcPr>
          <w:p w:rsidR="009A5E5C" w:rsidRPr="00DB2665" w:rsidRDefault="009A5E5C" w:rsidP="009A5E5C">
            <w:pPr>
              <w:jc w:val="right"/>
              <w:rPr>
                <w:sz w:val="23"/>
                <w:szCs w:val="23"/>
              </w:rPr>
            </w:pPr>
            <w:r w:rsidRPr="00DB2665">
              <w:rPr>
                <w:sz w:val="23"/>
                <w:szCs w:val="23"/>
              </w:rPr>
              <w:t>1 692</w:t>
            </w:r>
          </w:p>
        </w:tc>
        <w:tc>
          <w:tcPr>
            <w:tcW w:w="480" w:type="dxa"/>
            <w:tcBorders>
              <w:top w:val="nil"/>
              <w:left w:val="nil"/>
              <w:bottom w:val="nil"/>
              <w:right w:val="nil"/>
            </w:tcBorders>
            <w:shd w:val="clear" w:color="auto" w:fill="auto"/>
            <w:noWrap/>
            <w:vAlign w:val="bottom"/>
            <w:hideMark/>
          </w:tcPr>
          <w:p w:rsidR="009A5E5C" w:rsidRPr="00DB2665" w:rsidRDefault="009A5E5C" w:rsidP="009A5E5C">
            <w:pPr>
              <w:rPr>
                <w:sz w:val="23"/>
                <w:szCs w:val="23"/>
              </w:rPr>
            </w:pPr>
            <w:r w:rsidRPr="00DB2665">
              <w:rPr>
                <w:sz w:val="23"/>
                <w:szCs w:val="23"/>
              </w:rPr>
              <w:t>db</w:t>
            </w:r>
          </w:p>
        </w:tc>
        <w:tc>
          <w:tcPr>
            <w:tcW w:w="1079" w:type="dxa"/>
            <w:gridSpan w:val="2"/>
            <w:tcBorders>
              <w:top w:val="nil"/>
              <w:left w:val="nil"/>
              <w:bottom w:val="nil"/>
              <w:right w:val="nil"/>
            </w:tcBorders>
            <w:shd w:val="clear" w:color="auto" w:fill="auto"/>
            <w:noWrap/>
            <w:vAlign w:val="bottom"/>
            <w:hideMark/>
          </w:tcPr>
          <w:p w:rsidR="009A5E5C" w:rsidRPr="00DB2665" w:rsidRDefault="009A5E5C" w:rsidP="009A5E5C">
            <w:pPr>
              <w:jc w:val="right"/>
              <w:rPr>
                <w:sz w:val="23"/>
                <w:szCs w:val="23"/>
              </w:rPr>
            </w:pPr>
            <w:r w:rsidRPr="00DB2665">
              <w:rPr>
                <w:sz w:val="23"/>
                <w:szCs w:val="23"/>
              </w:rPr>
              <w:t>1 082</w:t>
            </w:r>
          </w:p>
        </w:tc>
        <w:tc>
          <w:tcPr>
            <w:tcW w:w="480" w:type="dxa"/>
            <w:tcBorders>
              <w:top w:val="nil"/>
              <w:left w:val="nil"/>
              <w:bottom w:val="nil"/>
              <w:right w:val="nil"/>
            </w:tcBorders>
            <w:shd w:val="clear" w:color="auto" w:fill="auto"/>
            <w:noWrap/>
            <w:vAlign w:val="bottom"/>
            <w:hideMark/>
          </w:tcPr>
          <w:p w:rsidR="009A5E5C" w:rsidRPr="00DB2665" w:rsidRDefault="009A5E5C" w:rsidP="009A5E5C">
            <w:pPr>
              <w:rPr>
                <w:sz w:val="23"/>
                <w:szCs w:val="23"/>
              </w:rPr>
            </w:pPr>
            <w:r w:rsidRPr="00DB2665">
              <w:rPr>
                <w:sz w:val="23"/>
                <w:szCs w:val="23"/>
              </w:rPr>
              <w:t>db</w:t>
            </w:r>
          </w:p>
        </w:tc>
        <w:tc>
          <w:tcPr>
            <w:tcW w:w="1363" w:type="dxa"/>
            <w:gridSpan w:val="2"/>
            <w:tcBorders>
              <w:top w:val="nil"/>
              <w:left w:val="nil"/>
              <w:bottom w:val="nil"/>
              <w:right w:val="nil"/>
            </w:tcBorders>
            <w:shd w:val="clear" w:color="auto" w:fill="auto"/>
            <w:noWrap/>
            <w:vAlign w:val="bottom"/>
            <w:hideMark/>
          </w:tcPr>
          <w:p w:rsidR="009A5E5C" w:rsidRPr="00DB2665" w:rsidRDefault="009A5E5C" w:rsidP="009A5E5C">
            <w:pPr>
              <w:jc w:val="center"/>
              <w:rPr>
                <w:sz w:val="23"/>
                <w:szCs w:val="23"/>
              </w:rPr>
            </w:pPr>
            <w:r w:rsidRPr="00DB2665">
              <w:rPr>
                <w:sz w:val="23"/>
                <w:szCs w:val="23"/>
              </w:rPr>
              <w:t>63,9%</w:t>
            </w:r>
          </w:p>
        </w:tc>
      </w:tr>
      <w:tr w:rsidR="009A5E5C" w:rsidRPr="00DB2665" w:rsidTr="002D17C8">
        <w:trPr>
          <w:gridBefore w:val="1"/>
          <w:gridAfter w:val="1"/>
          <w:wBefore w:w="567" w:type="dxa"/>
          <w:wAfter w:w="529" w:type="dxa"/>
          <w:trHeight w:val="80"/>
        </w:trPr>
        <w:tc>
          <w:tcPr>
            <w:tcW w:w="3433" w:type="dxa"/>
            <w:tcBorders>
              <w:top w:val="nil"/>
              <w:left w:val="nil"/>
              <w:bottom w:val="nil"/>
              <w:right w:val="nil"/>
            </w:tcBorders>
            <w:shd w:val="clear" w:color="auto" w:fill="auto"/>
            <w:noWrap/>
            <w:vAlign w:val="bottom"/>
            <w:hideMark/>
          </w:tcPr>
          <w:p w:rsidR="009A5E5C" w:rsidRPr="00DB2665" w:rsidRDefault="009A5E5C" w:rsidP="009A5E5C">
            <w:pPr>
              <w:jc w:val="center"/>
              <w:rPr>
                <w:sz w:val="23"/>
                <w:szCs w:val="23"/>
              </w:rPr>
            </w:pPr>
          </w:p>
        </w:tc>
        <w:tc>
          <w:tcPr>
            <w:tcW w:w="1529" w:type="dxa"/>
            <w:tcBorders>
              <w:top w:val="nil"/>
              <w:left w:val="nil"/>
              <w:bottom w:val="nil"/>
              <w:right w:val="nil"/>
            </w:tcBorders>
            <w:shd w:val="clear" w:color="auto" w:fill="auto"/>
            <w:noWrap/>
            <w:vAlign w:val="bottom"/>
            <w:hideMark/>
          </w:tcPr>
          <w:p w:rsidR="009A5E5C" w:rsidRPr="00DB2665" w:rsidRDefault="009A5E5C" w:rsidP="009A5E5C">
            <w:pPr>
              <w:rPr>
                <w:sz w:val="20"/>
              </w:rPr>
            </w:pPr>
          </w:p>
        </w:tc>
        <w:tc>
          <w:tcPr>
            <w:tcW w:w="480" w:type="dxa"/>
            <w:tcBorders>
              <w:top w:val="nil"/>
              <w:left w:val="nil"/>
              <w:bottom w:val="nil"/>
              <w:right w:val="nil"/>
            </w:tcBorders>
            <w:shd w:val="clear" w:color="auto" w:fill="auto"/>
            <w:noWrap/>
            <w:vAlign w:val="bottom"/>
            <w:hideMark/>
          </w:tcPr>
          <w:p w:rsidR="009A5E5C" w:rsidRPr="00DB2665" w:rsidRDefault="009A5E5C" w:rsidP="009A5E5C">
            <w:pPr>
              <w:jc w:val="right"/>
              <w:rPr>
                <w:sz w:val="20"/>
              </w:rPr>
            </w:pPr>
          </w:p>
        </w:tc>
        <w:tc>
          <w:tcPr>
            <w:tcW w:w="1079" w:type="dxa"/>
            <w:gridSpan w:val="2"/>
            <w:tcBorders>
              <w:top w:val="nil"/>
              <w:left w:val="nil"/>
              <w:bottom w:val="nil"/>
              <w:right w:val="nil"/>
            </w:tcBorders>
            <w:shd w:val="clear" w:color="auto" w:fill="auto"/>
            <w:noWrap/>
            <w:vAlign w:val="bottom"/>
            <w:hideMark/>
          </w:tcPr>
          <w:p w:rsidR="009A5E5C" w:rsidRPr="00DB2665" w:rsidRDefault="009A5E5C" w:rsidP="009A5E5C">
            <w:pPr>
              <w:rPr>
                <w:sz w:val="20"/>
              </w:rPr>
            </w:pPr>
          </w:p>
        </w:tc>
        <w:tc>
          <w:tcPr>
            <w:tcW w:w="480" w:type="dxa"/>
            <w:tcBorders>
              <w:top w:val="nil"/>
              <w:left w:val="nil"/>
              <w:bottom w:val="nil"/>
              <w:right w:val="nil"/>
            </w:tcBorders>
            <w:shd w:val="clear" w:color="auto" w:fill="auto"/>
            <w:noWrap/>
            <w:vAlign w:val="bottom"/>
            <w:hideMark/>
          </w:tcPr>
          <w:p w:rsidR="009A5E5C" w:rsidRPr="00DB2665" w:rsidRDefault="009A5E5C" w:rsidP="009A5E5C">
            <w:pPr>
              <w:jc w:val="right"/>
              <w:rPr>
                <w:sz w:val="20"/>
              </w:rPr>
            </w:pPr>
          </w:p>
        </w:tc>
        <w:tc>
          <w:tcPr>
            <w:tcW w:w="1363" w:type="dxa"/>
            <w:gridSpan w:val="2"/>
            <w:tcBorders>
              <w:top w:val="nil"/>
              <w:left w:val="nil"/>
              <w:bottom w:val="nil"/>
              <w:right w:val="nil"/>
            </w:tcBorders>
            <w:shd w:val="clear" w:color="auto" w:fill="auto"/>
            <w:noWrap/>
            <w:vAlign w:val="bottom"/>
            <w:hideMark/>
          </w:tcPr>
          <w:p w:rsidR="009A5E5C" w:rsidRPr="00DB2665" w:rsidRDefault="009A5E5C" w:rsidP="009A5E5C">
            <w:pPr>
              <w:rPr>
                <w:sz w:val="20"/>
              </w:rPr>
            </w:pPr>
          </w:p>
        </w:tc>
      </w:tr>
      <w:tr w:rsidR="009A5E5C" w:rsidRPr="00DB2665" w:rsidTr="002D17C8">
        <w:trPr>
          <w:gridBefore w:val="1"/>
          <w:gridAfter w:val="1"/>
          <w:wBefore w:w="567" w:type="dxa"/>
          <w:wAfter w:w="529" w:type="dxa"/>
          <w:trHeight w:val="359"/>
        </w:trPr>
        <w:tc>
          <w:tcPr>
            <w:tcW w:w="3433" w:type="dxa"/>
            <w:tcBorders>
              <w:top w:val="nil"/>
              <w:left w:val="nil"/>
              <w:bottom w:val="nil"/>
              <w:right w:val="nil"/>
            </w:tcBorders>
            <w:shd w:val="clear" w:color="auto" w:fill="auto"/>
            <w:noWrap/>
            <w:vAlign w:val="bottom"/>
            <w:hideMark/>
          </w:tcPr>
          <w:p w:rsidR="009A5E5C" w:rsidRPr="00DB2665" w:rsidRDefault="009A5E5C" w:rsidP="009A5E5C">
            <w:pPr>
              <w:rPr>
                <w:i/>
                <w:iCs/>
                <w:sz w:val="23"/>
                <w:szCs w:val="23"/>
              </w:rPr>
            </w:pPr>
            <w:r w:rsidRPr="00DB2665">
              <w:rPr>
                <w:i/>
                <w:iCs/>
                <w:sz w:val="23"/>
                <w:szCs w:val="23"/>
              </w:rPr>
              <w:t xml:space="preserve">Szennyvíz hálózat </w:t>
            </w:r>
          </w:p>
        </w:tc>
        <w:tc>
          <w:tcPr>
            <w:tcW w:w="1529" w:type="dxa"/>
            <w:tcBorders>
              <w:top w:val="nil"/>
              <w:left w:val="nil"/>
              <w:bottom w:val="nil"/>
              <w:right w:val="nil"/>
            </w:tcBorders>
            <w:shd w:val="clear" w:color="auto" w:fill="auto"/>
            <w:noWrap/>
            <w:vAlign w:val="bottom"/>
            <w:hideMark/>
          </w:tcPr>
          <w:p w:rsidR="009A5E5C" w:rsidRPr="00DB2665" w:rsidRDefault="009A5E5C" w:rsidP="009A5E5C">
            <w:pPr>
              <w:rPr>
                <w:i/>
                <w:iCs/>
                <w:sz w:val="23"/>
                <w:szCs w:val="23"/>
              </w:rPr>
            </w:pPr>
          </w:p>
        </w:tc>
        <w:tc>
          <w:tcPr>
            <w:tcW w:w="480" w:type="dxa"/>
            <w:tcBorders>
              <w:top w:val="nil"/>
              <w:left w:val="nil"/>
              <w:bottom w:val="nil"/>
              <w:right w:val="nil"/>
            </w:tcBorders>
            <w:shd w:val="clear" w:color="auto" w:fill="auto"/>
            <w:noWrap/>
            <w:vAlign w:val="bottom"/>
            <w:hideMark/>
          </w:tcPr>
          <w:p w:rsidR="009A5E5C" w:rsidRPr="00DB2665" w:rsidRDefault="009A5E5C" w:rsidP="009A5E5C">
            <w:pPr>
              <w:jc w:val="right"/>
              <w:rPr>
                <w:sz w:val="20"/>
              </w:rPr>
            </w:pPr>
          </w:p>
        </w:tc>
        <w:tc>
          <w:tcPr>
            <w:tcW w:w="1079" w:type="dxa"/>
            <w:gridSpan w:val="2"/>
            <w:tcBorders>
              <w:top w:val="nil"/>
              <w:left w:val="nil"/>
              <w:bottom w:val="nil"/>
              <w:right w:val="nil"/>
            </w:tcBorders>
            <w:shd w:val="clear" w:color="auto" w:fill="auto"/>
            <w:noWrap/>
            <w:vAlign w:val="bottom"/>
            <w:hideMark/>
          </w:tcPr>
          <w:p w:rsidR="009A5E5C" w:rsidRPr="00DB2665" w:rsidRDefault="009A5E5C" w:rsidP="009A5E5C">
            <w:pPr>
              <w:rPr>
                <w:sz w:val="20"/>
              </w:rPr>
            </w:pPr>
          </w:p>
        </w:tc>
        <w:tc>
          <w:tcPr>
            <w:tcW w:w="480" w:type="dxa"/>
            <w:tcBorders>
              <w:top w:val="nil"/>
              <w:left w:val="nil"/>
              <w:bottom w:val="nil"/>
              <w:right w:val="nil"/>
            </w:tcBorders>
            <w:shd w:val="clear" w:color="auto" w:fill="auto"/>
            <w:noWrap/>
            <w:vAlign w:val="bottom"/>
            <w:hideMark/>
          </w:tcPr>
          <w:p w:rsidR="009A5E5C" w:rsidRPr="00DB2665" w:rsidRDefault="009A5E5C" w:rsidP="009A5E5C">
            <w:pPr>
              <w:jc w:val="right"/>
              <w:rPr>
                <w:sz w:val="20"/>
              </w:rPr>
            </w:pPr>
          </w:p>
        </w:tc>
        <w:tc>
          <w:tcPr>
            <w:tcW w:w="1363" w:type="dxa"/>
            <w:gridSpan w:val="2"/>
            <w:tcBorders>
              <w:top w:val="nil"/>
              <w:left w:val="nil"/>
              <w:bottom w:val="nil"/>
              <w:right w:val="nil"/>
            </w:tcBorders>
            <w:shd w:val="clear" w:color="auto" w:fill="auto"/>
            <w:noWrap/>
            <w:vAlign w:val="bottom"/>
            <w:hideMark/>
          </w:tcPr>
          <w:p w:rsidR="009A5E5C" w:rsidRPr="00DB2665" w:rsidRDefault="009A5E5C" w:rsidP="009A5E5C">
            <w:pPr>
              <w:rPr>
                <w:sz w:val="20"/>
              </w:rPr>
            </w:pPr>
          </w:p>
        </w:tc>
      </w:tr>
      <w:tr w:rsidR="009A5E5C" w:rsidRPr="00DB2665" w:rsidTr="002D17C8">
        <w:trPr>
          <w:gridBefore w:val="1"/>
          <w:gridAfter w:val="1"/>
          <w:wBefore w:w="567" w:type="dxa"/>
          <w:wAfter w:w="529" w:type="dxa"/>
          <w:trHeight w:val="315"/>
        </w:trPr>
        <w:tc>
          <w:tcPr>
            <w:tcW w:w="3433" w:type="dxa"/>
            <w:tcBorders>
              <w:top w:val="nil"/>
              <w:left w:val="nil"/>
              <w:bottom w:val="nil"/>
              <w:right w:val="nil"/>
            </w:tcBorders>
            <w:shd w:val="clear" w:color="auto" w:fill="auto"/>
            <w:noWrap/>
            <w:vAlign w:val="bottom"/>
            <w:hideMark/>
          </w:tcPr>
          <w:p w:rsidR="009A5E5C" w:rsidRPr="00DB2665" w:rsidRDefault="009A5E5C" w:rsidP="009A5E5C">
            <w:pPr>
              <w:rPr>
                <w:sz w:val="23"/>
                <w:szCs w:val="23"/>
              </w:rPr>
            </w:pPr>
            <w:r w:rsidRPr="00DB2665">
              <w:rPr>
                <w:sz w:val="23"/>
                <w:szCs w:val="23"/>
              </w:rPr>
              <w:t>Dugulások száma</w:t>
            </w:r>
          </w:p>
        </w:tc>
        <w:tc>
          <w:tcPr>
            <w:tcW w:w="1529" w:type="dxa"/>
            <w:tcBorders>
              <w:top w:val="nil"/>
              <w:left w:val="nil"/>
              <w:bottom w:val="nil"/>
              <w:right w:val="nil"/>
            </w:tcBorders>
            <w:shd w:val="clear" w:color="auto" w:fill="auto"/>
            <w:noWrap/>
            <w:vAlign w:val="bottom"/>
            <w:hideMark/>
          </w:tcPr>
          <w:p w:rsidR="009A5E5C" w:rsidRPr="00DB2665" w:rsidRDefault="009A5E5C" w:rsidP="009A5E5C">
            <w:pPr>
              <w:rPr>
                <w:sz w:val="23"/>
                <w:szCs w:val="23"/>
              </w:rPr>
            </w:pPr>
          </w:p>
        </w:tc>
        <w:tc>
          <w:tcPr>
            <w:tcW w:w="480" w:type="dxa"/>
            <w:tcBorders>
              <w:top w:val="nil"/>
              <w:left w:val="nil"/>
              <w:bottom w:val="nil"/>
              <w:right w:val="nil"/>
            </w:tcBorders>
            <w:shd w:val="clear" w:color="auto" w:fill="auto"/>
            <w:noWrap/>
            <w:vAlign w:val="bottom"/>
            <w:hideMark/>
          </w:tcPr>
          <w:p w:rsidR="009A5E5C" w:rsidRPr="00DB2665" w:rsidRDefault="009A5E5C" w:rsidP="009A5E5C">
            <w:pPr>
              <w:jc w:val="right"/>
              <w:rPr>
                <w:sz w:val="20"/>
              </w:rPr>
            </w:pPr>
          </w:p>
        </w:tc>
        <w:tc>
          <w:tcPr>
            <w:tcW w:w="1079" w:type="dxa"/>
            <w:gridSpan w:val="2"/>
            <w:tcBorders>
              <w:top w:val="nil"/>
              <w:left w:val="nil"/>
              <w:bottom w:val="nil"/>
              <w:right w:val="nil"/>
            </w:tcBorders>
            <w:shd w:val="clear" w:color="auto" w:fill="auto"/>
            <w:noWrap/>
            <w:vAlign w:val="bottom"/>
            <w:hideMark/>
          </w:tcPr>
          <w:p w:rsidR="009A5E5C" w:rsidRPr="00DB2665" w:rsidRDefault="009A5E5C" w:rsidP="009A5E5C">
            <w:pPr>
              <w:rPr>
                <w:sz w:val="20"/>
              </w:rPr>
            </w:pPr>
          </w:p>
        </w:tc>
        <w:tc>
          <w:tcPr>
            <w:tcW w:w="480" w:type="dxa"/>
            <w:tcBorders>
              <w:top w:val="nil"/>
              <w:left w:val="nil"/>
              <w:bottom w:val="nil"/>
              <w:right w:val="nil"/>
            </w:tcBorders>
            <w:shd w:val="clear" w:color="auto" w:fill="auto"/>
            <w:noWrap/>
            <w:vAlign w:val="bottom"/>
            <w:hideMark/>
          </w:tcPr>
          <w:p w:rsidR="009A5E5C" w:rsidRPr="00DB2665" w:rsidRDefault="009A5E5C" w:rsidP="009A5E5C">
            <w:pPr>
              <w:jc w:val="right"/>
              <w:rPr>
                <w:sz w:val="20"/>
              </w:rPr>
            </w:pPr>
          </w:p>
        </w:tc>
        <w:tc>
          <w:tcPr>
            <w:tcW w:w="1363" w:type="dxa"/>
            <w:gridSpan w:val="2"/>
            <w:tcBorders>
              <w:top w:val="nil"/>
              <w:left w:val="nil"/>
              <w:bottom w:val="nil"/>
              <w:right w:val="nil"/>
            </w:tcBorders>
            <w:shd w:val="clear" w:color="auto" w:fill="auto"/>
            <w:noWrap/>
            <w:vAlign w:val="bottom"/>
            <w:hideMark/>
          </w:tcPr>
          <w:p w:rsidR="009A5E5C" w:rsidRPr="00DB2665" w:rsidRDefault="009A5E5C" w:rsidP="009A5E5C">
            <w:pPr>
              <w:rPr>
                <w:sz w:val="20"/>
              </w:rPr>
            </w:pPr>
          </w:p>
        </w:tc>
      </w:tr>
      <w:tr w:rsidR="009A5E5C" w:rsidRPr="00DB2665" w:rsidTr="002D17C8">
        <w:trPr>
          <w:gridBefore w:val="1"/>
          <w:gridAfter w:val="1"/>
          <w:wBefore w:w="567" w:type="dxa"/>
          <w:wAfter w:w="529" w:type="dxa"/>
          <w:trHeight w:val="100"/>
        </w:trPr>
        <w:tc>
          <w:tcPr>
            <w:tcW w:w="3433" w:type="dxa"/>
            <w:tcBorders>
              <w:top w:val="nil"/>
              <w:left w:val="nil"/>
              <w:bottom w:val="nil"/>
              <w:right w:val="nil"/>
            </w:tcBorders>
            <w:shd w:val="clear" w:color="auto" w:fill="auto"/>
            <w:noWrap/>
            <w:vAlign w:val="bottom"/>
            <w:hideMark/>
          </w:tcPr>
          <w:p w:rsidR="009A5E5C" w:rsidRPr="00DB2665" w:rsidRDefault="009A5E5C" w:rsidP="009A5E5C">
            <w:pPr>
              <w:rPr>
                <w:sz w:val="23"/>
                <w:szCs w:val="23"/>
              </w:rPr>
            </w:pPr>
            <w:r w:rsidRPr="00DB2665">
              <w:rPr>
                <w:sz w:val="23"/>
                <w:szCs w:val="23"/>
              </w:rPr>
              <w:t xml:space="preserve">    gerincvezetéken</w:t>
            </w:r>
          </w:p>
        </w:tc>
        <w:tc>
          <w:tcPr>
            <w:tcW w:w="1529" w:type="dxa"/>
            <w:tcBorders>
              <w:top w:val="nil"/>
              <w:left w:val="nil"/>
              <w:bottom w:val="nil"/>
              <w:right w:val="nil"/>
            </w:tcBorders>
            <w:shd w:val="clear" w:color="auto" w:fill="auto"/>
            <w:noWrap/>
            <w:vAlign w:val="bottom"/>
            <w:hideMark/>
          </w:tcPr>
          <w:p w:rsidR="009A5E5C" w:rsidRPr="00DB2665" w:rsidRDefault="009A5E5C" w:rsidP="009A5E5C">
            <w:pPr>
              <w:jc w:val="right"/>
              <w:rPr>
                <w:sz w:val="23"/>
                <w:szCs w:val="23"/>
              </w:rPr>
            </w:pPr>
            <w:r w:rsidRPr="00DB2665">
              <w:rPr>
                <w:sz w:val="23"/>
                <w:szCs w:val="23"/>
              </w:rPr>
              <w:t>365</w:t>
            </w:r>
          </w:p>
        </w:tc>
        <w:tc>
          <w:tcPr>
            <w:tcW w:w="480" w:type="dxa"/>
            <w:tcBorders>
              <w:top w:val="nil"/>
              <w:left w:val="nil"/>
              <w:bottom w:val="nil"/>
              <w:right w:val="nil"/>
            </w:tcBorders>
            <w:shd w:val="clear" w:color="auto" w:fill="auto"/>
            <w:noWrap/>
            <w:vAlign w:val="bottom"/>
            <w:hideMark/>
          </w:tcPr>
          <w:p w:rsidR="009A5E5C" w:rsidRPr="00DB2665" w:rsidRDefault="009A5E5C" w:rsidP="009A5E5C">
            <w:pPr>
              <w:rPr>
                <w:sz w:val="23"/>
                <w:szCs w:val="23"/>
              </w:rPr>
            </w:pPr>
            <w:r w:rsidRPr="00DB2665">
              <w:rPr>
                <w:sz w:val="23"/>
                <w:szCs w:val="23"/>
              </w:rPr>
              <w:t>db</w:t>
            </w:r>
          </w:p>
        </w:tc>
        <w:tc>
          <w:tcPr>
            <w:tcW w:w="1079" w:type="dxa"/>
            <w:gridSpan w:val="2"/>
            <w:tcBorders>
              <w:top w:val="nil"/>
              <w:left w:val="nil"/>
              <w:bottom w:val="nil"/>
              <w:right w:val="nil"/>
            </w:tcBorders>
            <w:shd w:val="clear" w:color="auto" w:fill="auto"/>
            <w:noWrap/>
            <w:vAlign w:val="bottom"/>
            <w:hideMark/>
          </w:tcPr>
          <w:p w:rsidR="009A5E5C" w:rsidRPr="00DB2665" w:rsidRDefault="009A5E5C" w:rsidP="009A5E5C">
            <w:pPr>
              <w:jc w:val="right"/>
              <w:rPr>
                <w:sz w:val="23"/>
                <w:szCs w:val="23"/>
              </w:rPr>
            </w:pPr>
            <w:r w:rsidRPr="00DB2665">
              <w:rPr>
                <w:sz w:val="23"/>
                <w:szCs w:val="23"/>
              </w:rPr>
              <w:t>360</w:t>
            </w:r>
          </w:p>
        </w:tc>
        <w:tc>
          <w:tcPr>
            <w:tcW w:w="480" w:type="dxa"/>
            <w:tcBorders>
              <w:top w:val="nil"/>
              <w:left w:val="nil"/>
              <w:bottom w:val="nil"/>
              <w:right w:val="nil"/>
            </w:tcBorders>
            <w:shd w:val="clear" w:color="auto" w:fill="auto"/>
            <w:noWrap/>
            <w:vAlign w:val="bottom"/>
            <w:hideMark/>
          </w:tcPr>
          <w:p w:rsidR="009A5E5C" w:rsidRPr="00DB2665" w:rsidRDefault="009A5E5C" w:rsidP="009A5E5C">
            <w:pPr>
              <w:rPr>
                <w:sz w:val="23"/>
                <w:szCs w:val="23"/>
              </w:rPr>
            </w:pPr>
            <w:r w:rsidRPr="00DB2665">
              <w:rPr>
                <w:sz w:val="23"/>
                <w:szCs w:val="23"/>
              </w:rPr>
              <w:t>db</w:t>
            </w:r>
          </w:p>
        </w:tc>
        <w:tc>
          <w:tcPr>
            <w:tcW w:w="1363" w:type="dxa"/>
            <w:gridSpan w:val="2"/>
            <w:tcBorders>
              <w:top w:val="nil"/>
              <w:left w:val="nil"/>
              <w:bottom w:val="nil"/>
              <w:right w:val="nil"/>
            </w:tcBorders>
            <w:shd w:val="clear" w:color="auto" w:fill="auto"/>
            <w:noWrap/>
            <w:vAlign w:val="bottom"/>
            <w:hideMark/>
          </w:tcPr>
          <w:p w:rsidR="009A5E5C" w:rsidRPr="00DB2665" w:rsidRDefault="009A5E5C" w:rsidP="009A5E5C">
            <w:pPr>
              <w:jc w:val="center"/>
              <w:rPr>
                <w:sz w:val="23"/>
                <w:szCs w:val="23"/>
              </w:rPr>
            </w:pPr>
            <w:r w:rsidRPr="00DB2665">
              <w:rPr>
                <w:sz w:val="23"/>
                <w:szCs w:val="23"/>
              </w:rPr>
              <w:t>98,6%</w:t>
            </w:r>
          </w:p>
        </w:tc>
      </w:tr>
      <w:tr w:rsidR="009A5E5C" w:rsidRPr="00DB2665" w:rsidTr="002D17C8">
        <w:trPr>
          <w:gridBefore w:val="1"/>
          <w:gridAfter w:val="1"/>
          <w:wBefore w:w="567" w:type="dxa"/>
          <w:wAfter w:w="529" w:type="dxa"/>
          <w:trHeight w:val="90"/>
        </w:trPr>
        <w:tc>
          <w:tcPr>
            <w:tcW w:w="3433" w:type="dxa"/>
            <w:tcBorders>
              <w:top w:val="nil"/>
              <w:left w:val="nil"/>
              <w:bottom w:val="nil"/>
              <w:right w:val="nil"/>
            </w:tcBorders>
            <w:shd w:val="clear" w:color="auto" w:fill="auto"/>
            <w:noWrap/>
            <w:vAlign w:val="bottom"/>
            <w:hideMark/>
          </w:tcPr>
          <w:p w:rsidR="009A5E5C" w:rsidRPr="00DB2665" w:rsidRDefault="009A5E5C" w:rsidP="009A5E5C">
            <w:pPr>
              <w:rPr>
                <w:sz w:val="23"/>
                <w:szCs w:val="23"/>
              </w:rPr>
            </w:pPr>
            <w:r w:rsidRPr="00DB2665">
              <w:rPr>
                <w:sz w:val="23"/>
                <w:szCs w:val="23"/>
              </w:rPr>
              <w:t xml:space="preserve">    bekötővezetéken</w:t>
            </w:r>
          </w:p>
        </w:tc>
        <w:tc>
          <w:tcPr>
            <w:tcW w:w="1529" w:type="dxa"/>
            <w:tcBorders>
              <w:top w:val="nil"/>
              <w:left w:val="nil"/>
              <w:bottom w:val="nil"/>
              <w:right w:val="nil"/>
            </w:tcBorders>
            <w:shd w:val="clear" w:color="auto" w:fill="auto"/>
            <w:noWrap/>
            <w:vAlign w:val="bottom"/>
            <w:hideMark/>
          </w:tcPr>
          <w:p w:rsidR="009A5E5C" w:rsidRPr="00DB2665" w:rsidRDefault="009A5E5C" w:rsidP="009A5E5C">
            <w:pPr>
              <w:jc w:val="right"/>
              <w:rPr>
                <w:sz w:val="23"/>
                <w:szCs w:val="23"/>
              </w:rPr>
            </w:pPr>
            <w:r w:rsidRPr="00DB2665">
              <w:rPr>
                <w:sz w:val="23"/>
                <w:szCs w:val="23"/>
              </w:rPr>
              <w:t>354</w:t>
            </w:r>
          </w:p>
        </w:tc>
        <w:tc>
          <w:tcPr>
            <w:tcW w:w="480" w:type="dxa"/>
            <w:tcBorders>
              <w:top w:val="nil"/>
              <w:left w:val="nil"/>
              <w:bottom w:val="nil"/>
              <w:right w:val="nil"/>
            </w:tcBorders>
            <w:shd w:val="clear" w:color="auto" w:fill="auto"/>
            <w:noWrap/>
            <w:vAlign w:val="bottom"/>
            <w:hideMark/>
          </w:tcPr>
          <w:p w:rsidR="009A5E5C" w:rsidRPr="00DB2665" w:rsidRDefault="009A5E5C" w:rsidP="009A5E5C">
            <w:pPr>
              <w:rPr>
                <w:sz w:val="23"/>
                <w:szCs w:val="23"/>
              </w:rPr>
            </w:pPr>
            <w:r w:rsidRPr="00DB2665">
              <w:rPr>
                <w:sz w:val="23"/>
                <w:szCs w:val="23"/>
              </w:rPr>
              <w:t>db</w:t>
            </w:r>
          </w:p>
        </w:tc>
        <w:tc>
          <w:tcPr>
            <w:tcW w:w="1079" w:type="dxa"/>
            <w:gridSpan w:val="2"/>
            <w:tcBorders>
              <w:top w:val="nil"/>
              <w:left w:val="nil"/>
              <w:bottom w:val="nil"/>
              <w:right w:val="nil"/>
            </w:tcBorders>
            <w:shd w:val="clear" w:color="auto" w:fill="auto"/>
            <w:noWrap/>
            <w:vAlign w:val="bottom"/>
            <w:hideMark/>
          </w:tcPr>
          <w:p w:rsidR="009A5E5C" w:rsidRPr="00DB2665" w:rsidRDefault="009A5E5C" w:rsidP="009A5E5C">
            <w:pPr>
              <w:jc w:val="right"/>
              <w:rPr>
                <w:sz w:val="23"/>
                <w:szCs w:val="23"/>
              </w:rPr>
            </w:pPr>
            <w:r w:rsidRPr="00DB2665">
              <w:rPr>
                <w:sz w:val="23"/>
                <w:szCs w:val="23"/>
              </w:rPr>
              <w:t>272</w:t>
            </w:r>
          </w:p>
        </w:tc>
        <w:tc>
          <w:tcPr>
            <w:tcW w:w="480" w:type="dxa"/>
            <w:tcBorders>
              <w:top w:val="nil"/>
              <w:left w:val="nil"/>
              <w:bottom w:val="nil"/>
              <w:right w:val="nil"/>
            </w:tcBorders>
            <w:shd w:val="clear" w:color="auto" w:fill="auto"/>
            <w:noWrap/>
            <w:vAlign w:val="bottom"/>
            <w:hideMark/>
          </w:tcPr>
          <w:p w:rsidR="009A5E5C" w:rsidRPr="00DB2665" w:rsidRDefault="009A5E5C" w:rsidP="009A5E5C">
            <w:pPr>
              <w:rPr>
                <w:sz w:val="23"/>
                <w:szCs w:val="23"/>
              </w:rPr>
            </w:pPr>
            <w:r w:rsidRPr="00DB2665">
              <w:rPr>
                <w:sz w:val="23"/>
                <w:szCs w:val="23"/>
              </w:rPr>
              <w:t>db</w:t>
            </w:r>
          </w:p>
        </w:tc>
        <w:tc>
          <w:tcPr>
            <w:tcW w:w="1363" w:type="dxa"/>
            <w:gridSpan w:val="2"/>
            <w:tcBorders>
              <w:top w:val="nil"/>
              <w:left w:val="nil"/>
              <w:bottom w:val="nil"/>
              <w:right w:val="nil"/>
            </w:tcBorders>
            <w:shd w:val="clear" w:color="auto" w:fill="auto"/>
            <w:noWrap/>
            <w:vAlign w:val="bottom"/>
            <w:hideMark/>
          </w:tcPr>
          <w:p w:rsidR="009A5E5C" w:rsidRPr="00DB2665" w:rsidRDefault="009A5E5C" w:rsidP="009A5E5C">
            <w:pPr>
              <w:jc w:val="center"/>
              <w:rPr>
                <w:sz w:val="23"/>
                <w:szCs w:val="23"/>
              </w:rPr>
            </w:pPr>
            <w:r w:rsidRPr="00DB2665">
              <w:rPr>
                <w:sz w:val="23"/>
                <w:szCs w:val="23"/>
              </w:rPr>
              <w:t>76,8%</w:t>
            </w:r>
          </w:p>
        </w:tc>
      </w:tr>
      <w:tr w:rsidR="009A5E5C" w:rsidRPr="00DB2665" w:rsidTr="002D17C8">
        <w:trPr>
          <w:gridBefore w:val="1"/>
          <w:gridAfter w:val="1"/>
          <w:wBefore w:w="567" w:type="dxa"/>
          <w:wAfter w:w="529" w:type="dxa"/>
          <w:trHeight w:val="90"/>
        </w:trPr>
        <w:tc>
          <w:tcPr>
            <w:tcW w:w="3433" w:type="dxa"/>
            <w:tcBorders>
              <w:top w:val="nil"/>
              <w:left w:val="nil"/>
              <w:bottom w:val="nil"/>
              <w:right w:val="nil"/>
            </w:tcBorders>
            <w:shd w:val="clear" w:color="auto" w:fill="auto"/>
            <w:noWrap/>
            <w:vAlign w:val="bottom"/>
            <w:hideMark/>
          </w:tcPr>
          <w:p w:rsidR="009A5E5C" w:rsidRPr="00DB2665" w:rsidRDefault="009A5E5C" w:rsidP="009A5E5C">
            <w:pPr>
              <w:jc w:val="center"/>
              <w:rPr>
                <w:sz w:val="23"/>
                <w:szCs w:val="23"/>
              </w:rPr>
            </w:pPr>
          </w:p>
        </w:tc>
        <w:tc>
          <w:tcPr>
            <w:tcW w:w="1529" w:type="dxa"/>
            <w:tcBorders>
              <w:top w:val="nil"/>
              <w:left w:val="nil"/>
              <w:bottom w:val="nil"/>
              <w:right w:val="nil"/>
            </w:tcBorders>
            <w:shd w:val="clear" w:color="auto" w:fill="auto"/>
            <w:noWrap/>
            <w:vAlign w:val="bottom"/>
            <w:hideMark/>
          </w:tcPr>
          <w:p w:rsidR="009A5E5C" w:rsidRPr="00DB2665" w:rsidRDefault="009A5E5C" w:rsidP="009A5E5C">
            <w:pPr>
              <w:jc w:val="left"/>
              <w:rPr>
                <w:sz w:val="20"/>
              </w:rPr>
            </w:pPr>
          </w:p>
        </w:tc>
        <w:tc>
          <w:tcPr>
            <w:tcW w:w="480" w:type="dxa"/>
            <w:tcBorders>
              <w:top w:val="nil"/>
              <w:left w:val="nil"/>
              <w:bottom w:val="nil"/>
              <w:right w:val="nil"/>
            </w:tcBorders>
            <w:shd w:val="clear" w:color="auto" w:fill="auto"/>
            <w:noWrap/>
            <w:vAlign w:val="bottom"/>
            <w:hideMark/>
          </w:tcPr>
          <w:p w:rsidR="009A5E5C" w:rsidRPr="00DB2665" w:rsidRDefault="009A5E5C" w:rsidP="009A5E5C">
            <w:pPr>
              <w:jc w:val="left"/>
              <w:rPr>
                <w:sz w:val="20"/>
              </w:rPr>
            </w:pPr>
          </w:p>
        </w:tc>
        <w:tc>
          <w:tcPr>
            <w:tcW w:w="1079" w:type="dxa"/>
            <w:gridSpan w:val="2"/>
            <w:tcBorders>
              <w:top w:val="nil"/>
              <w:left w:val="nil"/>
              <w:bottom w:val="nil"/>
              <w:right w:val="nil"/>
            </w:tcBorders>
            <w:shd w:val="clear" w:color="auto" w:fill="auto"/>
            <w:noWrap/>
            <w:vAlign w:val="bottom"/>
            <w:hideMark/>
          </w:tcPr>
          <w:p w:rsidR="009A5E5C" w:rsidRPr="00DB2665" w:rsidRDefault="009A5E5C" w:rsidP="009A5E5C">
            <w:pPr>
              <w:jc w:val="left"/>
              <w:rPr>
                <w:sz w:val="20"/>
              </w:rPr>
            </w:pPr>
          </w:p>
        </w:tc>
        <w:tc>
          <w:tcPr>
            <w:tcW w:w="480" w:type="dxa"/>
            <w:tcBorders>
              <w:top w:val="nil"/>
              <w:left w:val="nil"/>
              <w:bottom w:val="nil"/>
              <w:right w:val="nil"/>
            </w:tcBorders>
            <w:shd w:val="clear" w:color="auto" w:fill="auto"/>
            <w:noWrap/>
            <w:vAlign w:val="bottom"/>
            <w:hideMark/>
          </w:tcPr>
          <w:p w:rsidR="009A5E5C" w:rsidRPr="00DB2665" w:rsidRDefault="009A5E5C" w:rsidP="009A5E5C">
            <w:pPr>
              <w:jc w:val="left"/>
              <w:rPr>
                <w:sz w:val="20"/>
              </w:rPr>
            </w:pPr>
          </w:p>
        </w:tc>
        <w:tc>
          <w:tcPr>
            <w:tcW w:w="1363" w:type="dxa"/>
            <w:gridSpan w:val="2"/>
            <w:tcBorders>
              <w:top w:val="nil"/>
              <w:left w:val="nil"/>
              <w:bottom w:val="nil"/>
              <w:right w:val="nil"/>
            </w:tcBorders>
            <w:shd w:val="clear" w:color="auto" w:fill="auto"/>
            <w:noWrap/>
            <w:vAlign w:val="bottom"/>
            <w:hideMark/>
          </w:tcPr>
          <w:p w:rsidR="009A5E5C" w:rsidRPr="00DB2665" w:rsidRDefault="009A5E5C" w:rsidP="009A5E5C">
            <w:pPr>
              <w:jc w:val="left"/>
              <w:rPr>
                <w:sz w:val="20"/>
              </w:rPr>
            </w:pPr>
          </w:p>
        </w:tc>
      </w:tr>
      <w:tr w:rsidR="009A5E5C" w:rsidRPr="00DB2665" w:rsidTr="00DF334B">
        <w:trPr>
          <w:gridBefore w:val="1"/>
          <w:gridAfter w:val="1"/>
          <w:wBefore w:w="567" w:type="dxa"/>
          <w:wAfter w:w="529" w:type="dxa"/>
          <w:trHeight w:val="80"/>
        </w:trPr>
        <w:tc>
          <w:tcPr>
            <w:tcW w:w="3433" w:type="dxa"/>
            <w:tcBorders>
              <w:top w:val="nil"/>
              <w:left w:val="nil"/>
              <w:bottom w:val="nil"/>
              <w:right w:val="nil"/>
            </w:tcBorders>
            <w:shd w:val="clear" w:color="auto" w:fill="auto"/>
            <w:vAlign w:val="bottom"/>
            <w:hideMark/>
          </w:tcPr>
          <w:p w:rsidR="009A5E5C" w:rsidRPr="00DB2665" w:rsidRDefault="009A5E5C" w:rsidP="009A5E5C">
            <w:pPr>
              <w:rPr>
                <w:sz w:val="23"/>
                <w:szCs w:val="23"/>
              </w:rPr>
            </w:pPr>
            <w:r w:rsidRPr="00DB2665">
              <w:rPr>
                <w:sz w:val="23"/>
                <w:szCs w:val="23"/>
              </w:rPr>
              <w:t>Átemelő meghibásodások száma</w:t>
            </w:r>
          </w:p>
        </w:tc>
        <w:tc>
          <w:tcPr>
            <w:tcW w:w="1529" w:type="dxa"/>
            <w:tcBorders>
              <w:top w:val="nil"/>
              <w:left w:val="nil"/>
              <w:bottom w:val="nil"/>
              <w:right w:val="nil"/>
            </w:tcBorders>
            <w:shd w:val="clear" w:color="auto" w:fill="auto"/>
            <w:noWrap/>
            <w:vAlign w:val="bottom"/>
            <w:hideMark/>
          </w:tcPr>
          <w:p w:rsidR="009A5E5C" w:rsidRPr="00DB2665" w:rsidRDefault="009A5E5C" w:rsidP="009A5E5C">
            <w:pPr>
              <w:rPr>
                <w:sz w:val="23"/>
                <w:szCs w:val="23"/>
              </w:rPr>
            </w:pPr>
          </w:p>
        </w:tc>
        <w:tc>
          <w:tcPr>
            <w:tcW w:w="480" w:type="dxa"/>
            <w:tcBorders>
              <w:top w:val="nil"/>
              <w:left w:val="nil"/>
              <w:bottom w:val="nil"/>
              <w:right w:val="nil"/>
            </w:tcBorders>
            <w:shd w:val="clear" w:color="auto" w:fill="auto"/>
            <w:noWrap/>
            <w:vAlign w:val="bottom"/>
            <w:hideMark/>
          </w:tcPr>
          <w:p w:rsidR="009A5E5C" w:rsidRPr="00DB2665" w:rsidRDefault="009A5E5C" w:rsidP="009A5E5C">
            <w:pPr>
              <w:jc w:val="right"/>
              <w:rPr>
                <w:sz w:val="20"/>
              </w:rPr>
            </w:pPr>
          </w:p>
        </w:tc>
        <w:tc>
          <w:tcPr>
            <w:tcW w:w="1079" w:type="dxa"/>
            <w:gridSpan w:val="2"/>
            <w:tcBorders>
              <w:top w:val="nil"/>
              <w:left w:val="nil"/>
              <w:bottom w:val="nil"/>
              <w:right w:val="nil"/>
            </w:tcBorders>
            <w:shd w:val="clear" w:color="auto" w:fill="auto"/>
            <w:noWrap/>
            <w:vAlign w:val="bottom"/>
            <w:hideMark/>
          </w:tcPr>
          <w:p w:rsidR="009A5E5C" w:rsidRPr="00DB2665" w:rsidRDefault="009A5E5C" w:rsidP="009A5E5C">
            <w:pPr>
              <w:rPr>
                <w:sz w:val="20"/>
              </w:rPr>
            </w:pPr>
          </w:p>
        </w:tc>
        <w:tc>
          <w:tcPr>
            <w:tcW w:w="480" w:type="dxa"/>
            <w:tcBorders>
              <w:top w:val="nil"/>
              <w:left w:val="nil"/>
              <w:bottom w:val="nil"/>
              <w:right w:val="nil"/>
            </w:tcBorders>
            <w:shd w:val="clear" w:color="auto" w:fill="auto"/>
            <w:noWrap/>
            <w:vAlign w:val="bottom"/>
            <w:hideMark/>
          </w:tcPr>
          <w:p w:rsidR="009A5E5C" w:rsidRPr="00DB2665" w:rsidRDefault="009A5E5C" w:rsidP="009A5E5C">
            <w:pPr>
              <w:jc w:val="right"/>
              <w:rPr>
                <w:sz w:val="20"/>
              </w:rPr>
            </w:pPr>
          </w:p>
        </w:tc>
        <w:tc>
          <w:tcPr>
            <w:tcW w:w="1363" w:type="dxa"/>
            <w:gridSpan w:val="2"/>
            <w:tcBorders>
              <w:top w:val="nil"/>
              <w:left w:val="nil"/>
              <w:bottom w:val="nil"/>
              <w:right w:val="nil"/>
            </w:tcBorders>
            <w:shd w:val="clear" w:color="auto" w:fill="auto"/>
            <w:noWrap/>
            <w:vAlign w:val="bottom"/>
            <w:hideMark/>
          </w:tcPr>
          <w:p w:rsidR="009A5E5C" w:rsidRPr="00DB2665" w:rsidRDefault="009A5E5C" w:rsidP="009A5E5C">
            <w:pPr>
              <w:rPr>
                <w:sz w:val="20"/>
              </w:rPr>
            </w:pPr>
          </w:p>
        </w:tc>
      </w:tr>
      <w:tr w:rsidR="009A5E5C" w:rsidRPr="00DB2665" w:rsidTr="002D17C8">
        <w:trPr>
          <w:gridBefore w:val="1"/>
          <w:gridAfter w:val="1"/>
          <w:wBefore w:w="567" w:type="dxa"/>
          <w:wAfter w:w="529" w:type="dxa"/>
          <w:trHeight w:val="99"/>
        </w:trPr>
        <w:tc>
          <w:tcPr>
            <w:tcW w:w="3433" w:type="dxa"/>
            <w:tcBorders>
              <w:top w:val="nil"/>
              <w:left w:val="nil"/>
              <w:bottom w:val="nil"/>
              <w:right w:val="nil"/>
            </w:tcBorders>
            <w:shd w:val="clear" w:color="auto" w:fill="auto"/>
            <w:noWrap/>
            <w:vAlign w:val="center"/>
            <w:hideMark/>
          </w:tcPr>
          <w:p w:rsidR="009A5E5C" w:rsidRPr="00DB2665" w:rsidRDefault="009A5E5C" w:rsidP="009A5E5C">
            <w:pPr>
              <w:rPr>
                <w:sz w:val="23"/>
                <w:szCs w:val="23"/>
              </w:rPr>
            </w:pPr>
            <w:r w:rsidRPr="00DB2665">
              <w:rPr>
                <w:sz w:val="23"/>
                <w:szCs w:val="23"/>
              </w:rPr>
              <w:t xml:space="preserve">    dugulás, gépészeti beavatkozás</w:t>
            </w:r>
          </w:p>
        </w:tc>
        <w:tc>
          <w:tcPr>
            <w:tcW w:w="1529" w:type="dxa"/>
            <w:tcBorders>
              <w:top w:val="nil"/>
              <w:left w:val="nil"/>
              <w:bottom w:val="nil"/>
              <w:right w:val="nil"/>
            </w:tcBorders>
            <w:shd w:val="clear" w:color="auto" w:fill="auto"/>
            <w:noWrap/>
            <w:vAlign w:val="bottom"/>
            <w:hideMark/>
          </w:tcPr>
          <w:p w:rsidR="009A5E5C" w:rsidRPr="00DB2665" w:rsidRDefault="009A5E5C" w:rsidP="009A5E5C">
            <w:pPr>
              <w:jc w:val="right"/>
              <w:rPr>
                <w:sz w:val="23"/>
                <w:szCs w:val="23"/>
              </w:rPr>
            </w:pPr>
            <w:r w:rsidRPr="00DB2665">
              <w:rPr>
                <w:sz w:val="23"/>
                <w:szCs w:val="23"/>
              </w:rPr>
              <w:t>2 006</w:t>
            </w:r>
          </w:p>
        </w:tc>
        <w:tc>
          <w:tcPr>
            <w:tcW w:w="480" w:type="dxa"/>
            <w:tcBorders>
              <w:top w:val="nil"/>
              <w:left w:val="nil"/>
              <w:bottom w:val="nil"/>
              <w:right w:val="nil"/>
            </w:tcBorders>
            <w:shd w:val="clear" w:color="auto" w:fill="auto"/>
            <w:noWrap/>
            <w:vAlign w:val="bottom"/>
            <w:hideMark/>
          </w:tcPr>
          <w:p w:rsidR="009A5E5C" w:rsidRPr="00DB2665" w:rsidRDefault="009A5E5C" w:rsidP="009A5E5C">
            <w:pPr>
              <w:rPr>
                <w:sz w:val="23"/>
                <w:szCs w:val="23"/>
              </w:rPr>
            </w:pPr>
            <w:r w:rsidRPr="00DB2665">
              <w:rPr>
                <w:sz w:val="23"/>
                <w:szCs w:val="23"/>
              </w:rPr>
              <w:t>db</w:t>
            </w:r>
          </w:p>
        </w:tc>
        <w:tc>
          <w:tcPr>
            <w:tcW w:w="1079" w:type="dxa"/>
            <w:gridSpan w:val="2"/>
            <w:tcBorders>
              <w:top w:val="nil"/>
              <w:left w:val="nil"/>
              <w:bottom w:val="nil"/>
              <w:right w:val="nil"/>
            </w:tcBorders>
            <w:shd w:val="clear" w:color="auto" w:fill="auto"/>
            <w:noWrap/>
            <w:vAlign w:val="bottom"/>
            <w:hideMark/>
          </w:tcPr>
          <w:p w:rsidR="009A5E5C" w:rsidRPr="00DB2665" w:rsidRDefault="009A5E5C" w:rsidP="009A5E5C">
            <w:pPr>
              <w:jc w:val="right"/>
              <w:rPr>
                <w:sz w:val="23"/>
                <w:szCs w:val="23"/>
              </w:rPr>
            </w:pPr>
            <w:r w:rsidRPr="00DB2665">
              <w:rPr>
                <w:sz w:val="23"/>
                <w:szCs w:val="23"/>
              </w:rPr>
              <w:t>1 702</w:t>
            </w:r>
          </w:p>
        </w:tc>
        <w:tc>
          <w:tcPr>
            <w:tcW w:w="480" w:type="dxa"/>
            <w:tcBorders>
              <w:top w:val="nil"/>
              <w:left w:val="nil"/>
              <w:bottom w:val="nil"/>
              <w:right w:val="nil"/>
            </w:tcBorders>
            <w:shd w:val="clear" w:color="auto" w:fill="auto"/>
            <w:noWrap/>
            <w:vAlign w:val="bottom"/>
            <w:hideMark/>
          </w:tcPr>
          <w:p w:rsidR="009A5E5C" w:rsidRPr="00DB2665" w:rsidRDefault="009A5E5C" w:rsidP="009A5E5C">
            <w:pPr>
              <w:rPr>
                <w:sz w:val="23"/>
                <w:szCs w:val="23"/>
              </w:rPr>
            </w:pPr>
            <w:r w:rsidRPr="00DB2665">
              <w:rPr>
                <w:sz w:val="23"/>
                <w:szCs w:val="23"/>
              </w:rPr>
              <w:t>db</w:t>
            </w:r>
          </w:p>
        </w:tc>
        <w:tc>
          <w:tcPr>
            <w:tcW w:w="1363" w:type="dxa"/>
            <w:gridSpan w:val="2"/>
            <w:tcBorders>
              <w:top w:val="nil"/>
              <w:left w:val="nil"/>
              <w:bottom w:val="nil"/>
              <w:right w:val="nil"/>
            </w:tcBorders>
            <w:shd w:val="clear" w:color="auto" w:fill="auto"/>
            <w:noWrap/>
            <w:vAlign w:val="bottom"/>
            <w:hideMark/>
          </w:tcPr>
          <w:p w:rsidR="009A5E5C" w:rsidRPr="00DB2665" w:rsidRDefault="009A5E5C" w:rsidP="009A5E5C">
            <w:pPr>
              <w:jc w:val="center"/>
              <w:rPr>
                <w:sz w:val="23"/>
                <w:szCs w:val="23"/>
              </w:rPr>
            </w:pPr>
            <w:r w:rsidRPr="00DB2665">
              <w:rPr>
                <w:sz w:val="23"/>
                <w:szCs w:val="23"/>
              </w:rPr>
              <w:t>84,8%</w:t>
            </w:r>
          </w:p>
        </w:tc>
      </w:tr>
      <w:tr w:rsidR="009A5E5C" w:rsidRPr="00DB2665" w:rsidTr="002D17C8">
        <w:trPr>
          <w:gridBefore w:val="1"/>
          <w:gridAfter w:val="1"/>
          <w:wBefore w:w="567" w:type="dxa"/>
          <w:wAfter w:w="529" w:type="dxa"/>
          <w:trHeight w:val="90"/>
        </w:trPr>
        <w:tc>
          <w:tcPr>
            <w:tcW w:w="3433" w:type="dxa"/>
            <w:tcBorders>
              <w:top w:val="nil"/>
              <w:left w:val="nil"/>
              <w:bottom w:val="nil"/>
              <w:right w:val="nil"/>
            </w:tcBorders>
            <w:shd w:val="clear" w:color="auto" w:fill="auto"/>
            <w:noWrap/>
            <w:vAlign w:val="bottom"/>
            <w:hideMark/>
          </w:tcPr>
          <w:p w:rsidR="009A5E5C" w:rsidRPr="00DB2665" w:rsidRDefault="009A5E5C" w:rsidP="009A5E5C">
            <w:pPr>
              <w:rPr>
                <w:sz w:val="23"/>
                <w:szCs w:val="23"/>
              </w:rPr>
            </w:pPr>
            <w:r w:rsidRPr="00DB2665">
              <w:rPr>
                <w:sz w:val="23"/>
                <w:szCs w:val="23"/>
              </w:rPr>
              <w:t xml:space="preserve">    villamos és automatika</w:t>
            </w:r>
          </w:p>
        </w:tc>
        <w:tc>
          <w:tcPr>
            <w:tcW w:w="1529" w:type="dxa"/>
            <w:tcBorders>
              <w:top w:val="nil"/>
              <w:left w:val="nil"/>
              <w:bottom w:val="nil"/>
              <w:right w:val="nil"/>
            </w:tcBorders>
            <w:shd w:val="clear" w:color="auto" w:fill="auto"/>
            <w:noWrap/>
            <w:vAlign w:val="bottom"/>
            <w:hideMark/>
          </w:tcPr>
          <w:p w:rsidR="009A5E5C" w:rsidRPr="00DB2665" w:rsidRDefault="009A5E5C" w:rsidP="009A5E5C">
            <w:pPr>
              <w:jc w:val="right"/>
              <w:rPr>
                <w:sz w:val="23"/>
                <w:szCs w:val="23"/>
              </w:rPr>
            </w:pPr>
            <w:r w:rsidRPr="00DB2665">
              <w:rPr>
                <w:sz w:val="23"/>
                <w:szCs w:val="23"/>
              </w:rPr>
              <w:t>1 305</w:t>
            </w:r>
          </w:p>
        </w:tc>
        <w:tc>
          <w:tcPr>
            <w:tcW w:w="480" w:type="dxa"/>
            <w:tcBorders>
              <w:top w:val="nil"/>
              <w:left w:val="nil"/>
              <w:bottom w:val="nil"/>
              <w:right w:val="nil"/>
            </w:tcBorders>
            <w:shd w:val="clear" w:color="auto" w:fill="auto"/>
            <w:noWrap/>
            <w:vAlign w:val="bottom"/>
            <w:hideMark/>
          </w:tcPr>
          <w:p w:rsidR="009A5E5C" w:rsidRPr="00DB2665" w:rsidRDefault="009A5E5C" w:rsidP="009A5E5C">
            <w:pPr>
              <w:rPr>
                <w:sz w:val="23"/>
                <w:szCs w:val="23"/>
              </w:rPr>
            </w:pPr>
            <w:r w:rsidRPr="00DB2665">
              <w:rPr>
                <w:sz w:val="23"/>
                <w:szCs w:val="23"/>
              </w:rPr>
              <w:t>db</w:t>
            </w:r>
          </w:p>
        </w:tc>
        <w:tc>
          <w:tcPr>
            <w:tcW w:w="1079" w:type="dxa"/>
            <w:gridSpan w:val="2"/>
            <w:tcBorders>
              <w:top w:val="nil"/>
              <w:left w:val="nil"/>
              <w:bottom w:val="nil"/>
              <w:right w:val="nil"/>
            </w:tcBorders>
            <w:shd w:val="clear" w:color="auto" w:fill="auto"/>
            <w:noWrap/>
            <w:vAlign w:val="bottom"/>
            <w:hideMark/>
          </w:tcPr>
          <w:p w:rsidR="009A5E5C" w:rsidRPr="00DB2665" w:rsidRDefault="009A5E5C" w:rsidP="009A5E5C">
            <w:pPr>
              <w:jc w:val="right"/>
              <w:rPr>
                <w:sz w:val="23"/>
                <w:szCs w:val="23"/>
              </w:rPr>
            </w:pPr>
            <w:r w:rsidRPr="00DB2665">
              <w:rPr>
                <w:sz w:val="23"/>
                <w:szCs w:val="23"/>
              </w:rPr>
              <w:t>876</w:t>
            </w:r>
          </w:p>
        </w:tc>
        <w:tc>
          <w:tcPr>
            <w:tcW w:w="480" w:type="dxa"/>
            <w:tcBorders>
              <w:top w:val="nil"/>
              <w:left w:val="nil"/>
              <w:bottom w:val="nil"/>
              <w:right w:val="nil"/>
            </w:tcBorders>
            <w:shd w:val="clear" w:color="auto" w:fill="auto"/>
            <w:noWrap/>
            <w:vAlign w:val="bottom"/>
            <w:hideMark/>
          </w:tcPr>
          <w:p w:rsidR="009A5E5C" w:rsidRPr="00DB2665" w:rsidRDefault="009A5E5C" w:rsidP="009A5E5C">
            <w:pPr>
              <w:rPr>
                <w:sz w:val="23"/>
                <w:szCs w:val="23"/>
              </w:rPr>
            </w:pPr>
            <w:r w:rsidRPr="00DB2665">
              <w:rPr>
                <w:sz w:val="23"/>
                <w:szCs w:val="23"/>
              </w:rPr>
              <w:t>db</w:t>
            </w:r>
          </w:p>
        </w:tc>
        <w:tc>
          <w:tcPr>
            <w:tcW w:w="1363" w:type="dxa"/>
            <w:gridSpan w:val="2"/>
            <w:tcBorders>
              <w:top w:val="nil"/>
              <w:left w:val="nil"/>
              <w:bottom w:val="nil"/>
              <w:right w:val="nil"/>
            </w:tcBorders>
            <w:shd w:val="clear" w:color="auto" w:fill="auto"/>
            <w:noWrap/>
            <w:vAlign w:val="bottom"/>
            <w:hideMark/>
          </w:tcPr>
          <w:p w:rsidR="009A5E5C" w:rsidRPr="00DB2665" w:rsidRDefault="009A5E5C" w:rsidP="009A5E5C">
            <w:pPr>
              <w:jc w:val="center"/>
              <w:rPr>
                <w:sz w:val="23"/>
                <w:szCs w:val="23"/>
              </w:rPr>
            </w:pPr>
            <w:r w:rsidRPr="00DB2665">
              <w:rPr>
                <w:sz w:val="23"/>
                <w:szCs w:val="23"/>
              </w:rPr>
              <w:t>67,1%</w:t>
            </w:r>
          </w:p>
        </w:tc>
      </w:tr>
    </w:tbl>
    <w:p w:rsidR="009A5E5C" w:rsidRPr="00DB2665" w:rsidRDefault="009A5E5C" w:rsidP="0076232E">
      <w:pPr>
        <w:ind w:right="141"/>
        <w:rPr>
          <w:szCs w:val="24"/>
        </w:rPr>
      </w:pPr>
    </w:p>
    <w:p w:rsidR="00314EC7" w:rsidRPr="00DB2665" w:rsidRDefault="00314EC7" w:rsidP="00314EC7">
      <w:pPr>
        <w:ind w:right="141"/>
        <w:rPr>
          <w:szCs w:val="24"/>
        </w:rPr>
      </w:pPr>
      <w:r>
        <w:rPr>
          <w:szCs w:val="24"/>
        </w:rPr>
        <w:t xml:space="preserve">Az ivóvíz hálózaton a megszorítások miatt </w:t>
      </w:r>
      <w:r w:rsidR="00071A49">
        <w:rPr>
          <w:szCs w:val="24"/>
        </w:rPr>
        <w:t xml:space="preserve">az előző évinél </w:t>
      </w:r>
      <w:r>
        <w:rPr>
          <w:szCs w:val="24"/>
        </w:rPr>
        <w:t xml:space="preserve">lényegesen kevesebb gerincvezeték cserére volt lehetőség, hogy a fenntartási </w:t>
      </w:r>
      <w:r w:rsidRPr="00E736F6">
        <w:rPr>
          <w:szCs w:val="24"/>
        </w:rPr>
        <w:t xml:space="preserve">tervet </w:t>
      </w:r>
      <w:r w:rsidR="00071A49" w:rsidRPr="00E736F6">
        <w:rPr>
          <w:szCs w:val="24"/>
        </w:rPr>
        <w:t xml:space="preserve">tartani </w:t>
      </w:r>
      <w:r w:rsidRPr="00E736F6">
        <w:rPr>
          <w:szCs w:val="24"/>
        </w:rPr>
        <w:t>tudjuk.</w:t>
      </w:r>
    </w:p>
    <w:p w:rsidR="00A838CE" w:rsidRPr="00DB2665" w:rsidRDefault="00DF334B" w:rsidP="0076232E">
      <w:pPr>
        <w:spacing w:before="120"/>
        <w:rPr>
          <w:szCs w:val="24"/>
        </w:rPr>
      </w:pPr>
      <w:r w:rsidRPr="00DB2665">
        <w:rPr>
          <w:szCs w:val="24"/>
        </w:rPr>
        <w:t xml:space="preserve">A </w:t>
      </w:r>
      <w:r w:rsidR="00A464E9">
        <w:rPr>
          <w:szCs w:val="24"/>
        </w:rPr>
        <w:t xml:space="preserve">szennyvíz </w:t>
      </w:r>
      <w:r w:rsidRPr="00DB2665">
        <w:rPr>
          <w:szCs w:val="24"/>
        </w:rPr>
        <w:t xml:space="preserve">bekötővezeték dugulások száma továbbra is csökkenő tendenciát mutat, </w:t>
      </w:r>
      <w:r w:rsidR="00A838CE" w:rsidRPr="00DB2665">
        <w:rPr>
          <w:szCs w:val="24"/>
        </w:rPr>
        <w:t>a</w:t>
      </w:r>
      <w:r w:rsidRPr="00DB2665">
        <w:rPr>
          <w:szCs w:val="24"/>
        </w:rPr>
        <w:t>melynek oka vélhetően a problémás bekötések javítás</w:t>
      </w:r>
      <w:r w:rsidR="00A838CE" w:rsidRPr="00DB2665">
        <w:rPr>
          <w:szCs w:val="24"/>
        </w:rPr>
        <w:t>a, kiváltása</w:t>
      </w:r>
      <w:r w:rsidRPr="00DB2665">
        <w:rPr>
          <w:szCs w:val="24"/>
        </w:rPr>
        <w:t xml:space="preserve">. </w:t>
      </w:r>
    </w:p>
    <w:p w:rsidR="00DF334B" w:rsidRDefault="00DF334B" w:rsidP="00CA36D0">
      <w:pPr>
        <w:rPr>
          <w:szCs w:val="24"/>
        </w:rPr>
      </w:pPr>
      <w:r w:rsidRPr="00DB2665">
        <w:rPr>
          <w:szCs w:val="24"/>
        </w:rPr>
        <w:t xml:space="preserve">Az átemelő szivattyú dugulások száma továbbra is csökkenő tendenciát mutat, </w:t>
      </w:r>
      <w:r w:rsidR="00A838CE" w:rsidRPr="00DB2665">
        <w:rPr>
          <w:szCs w:val="24"/>
        </w:rPr>
        <w:t>a</w:t>
      </w:r>
      <w:r w:rsidRPr="00DB2665">
        <w:rPr>
          <w:szCs w:val="24"/>
        </w:rPr>
        <w:t xml:space="preserve">mely egyrészt az új szivattyúbeszerzéseknek, másrészt a folyamatos karbantartó tisztításoknak köszönhető. A villamos és automatika </w:t>
      </w:r>
      <w:r w:rsidR="00A838CE" w:rsidRPr="00DB2665">
        <w:rPr>
          <w:szCs w:val="24"/>
        </w:rPr>
        <w:t xml:space="preserve">meghibásodások a 2021. évi </w:t>
      </w:r>
      <w:r w:rsidR="00002A28">
        <w:rPr>
          <w:szCs w:val="24"/>
        </w:rPr>
        <w:t xml:space="preserve">- </w:t>
      </w:r>
      <w:r w:rsidR="00A838CE" w:rsidRPr="00DB2665">
        <w:rPr>
          <w:szCs w:val="24"/>
        </w:rPr>
        <w:t>átlagosnál magasabb</w:t>
      </w:r>
      <w:r w:rsidR="00002A28">
        <w:rPr>
          <w:szCs w:val="24"/>
        </w:rPr>
        <w:t xml:space="preserve"> -</w:t>
      </w:r>
      <w:r w:rsidR="00A838CE" w:rsidRPr="00DB2665">
        <w:rPr>
          <w:szCs w:val="24"/>
        </w:rPr>
        <w:t xml:space="preserve"> meghibásodások számához képest</w:t>
      </w:r>
      <w:r w:rsidR="00CA36D0">
        <w:rPr>
          <w:szCs w:val="24"/>
        </w:rPr>
        <w:t xml:space="preserve"> nagy arányban csökkentek.</w:t>
      </w:r>
    </w:p>
    <w:p w:rsidR="00A464E9" w:rsidRPr="00DB2665" w:rsidRDefault="00A464E9" w:rsidP="00CA36D0">
      <w:pPr>
        <w:rPr>
          <w:szCs w:val="24"/>
        </w:rPr>
      </w:pPr>
    </w:p>
    <w:p w:rsidR="0076232E" w:rsidRPr="00AF4206" w:rsidRDefault="00A6670E" w:rsidP="00AF4206">
      <w:pPr>
        <w:pStyle w:val="Szvegtrzs3"/>
        <w:tabs>
          <w:tab w:val="clear" w:pos="567"/>
          <w:tab w:val="clear" w:pos="7938"/>
        </w:tabs>
        <w:ind w:right="200"/>
        <w:rPr>
          <w:b/>
          <w:i/>
          <w:iCs/>
          <w:szCs w:val="24"/>
        </w:rPr>
      </w:pPr>
      <w:bookmarkStart w:id="26" w:name="_Toc68779757"/>
      <w:r w:rsidRPr="00AF4206">
        <w:rPr>
          <w:b/>
          <w:i/>
          <w:iCs/>
          <w:szCs w:val="24"/>
        </w:rPr>
        <w:t xml:space="preserve">Építési és Vállalkozási Üzem és Üzemvitel </w:t>
      </w:r>
      <w:r w:rsidR="0076232E" w:rsidRPr="00AF4206">
        <w:rPr>
          <w:b/>
          <w:i/>
          <w:iCs/>
          <w:szCs w:val="24"/>
        </w:rPr>
        <w:t>által végzett fenntartások</w:t>
      </w:r>
      <w:bookmarkEnd w:id="26"/>
      <w:r w:rsidR="0076232E" w:rsidRPr="00AF4206">
        <w:rPr>
          <w:b/>
          <w:i/>
          <w:iCs/>
          <w:szCs w:val="24"/>
        </w:rPr>
        <w:t xml:space="preserve"> </w:t>
      </w:r>
    </w:p>
    <w:p w:rsidR="0076232E" w:rsidRPr="00DB2665" w:rsidRDefault="0076232E" w:rsidP="0076232E">
      <w:pPr>
        <w:pStyle w:val="Szvegtrzs3"/>
        <w:tabs>
          <w:tab w:val="clear" w:pos="567"/>
          <w:tab w:val="clear" w:pos="7938"/>
        </w:tabs>
        <w:ind w:right="200"/>
        <w:rPr>
          <w:i/>
          <w:iCs/>
          <w:sz w:val="16"/>
          <w:szCs w:val="16"/>
        </w:rPr>
      </w:pPr>
    </w:p>
    <w:p w:rsidR="0076232E" w:rsidRPr="00DB2665" w:rsidRDefault="0076232E" w:rsidP="0076232E">
      <w:pPr>
        <w:pStyle w:val="Szvegtrzs3"/>
        <w:tabs>
          <w:tab w:val="clear" w:pos="567"/>
          <w:tab w:val="clear" w:pos="7938"/>
        </w:tabs>
        <w:ind w:right="200"/>
        <w:rPr>
          <w:i/>
          <w:iCs/>
          <w:sz w:val="20"/>
        </w:rPr>
      </w:pPr>
      <w:r w:rsidRPr="00DB2665">
        <w:rPr>
          <w:i/>
          <w:iCs/>
          <w:sz w:val="22"/>
        </w:rPr>
        <w:t xml:space="preserve">Gépészeti és villamos berendezéseken, járműveken saját tevékenységben végzett fenntartási munkák </w:t>
      </w:r>
      <w:r w:rsidRPr="00DB2665">
        <w:rPr>
          <w:i/>
          <w:iCs/>
          <w:sz w:val="20"/>
        </w:rPr>
        <w:t>(db)</w:t>
      </w:r>
    </w:p>
    <w:p w:rsidR="0076232E" w:rsidRPr="00DB2665" w:rsidRDefault="0076232E" w:rsidP="0076232E">
      <w:pPr>
        <w:pStyle w:val="xl86"/>
        <w:spacing w:before="0" w:beforeAutospacing="0" w:after="0" w:afterAutospacing="0"/>
        <w:rPr>
          <w:rFonts w:eastAsia="Times New Roman"/>
          <w:sz w:val="12"/>
          <w:szCs w:val="20"/>
        </w:rPr>
      </w:pPr>
    </w:p>
    <w:tbl>
      <w:tblPr>
        <w:tblW w:w="9813" w:type="dxa"/>
        <w:tblCellMar>
          <w:left w:w="70" w:type="dxa"/>
          <w:right w:w="70" w:type="dxa"/>
        </w:tblCellMar>
        <w:tblLook w:val="04A0" w:firstRow="1" w:lastRow="0" w:firstColumn="1" w:lastColumn="0" w:noHBand="0" w:noVBand="1"/>
      </w:tblPr>
      <w:tblGrid>
        <w:gridCol w:w="4000"/>
        <w:gridCol w:w="253"/>
        <w:gridCol w:w="1559"/>
        <w:gridCol w:w="288"/>
        <w:gridCol w:w="1413"/>
        <w:gridCol w:w="284"/>
        <w:gridCol w:w="1842"/>
        <w:gridCol w:w="174"/>
      </w:tblGrid>
      <w:tr w:rsidR="00A838CE" w:rsidRPr="00DB2665" w:rsidTr="00A838CE">
        <w:trPr>
          <w:trHeight w:val="300"/>
        </w:trPr>
        <w:tc>
          <w:tcPr>
            <w:tcW w:w="4000" w:type="dxa"/>
            <w:tcBorders>
              <w:top w:val="nil"/>
              <w:left w:val="nil"/>
              <w:bottom w:val="single" w:sz="4" w:space="0" w:color="auto"/>
              <w:right w:val="nil"/>
            </w:tcBorders>
            <w:shd w:val="clear" w:color="auto" w:fill="auto"/>
            <w:noWrap/>
            <w:vAlign w:val="bottom"/>
            <w:hideMark/>
          </w:tcPr>
          <w:p w:rsidR="00A838CE" w:rsidRPr="00DB2665" w:rsidRDefault="00A838CE" w:rsidP="00A838CE">
            <w:pPr>
              <w:jc w:val="left"/>
              <w:rPr>
                <w:i/>
                <w:iCs/>
                <w:sz w:val="22"/>
                <w:szCs w:val="22"/>
              </w:rPr>
            </w:pPr>
            <w:r w:rsidRPr="00DB2665">
              <w:rPr>
                <w:i/>
                <w:iCs/>
                <w:sz w:val="22"/>
                <w:szCs w:val="22"/>
              </w:rPr>
              <w:t>Megnevezés</w:t>
            </w:r>
          </w:p>
        </w:tc>
        <w:tc>
          <w:tcPr>
            <w:tcW w:w="2100" w:type="dxa"/>
            <w:gridSpan w:val="3"/>
            <w:tcBorders>
              <w:top w:val="nil"/>
              <w:left w:val="nil"/>
              <w:bottom w:val="single" w:sz="4" w:space="0" w:color="auto"/>
              <w:right w:val="nil"/>
            </w:tcBorders>
            <w:shd w:val="clear" w:color="auto" w:fill="auto"/>
            <w:noWrap/>
            <w:vAlign w:val="bottom"/>
            <w:hideMark/>
          </w:tcPr>
          <w:p w:rsidR="00A838CE" w:rsidRPr="00DB2665" w:rsidRDefault="00A838CE" w:rsidP="00A838CE">
            <w:pPr>
              <w:jc w:val="center"/>
              <w:rPr>
                <w:i/>
                <w:iCs/>
                <w:sz w:val="22"/>
                <w:szCs w:val="22"/>
              </w:rPr>
            </w:pPr>
            <w:r w:rsidRPr="00DB2665">
              <w:rPr>
                <w:i/>
                <w:iCs/>
                <w:sz w:val="22"/>
                <w:szCs w:val="22"/>
              </w:rPr>
              <w:t>2021. év</w:t>
            </w:r>
          </w:p>
        </w:tc>
        <w:tc>
          <w:tcPr>
            <w:tcW w:w="1413" w:type="dxa"/>
            <w:tcBorders>
              <w:top w:val="nil"/>
              <w:left w:val="nil"/>
              <w:bottom w:val="single" w:sz="4" w:space="0" w:color="auto"/>
              <w:right w:val="nil"/>
            </w:tcBorders>
            <w:shd w:val="clear" w:color="auto" w:fill="auto"/>
            <w:noWrap/>
            <w:vAlign w:val="bottom"/>
            <w:hideMark/>
          </w:tcPr>
          <w:p w:rsidR="00A838CE" w:rsidRPr="00DB2665" w:rsidRDefault="00A838CE" w:rsidP="00A838CE">
            <w:pPr>
              <w:jc w:val="center"/>
              <w:rPr>
                <w:i/>
                <w:iCs/>
                <w:sz w:val="22"/>
                <w:szCs w:val="22"/>
              </w:rPr>
            </w:pPr>
            <w:r w:rsidRPr="00DB2665">
              <w:rPr>
                <w:i/>
                <w:iCs/>
                <w:sz w:val="22"/>
                <w:szCs w:val="22"/>
              </w:rPr>
              <w:t>2022. év</w:t>
            </w:r>
          </w:p>
        </w:tc>
        <w:tc>
          <w:tcPr>
            <w:tcW w:w="2300" w:type="dxa"/>
            <w:gridSpan w:val="3"/>
            <w:tcBorders>
              <w:top w:val="nil"/>
              <w:left w:val="nil"/>
              <w:bottom w:val="single" w:sz="4" w:space="0" w:color="auto"/>
              <w:right w:val="nil"/>
            </w:tcBorders>
            <w:shd w:val="clear" w:color="auto" w:fill="auto"/>
            <w:noWrap/>
            <w:vAlign w:val="bottom"/>
            <w:hideMark/>
          </w:tcPr>
          <w:p w:rsidR="00A838CE" w:rsidRPr="00DB2665" w:rsidRDefault="00A838CE" w:rsidP="00A838CE">
            <w:pPr>
              <w:jc w:val="center"/>
              <w:rPr>
                <w:i/>
                <w:iCs/>
                <w:sz w:val="22"/>
                <w:szCs w:val="22"/>
              </w:rPr>
            </w:pPr>
            <w:r w:rsidRPr="00DB2665">
              <w:rPr>
                <w:i/>
                <w:iCs/>
                <w:sz w:val="22"/>
                <w:szCs w:val="22"/>
              </w:rPr>
              <w:t>Index</w:t>
            </w:r>
          </w:p>
        </w:tc>
      </w:tr>
      <w:tr w:rsidR="00A838CE" w:rsidRPr="00DB2665" w:rsidTr="00A838CE">
        <w:trPr>
          <w:gridAfter w:val="1"/>
          <w:wAfter w:w="174" w:type="dxa"/>
          <w:trHeight w:val="300"/>
        </w:trPr>
        <w:tc>
          <w:tcPr>
            <w:tcW w:w="4253" w:type="dxa"/>
            <w:gridSpan w:val="2"/>
            <w:tcBorders>
              <w:top w:val="nil"/>
              <w:left w:val="nil"/>
              <w:bottom w:val="nil"/>
              <w:right w:val="nil"/>
            </w:tcBorders>
            <w:shd w:val="clear" w:color="auto" w:fill="auto"/>
            <w:noWrap/>
            <w:vAlign w:val="bottom"/>
            <w:hideMark/>
          </w:tcPr>
          <w:p w:rsidR="00A838CE" w:rsidRPr="00DB2665" w:rsidRDefault="00A838CE" w:rsidP="00A838CE">
            <w:pPr>
              <w:jc w:val="left"/>
              <w:rPr>
                <w:sz w:val="22"/>
                <w:szCs w:val="22"/>
              </w:rPr>
            </w:pPr>
            <w:r w:rsidRPr="00DB2665">
              <w:rPr>
                <w:sz w:val="22"/>
                <w:szCs w:val="22"/>
              </w:rPr>
              <w:t>Búvárszivattyú javítás</w:t>
            </w:r>
          </w:p>
        </w:tc>
        <w:tc>
          <w:tcPr>
            <w:tcW w:w="1559" w:type="dxa"/>
            <w:tcBorders>
              <w:top w:val="nil"/>
              <w:left w:val="nil"/>
              <w:bottom w:val="nil"/>
              <w:right w:val="nil"/>
            </w:tcBorders>
            <w:shd w:val="clear" w:color="auto" w:fill="auto"/>
            <w:noWrap/>
            <w:vAlign w:val="bottom"/>
            <w:hideMark/>
          </w:tcPr>
          <w:p w:rsidR="00A838CE" w:rsidRPr="00DB2665" w:rsidRDefault="00A838CE" w:rsidP="00A838CE">
            <w:pPr>
              <w:jc w:val="center"/>
              <w:rPr>
                <w:rFonts w:ascii="Times New Roman CE" w:hAnsi="Times New Roman CE" w:cs="Times New Roman CE"/>
                <w:sz w:val="22"/>
                <w:szCs w:val="22"/>
              </w:rPr>
            </w:pPr>
            <w:r w:rsidRPr="00DB2665">
              <w:rPr>
                <w:rFonts w:ascii="Times New Roman CE" w:hAnsi="Times New Roman CE" w:cs="Times New Roman CE"/>
                <w:sz w:val="22"/>
                <w:szCs w:val="22"/>
              </w:rPr>
              <w:t>20</w:t>
            </w:r>
          </w:p>
        </w:tc>
        <w:tc>
          <w:tcPr>
            <w:tcW w:w="1985" w:type="dxa"/>
            <w:gridSpan w:val="3"/>
            <w:tcBorders>
              <w:top w:val="nil"/>
              <w:left w:val="nil"/>
              <w:bottom w:val="nil"/>
              <w:right w:val="nil"/>
            </w:tcBorders>
            <w:shd w:val="clear" w:color="auto" w:fill="auto"/>
            <w:noWrap/>
            <w:vAlign w:val="bottom"/>
            <w:hideMark/>
          </w:tcPr>
          <w:p w:rsidR="00A838CE" w:rsidRPr="00DB2665" w:rsidRDefault="00A838CE" w:rsidP="00A838CE">
            <w:pPr>
              <w:jc w:val="center"/>
              <w:rPr>
                <w:rFonts w:ascii="Times New Roman CE" w:hAnsi="Times New Roman CE" w:cs="Times New Roman CE"/>
                <w:sz w:val="22"/>
                <w:szCs w:val="22"/>
              </w:rPr>
            </w:pPr>
            <w:r w:rsidRPr="00DB2665">
              <w:rPr>
                <w:rFonts w:ascii="Times New Roman CE" w:hAnsi="Times New Roman CE" w:cs="Times New Roman CE"/>
                <w:sz w:val="22"/>
                <w:szCs w:val="22"/>
              </w:rPr>
              <w:t>13</w:t>
            </w:r>
          </w:p>
        </w:tc>
        <w:tc>
          <w:tcPr>
            <w:tcW w:w="1842" w:type="dxa"/>
            <w:tcBorders>
              <w:top w:val="nil"/>
              <w:left w:val="nil"/>
              <w:bottom w:val="nil"/>
              <w:right w:val="nil"/>
            </w:tcBorders>
            <w:shd w:val="clear" w:color="auto" w:fill="auto"/>
            <w:noWrap/>
            <w:vAlign w:val="bottom"/>
            <w:hideMark/>
          </w:tcPr>
          <w:p w:rsidR="00A838CE" w:rsidRPr="00DB2665" w:rsidRDefault="00A838CE" w:rsidP="00A838CE">
            <w:pPr>
              <w:jc w:val="center"/>
              <w:rPr>
                <w:rFonts w:ascii="Times New Roman CE" w:hAnsi="Times New Roman CE" w:cs="Times New Roman CE"/>
                <w:sz w:val="22"/>
                <w:szCs w:val="22"/>
              </w:rPr>
            </w:pPr>
            <w:r w:rsidRPr="00DB2665">
              <w:rPr>
                <w:rFonts w:ascii="Times New Roman CE" w:hAnsi="Times New Roman CE" w:cs="Times New Roman CE"/>
                <w:sz w:val="22"/>
                <w:szCs w:val="22"/>
              </w:rPr>
              <w:t>65,0%</w:t>
            </w:r>
          </w:p>
        </w:tc>
      </w:tr>
      <w:tr w:rsidR="00A838CE" w:rsidRPr="00DB2665" w:rsidTr="00A838CE">
        <w:trPr>
          <w:gridAfter w:val="1"/>
          <w:wAfter w:w="174" w:type="dxa"/>
          <w:trHeight w:val="300"/>
        </w:trPr>
        <w:tc>
          <w:tcPr>
            <w:tcW w:w="4253" w:type="dxa"/>
            <w:gridSpan w:val="2"/>
            <w:tcBorders>
              <w:top w:val="nil"/>
              <w:left w:val="nil"/>
              <w:bottom w:val="nil"/>
              <w:right w:val="nil"/>
            </w:tcBorders>
            <w:shd w:val="clear" w:color="auto" w:fill="auto"/>
            <w:noWrap/>
            <w:vAlign w:val="bottom"/>
            <w:hideMark/>
          </w:tcPr>
          <w:p w:rsidR="00A838CE" w:rsidRPr="00DB2665" w:rsidRDefault="00A838CE" w:rsidP="00A838CE">
            <w:pPr>
              <w:jc w:val="left"/>
              <w:rPr>
                <w:sz w:val="22"/>
                <w:szCs w:val="22"/>
              </w:rPr>
            </w:pPr>
            <w:r w:rsidRPr="00DB2665">
              <w:rPr>
                <w:sz w:val="22"/>
                <w:szCs w:val="22"/>
              </w:rPr>
              <w:t>Szennyvízszivattyú javítás</w:t>
            </w:r>
          </w:p>
        </w:tc>
        <w:tc>
          <w:tcPr>
            <w:tcW w:w="1559" w:type="dxa"/>
            <w:tcBorders>
              <w:top w:val="nil"/>
              <w:left w:val="nil"/>
              <w:bottom w:val="nil"/>
              <w:right w:val="nil"/>
            </w:tcBorders>
            <w:shd w:val="clear" w:color="auto" w:fill="auto"/>
            <w:noWrap/>
            <w:vAlign w:val="bottom"/>
            <w:hideMark/>
          </w:tcPr>
          <w:p w:rsidR="00A838CE" w:rsidRPr="00DB2665" w:rsidRDefault="00A838CE" w:rsidP="00A838CE">
            <w:pPr>
              <w:jc w:val="center"/>
              <w:rPr>
                <w:rFonts w:ascii="Times New Roman CE" w:hAnsi="Times New Roman CE" w:cs="Times New Roman CE"/>
                <w:sz w:val="22"/>
                <w:szCs w:val="22"/>
              </w:rPr>
            </w:pPr>
            <w:r w:rsidRPr="00DB2665">
              <w:rPr>
                <w:rFonts w:ascii="Times New Roman CE" w:hAnsi="Times New Roman CE" w:cs="Times New Roman CE"/>
                <w:sz w:val="22"/>
                <w:szCs w:val="22"/>
              </w:rPr>
              <w:t>351</w:t>
            </w:r>
          </w:p>
        </w:tc>
        <w:tc>
          <w:tcPr>
            <w:tcW w:w="1985" w:type="dxa"/>
            <w:gridSpan w:val="3"/>
            <w:tcBorders>
              <w:top w:val="nil"/>
              <w:left w:val="nil"/>
              <w:bottom w:val="nil"/>
              <w:right w:val="nil"/>
            </w:tcBorders>
            <w:shd w:val="clear" w:color="auto" w:fill="auto"/>
            <w:noWrap/>
            <w:vAlign w:val="bottom"/>
            <w:hideMark/>
          </w:tcPr>
          <w:p w:rsidR="00A838CE" w:rsidRPr="00DB2665" w:rsidRDefault="00A838CE" w:rsidP="00A838CE">
            <w:pPr>
              <w:jc w:val="center"/>
              <w:rPr>
                <w:rFonts w:ascii="Times New Roman CE" w:hAnsi="Times New Roman CE" w:cs="Times New Roman CE"/>
                <w:sz w:val="22"/>
                <w:szCs w:val="22"/>
              </w:rPr>
            </w:pPr>
            <w:r w:rsidRPr="00DB2665">
              <w:rPr>
                <w:rFonts w:ascii="Times New Roman CE" w:hAnsi="Times New Roman CE" w:cs="Times New Roman CE"/>
                <w:sz w:val="22"/>
                <w:szCs w:val="22"/>
              </w:rPr>
              <w:t>294</w:t>
            </w:r>
          </w:p>
        </w:tc>
        <w:tc>
          <w:tcPr>
            <w:tcW w:w="1842" w:type="dxa"/>
            <w:tcBorders>
              <w:top w:val="nil"/>
              <w:left w:val="nil"/>
              <w:bottom w:val="nil"/>
              <w:right w:val="nil"/>
            </w:tcBorders>
            <w:shd w:val="clear" w:color="auto" w:fill="auto"/>
            <w:noWrap/>
            <w:vAlign w:val="bottom"/>
            <w:hideMark/>
          </w:tcPr>
          <w:p w:rsidR="00A838CE" w:rsidRPr="00DB2665" w:rsidRDefault="00A838CE" w:rsidP="00A838CE">
            <w:pPr>
              <w:jc w:val="center"/>
              <w:rPr>
                <w:rFonts w:ascii="Times New Roman CE" w:hAnsi="Times New Roman CE" w:cs="Times New Roman CE"/>
                <w:sz w:val="22"/>
                <w:szCs w:val="22"/>
              </w:rPr>
            </w:pPr>
            <w:r w:rsidRPr="00DB2665">
              <w:rPr>
                <w:rFonts w:ascii="Times New Roman CE" w:hAnsi="Times New Roman CE" w:cs="Times New Roman CE"/>
                <w:sz w:val="22"/>
                <w:szCs w:val="22"/>
              </w:rPr>
              <w:t>83,8%</w:t>
            </w:r>
          </w:p>
        </w:tc>
      </w:tr>
      <w:tr w:rsidR="00A838CE" w:rsidRPr="00DB2665" w:rsidTr="00A838CE">
        <w:trPr>
          <w:gridAfter w:val="1"/>
          <w:wAfter w:w="174" w:type="dxa"/>
          <w:trHeight w:val="300"/>
        </w:trPr>
        <w:tc>
          <w:tcPr>
            <w:tcW w:w="4253" w:type="dxa"/>
            <w:gridSpan w:val="2"/>
            <w:tcBorders>
              <w:top w:val="nil"/>
              <w:left w:val="nil"/>
              <w:bottom w:val="nil"/>
              <w:right w:val="nil"/>
            </w:tcBorders>
            <w:shd w:val="clear" w:color="auto" w:fill="auto"/>
            <w:noWrap/>
            <w:vAlign w:val="bottom"/>
            <w:hideMark/>
          </w:tcPr>
          <w:p w:rsidR="00A838CE" w:rsidRPr="00DB2665" w:rsidRDefault="00A838CE" w:rsidP="00A838CE">
            <w:pPr>
              <w:jc w:val="left"/>
              <w:rPr>
                <w:sz w:val="22"/>
                <w:szCs w:val="22"/>
              </w:rPr>
            </w:pPr>
            <w:r w:rsidRPr="00DB2665">
              <w:rPr>
                <w:sz w:val="22"/>
                <w:szCs w:val="22"/>
              </w:rPr>
              <w:t>Centrifugál szivattyú és kompresszor javítás</w:t>
            </w:r>
          </w:p>
        </w:tc>
        <w:tc>
          <w:tcPr>
            <w:tcW w:w="1559" w:type="dxa"/>
            <w:tcBorders>
              <w:top w:val="nil"/>
              <w:left w:val="nil"/>
              <w:bottom w:val="nil"/>
              <w:right w:val="nil"/>
            </w:tcBorders>
            <w:shd w:val="clear" w:color="auto" w:fill="auto"/>
            <w:noWrap/>
            <w:vAlign w:val="bottom"/>
            <w:hideMark/>
          </w:tcPr>
          <w:p w:rsidR="00A838CE" w:rsidRPr="00DB2665" w:rsidRDefault="00A838CE" w:rsidP="00A838CE">
            <w:pPr>
              <w:jc w:val="center"/>
              <w:rPr>
                <w:rFonts w:ascii="Times New Roman CE" w:hAnsi="Times New Roman CE" w:cs="Times New Roman CE"/>
                <w:sz w:val="22"/>
                <w:szCs w:val="22"/>
              </w:rPr>
            </w:pPr>
            <w:r w:rsidRPr="00DB2665">
              <w:rPr>
                <w:rFonts w:ascii="Times New Roman CE" w:hAnsi="Times New Roman CE" w:cs="Times New Roman CE"/>
                <w:sz w:val="22"/>
                <w:szCs w:val="22"/>
              </w:rPr>
              <w:t>181</w:t>
            </w:r>
          </w:p>
        </w:tc>
        <w:tc>
          <w:tcPr>
            <w:tcW w:w="1985" w:type="dxa"/>
            <w:gridSpan w:val="3"/>
            <w:tcBorders>
              <w:top w:val="nil"/>
              <w:left w:val="nil"/>
              <w:bottom w:val="nil"/>
              <w:right w:val="nil"/>
            </w:tcBorders>
            <w:shd w:val="clear" w:color="auto" w:fill="auto"/>
            <w:noWrap/>
            <w:vAlign w:val="bottom"/>
            <w:hideMark/>
          </w:tcPr>
          <w:p w:rsidR="00A838CE" w:rsidRPr="00DB2665" w:rsidRDefault="00A838CE" w:rsidP="00A838CE">
            <w:pPr>
              <w:jc w:val="center"/>
              <w:rPr>
                <w:rFonts w:ascii="Times New Roman CE" w:hAnsi="Times New Roman CE" w:cs="Times New Roman CE"/>
                <w:sz w:val="22"/>
                <w:szCs w:val="22"/>
              </w:rPr>
            </w:pPr>
            <w:r w:rsidRPr="00DB2665">
              <w:rPr>
                <w:rFonts w:ascii="Times New Roman CE" w:hAnsi="Times New Roman CE" w:cs="Times New Roman CE"/>
                <w:sz w:val="22"/>
                <w:szCs w:val="22"/>
              </w:rPr>
              <w:t>74</w:t>
            </w:r>
          </w:p>
        </w:tc>
        <w:tc>
          <w:tcPr>
            <w:tcW w:w="1842" w:type="dxa"/>
            <w:tcBorders>
              <w:top w:val="nil"/>
              <w:left w:val="nil"/>
              <w:bottom w:val="nil"/>
              <w:right w:val="nil"/>
            </w:tcBorders>
            <w:shd w:val="clear" w:color="auto" w:fill="auto"/>
            <w:noWrap/>
            <w:vAlign w:val="bottom"/>
            <w:hideMark/>
          </w:tcPr>
          <w:p w:rsidR="00A838CE" w:rsidRPr="00DB2665" w:rsidRDefault="00A838CE" w:rsidP="00A838CE">
            <w:pPr>
              <w:jc w:val="center"/>
              <w:rPr>
                <w:rFonts w:ascii="Times New Roman CE" w:hAnsi="Times New Roman CE" w:cs="Times New Roman CE"/>
                <w:sz w:val="22"/>
                <w:szCs w:val="22"/>
              </w:rPr>
            </w:pPr>
            <w:r w:rsidRPr="00DB2665">
              <w:rPr>
                <w:rFonts w:ascii="Times New Roman CE" w:hAnsi="Times New Roman CE" w:cs="Times New Roman CE"/>
                <w:sz w:val="22"/>
                <w:szCs w:val="22"/>
              </w:rPr>
              <w:t>40,9%</w:t>
            </w:r>
          </w:p>
        </w:tc>
      </w:tr>
      <w:tr w:rsidR="00A838CE" w:rsidRPr="00DB2665" w:rsidTr="00A838CE">
        <w:trPr>
          <w:gridAfter w:val="1"/>
          <w:wAfter w:w="174" w:type="dxa"/>
          <w:trHeight w:val="300"/>
        </w:trPr>
        <w:tc>
          <w:tcPr>
            <w:tcW w:w="4253" w:type="dxa"/>
            <w:gridSpan w:val="2"/>
            <w:tcBorders>
              <w:top w:val="nil"/>
              <w:left w:val="nil"/>
              <w:bottom w:val="nil"/>
              <w:right w:val="nil"/>
            </w:tcBorders>
            <w:shd w:val="clear" w:color="auto" w:fill="auto"/>
            <w:noWrap/>
            <w:vAlign w:val="bottom"/>
            <w:hideMark/>
          </w:tcPr>
          <w:p w:rsidR="00A838CE" w:rsidRPr="00DB2665" w:rsidRDefault="00A838CE" w:rsidP="00A838CE">
            <w:pPr>
              <w:jc w:val="left"/>
              <w:rPr>
                <w:sz w:val="22"/>
                <w:szCs w:val="22"/>
              </w:rPr>
            </w:pPr>
            <w:r w:rsidRPr="00DB2665">
              <w:rPr>
                <w:sz w:val="22"/>
                <w:szCs w:val="22"/>
              </w:rPr>
              <w:t>Kisgép javítás</w:t>
            </w:r>
          </w:p>
        </w:tc>
        <w:tc>
          <w:tcPr>
            <w:tcW w:w="1559" w:type="dxa"/>
            <w:tcBorders>
              <w:top w:val="nil"/>
              <w:left w:val="nil"/>
              <w:bottom w:val="nil"/>
              <w:right w:val="nil"/>
            </w:tcBorders>
            <w:shd w:val="clear" w:color="auto" w:fill="auto"/>
            <w:noWrap/>
            <w:vAlign w:val="bottom"/>
            <w:hideMark/>
          </w:tcPr>
          <w:p w:rsidR="00A838CE" w:rsidRPr="00DB2665" w:rsidRDefault="00A838CE" w:rsidP="00A838CE">
            <w:pPr>
              <w:jc w:val="center"/>
              <w:rPr>
                <w:rFonts w:ascii="Times New Roman CE" w:hAnsi="Times New Roman CE" w:cs="Times New Roman CE"/>
                <w:sz w:val="22"/>
                <w:szCs w:val="22"/>
              </w:rPr>
            </w:pPr>
            <w:r w:rsidRPr="00DB2665">
              <w:rPr>
                <w:rFonts w:ascii="Times New Roman CE" w:hAnsi="Times New Roman CE" w:cs="Times New Roman CE"/>
                <w:sz w:val="22"/>
                <w:szCs w:val="22"/>
              </w:rPr>
              <w:t>235</w:t>
            </w:r>
          </w:p>
        </w:tc>
        <w:tc>
          <w:tcPr>
            <w:tcW w:w="1985" w:type="dxa"/>
            <w:gridSpan w:val="3"/>
            <w:tcBorders>
              <w:top w:val="nil"/>
              <w:left w:val="nil"/>
              <w:bottom w:val="nil"/>
              <w:right w:val="nil"/>
            </w:tcBorders>
            <w:shd w:val="clear" w:color="auto" w:fill="auto"/>
            <w:noWrap/>
            <w:vAlign w:val="bottom"/>
            <w:hideMark/>
          </w:tcPr>
          <w:p w:rsidR="00A838CE" w:rsidRPr="00DB2665" w:rsidRDefault="00A838CE" w:rsidP="00A838CE">
            <w:pPr>
              <w:jc w:val="center"/>
              <w:rPr>
                <w:rFonts w:ascii="Times New Roman CE" w:hAnsi="Times New Roman CE" w:cs="Times New Roman CE"/>
                <w:sz w:val="22"/>
                <w:szCs w:val="22"/>
              </w:rPr>
            </w:pPr>
            <w:r w:rsidRPr="00DB2665">
              <w:rPr>
                <w:rFonts w:ascii="Times New Roman CE" w:hAnsi="Times New Roman CE" w:cs="Times New Roman CE"/>
                <w:sz w:val="22"/>
                <w:szCs w:val="22"/>
              </w:rPr>
              <w:t>205</w:t>
            </w:r>
          </w:p>
        </w:tc>
        <w:tc>
          <w:tcPr>
            <w:tcW w:w="1842" w:type="dxa"/>
            <w:tcBorders>
              <w:top w:val="nil"/>
              <w:left w:val="nil"/>
              <w:bottom w:val="nil"/>
              <w:right w:val="nil"/>
            </w:tcBorders>
            <w:shd w:val="clear" w:color="auto" w:fill="auto"/>
            <w:noWrap/>
            <w:vAlign w:val="bottom"/>
            <w:hideMark/>
          </w:tcPr>
          <w:p w:rsidR="00A838CE" w:rsidRPr="00DB2665" w:rsidRDefault="00A838CE" w:rsidP="00A838CE">
            <w:pPr>
              <w:jc w:val="center"/>
              <w:rPr>
                <w:rFonts w:ascii="Times New Roman CE" w:hAnsi="Times New Roman CE" w:cs="Times New Roman CE"/>
                <w:sz w:val="22"/>
                <w:szCs w:val="22"/>
              </w:rPr>
            </w:pPr>
            <w:r w:rsidRPr="00DB2665">
              <w:rPr>
                <w:rFonts w:ascii="Times New Roman CE" w:hAnsi="Times New Roman CE" w:cs="Times New Roman CE"/>
                <w:sz w:val="22"/>
                <w:szCs w:val="22"/>
              </w:rPr>
              <w:t>87,2%</w:t>
            </w:r>
          </w:p>
        </w:tc>
      </w:tr>
      <w:tr w:rsidR="00A838CE" w:rsidRPr="00DB2665" w:rsidTr="00A838CE">
        <w:trPr>
          <w:gridAfter w:val="1"/>
          <w:wAfter w:w="174" w:type="dxa"/>
          <w:trHeight w:val="300"/>
        </w:trPr>
        <w:tc>
          <w:tcPr>
            <w:tcW w:w="4253" w:type="dxa"/>
            <w:gridSpan w:val="2"/>
            <w:tcBorders>
              <w:top w:val="nil"/>
              <w:left w:val="nil"/>
              <w:bottom w:val="nil"/>
              <w:right w:val="nil"/>
            </w:tcBorders>
            <w:shd w:val="clear" w:color="auto" w:fill="auto"/>
            <w:noWrap/>
            <w:vAlign w:val="bottom"/>
            <w:hideMark/>
          </w:tcPr>
          <w:p w:rsidR="00A838CE" w:rsidRPr="00DB2665" w:rsidRDefault="00A838CE" w:rsidP="00A838CE">
            <w:pPr>
              <w:jc w:val="left"/>
              <w:rPr>
                <w:sz w:val="22"/>
                <w:szCs w:val="22"/>
              </w:rPr>
            </w:pPr>
            <w:r w:rsidRPr="00DB2665">
              <w:rPr>
                <w:sz w:val="22"/>
                <w:szCs w:val="22"/>
              </w:rPr>
              <w:lastRenderedPageBreak/>
              <w:t xml:space="preserve">Nagyfeszültségű hálózat és trafó javítás </w:t>
            </w:r>
          </w:p>
        </w:tc>
        <w:tc>
          <w:tcPr>
            <w:tcW w:w="1559" w:type="dxa"/>
            <w:tcBorders>
              <w:top w:val="nil"/>
              <w:left w:val="nil"/>
              <w:bottom w:val="nil"/>
              <w:right w:val="nil"/>
            </w:tcBorders>
            <w:shd w:val="clear" w:color="auto" w:fill="auto"/>
            <w:noWrap/>
            <w:vAlign w:val="bottom"/>
            <w:hideMark/>
          </w:tcPr>
          <w:p w:rsidR="00A838CE" w:rsidRPr="00DB2665" w:rsidRDefault="00A838CE" w:rsidP="00A838CE">
            <w:pPr>
              <w:jc w:val="center"/>
              <w:rPr>
                <w:rFonts w:ascii="Times New Roman CE" w:hAnsi="Times New Roman CE" w:cs="Times New Roman CE"/>
                <w:sz w:val="22"/>
                <w:szCs w:val="22"/>
              </w:rPr>
            </w:pPr>
            <w:r w:rsidRPr="00DB2665">
              <w:rPr>
                <w:rFonts w:ascii="Times New Roman CE" w:hAnsi="Times New Roman CE" w:cs="Times New Roman CE"/>
                <w:sz w:val="22"/>
                <w:szCs w:val="22"/>
              </w:rPr>
              <w:t>30</w:t>
            </w:r>
          </w:p>
        </w:tc>
        <w:tc>
          <w:tcPr>
            <w:tcW w:w="1985" w:type="dxa"/>
            <w:gridSpan w:val="3"/>
            <w:tcBorders>
              <w:top w:val="nil"/>
              <w:left w:val="nil"/>
              <w:bottom w:val="nil"/>
              <w:right w:val="nil"/>
            </w:tcBorders>
            <w:shd w:val="clear" w:color="auto" w:fill="auto"/>
            <w:noWrap/>
            <w:vAlign w:val="bottom"/>
            <w:hideMark/>
          </w:tcPr>
          <w:p w:rsidR="00A838CE" w:rsidRPr="00DB2665" w:rsidRDefault="00A838CE" w:rsidP="00A838CE">
            <w:pPr>
              <w:jc w:val="center"/>
              <w:rPr>
                <w:rFonts w:ascii="Times New Roman CE" w:hAnsi="Times New Roman CE" w:cs="Times New Roman CE"/>
                <w:sz w:val="22"/>
                <w:szCs w:val="22"/>
              </w:rPr>
            </w:pPr>
            <w:r w:rsidRPr="00DB2665">
              <w:rPr>
                <w:rFonts w:ascii="Times New Roman CE" w:hAnsi="Times New Roman CE" w:cs="Times New Roman CE"/>
                <w:sz w:val="22"/>
                <w:szCs w:val="22"/>
              </w:rPr>
              <w:t>25</w:t>
            </w:r>
          </w:p>
        </w:tc>
        <w:tc>
          <w:tcPr>
            <w:tcW w:w="1842" w:type="dxa"/>
            <w:tcBorders>
              <w:top w:val="nil"/>
              <w:left w:val="nil"/>
              <w:bottom w:val="nil"/>
              <w:right w:val="nil"/>
            </w:tcBorders>
            <w:shd w:val="clear" w:color="auto" w:fill="auto"/>
            <w:noWrap/>
            <w:vAlign w:val="bottom"/>
            <w:hideMark/>
          </w:tcPr>
          <w:p w:rsidR="00A838CE" w:rsidRPr="00DB2665" w:rsidRDefault="00A838CE" w:rsidP="00A838CE">
            <w:pPr>
              <w:jc w:val="center"/>
              <w:rPr>
                <w:rFonts w:ascii="Times New Roman CE" w:hAnsi="Times New Roman CE" w:cs="Times New Roman CE"/>
                <w:sz w:val="22"/>
                <w:szCs w:val="22"/>
              </w:rPr>
            </w:pPr>
            <w:r w:rsidRPr="00DB2665">
              <w:rPr>
                <w:rFonts w:ascii="Times New Roman CE" w:hAnsi="Times New Roman CE" w:cs="Times New Roman CE"/>
                <w:sz w:val="22"/>
                <w:szCs w:val="22"/>
              </w:rPr>
              <w:t>83,3%</w:t>
            </w:r>
          </w:p>
        </w:tc>
      </w:tr>
      <w:tr w:rsidR="00A838CE" w:rsidRPr="00DB2665" w:rsidTr="00A838CE">
        <w:trPr>
          <w:gridAfter w:val="1"/>
          <w:wAfter w:w="174" w:type="dxa"/>
          <w:trHeight w:val="300"/>
        </w:trPr>
        <w:tc>
          <w:tcPr>
            <w:tcW w:w="4253" w:type="dxa"/>
            <w:gridSpan w:val="2"/>
            <w:tcBorders>
              <w:top w:val="nil"/>
              <w:left w:val="nil"/>
              <w:bottom w:val="nil"/>
              <w:right w:val="nil"/>
            </w:tcBorders>
            <w:shd w:val="clear" w:color="auto" w:fill="auto"/>
            <w:noWrap/>
            <w:vAlign w:val="bottom"/>
            <w:hideMark/>
          </w:tcPr>
          <w:p w:rsidR="00A838CE" w:rsidRPr="00DB2665" w:rsidRDefault="00A838CE" w:rsidP="00A838CE">
            <w:pPr>
              <w:jc w:val="left"/>
              <w:rPr>
                <w:sz w:val="22"/>
                <w:szCs w:val="22"/>
              </w:rPr>
            </w:pPr>
            <w:r w:rsidRPr="00DB2665">
              <w:rPr>
                <w:sz w:val="22"/>
                <w:szCs w:val="22"/>
              </w:rPr>
              <w:t xml:space="preserve">Erősáramú villamos berendezés javítás                                 </w:t>
            </w:r>
          </w:p>
        </w:tc>
        <w:tc>
          <w:tcPr>
            <w:tcW w:w="1559" w:type="dxa"/>
            <w:tcBorders>
              <w:top w:val="nil"/>
              <w:left w:val="nil"/>
              <w:bottom w:val="nil"/>
              <w:right w:val="nil"/>
            </w:tcBorders>
            <w:shd w:val="clear" w:color="auto" w:fill="auto"/>
            <w:noWrap/>
            <w:vAlign w:val="bottom"/>
            <w:hideMark/>
          </w:tcPr>
          <w:p w:rsidR="00A838CE" w:rsidRPr="00DB2665" w:rsidRDefault="00A838CE" w:rsidP="00A838CE">
            <w:pPr>
              <w:jc w:val="center"/>
              <w:rPr>
                <w:rFonts w:ascii="Times New Roman CE" w:hAnsi="Times New Roman CE" w:cs="Times New Roman CE"/>
                <w:sz w:val="22"/>
                <w:szCs w:val="22"/>
              </w:rPr>
            </w:pPr>
            <w:r w:rsidRPr="00DB2665">
              <w:rPr>
                <w:rFonts w:ascii="Times New Roman CE" w:hAnsi="Times New Roman CE" w:cs="Times New Roman CE"/>
                <w:sz w:val="22"/>
                <w:szCs w:val="22"/>
              </w:rPr>
              <w:t>288</w:t>
            </w:r>
          </w:p>
        </w:tc>
        <w:tc>
          <w:tcPr>
            <w:tcW w:w="1985" w:type="dxa"/>
            <w:gridSpan w:val="3"/>
            <w:tcBorders>
              <w:top w:val="nil"/>
              <w:left w:val="nil"/>
              <w:bottom w:val="nil"/>
              <w:right w:val="nil"/>
            </w:tcBorders>
            <w:shd w:val="clear" w:color="auto" w:fill="auto"/>
            <w:noWrap/>
            <w:vAlign w:val="bottom"/>
            <w:hideMark/>
          </w:tcPr>
          <w:p w:rsidR="00A838CE" w:rsidRPr="00DB2665" w:rsidRDefault="00A838CE" w:rsidP="00A838CE">
            <w:pPr>
              <w:jc w:val="center"/>
              <w:rPr>
                <w:rFonts w:ascii="Times New Roman CE" w:hAnsi="Times New Roman CE" w:cs="Times New Roman CE"/>
                <w:sz w:val="22"/>
                <w:szCs w:val="22"/>
              </w:rPr>
            </w:pPr>
            <w:r w:rsidRPr="00DB2665">
              <w:rPr>
                <w:rFonts w:ascii="Times New Roman CE" w:hAnsi="Times New Roman CE" w:cs="Times New Roman CE"/>
                <w:sz w:val="22"/>
                <w:szCs w:val="22"/>
              </w:rPr>
              <w:t>185</w:t>
            </w:r>
          </w:p>
        </w:tc>
        <w:tc>
          <w:tcPr>
            <w:tcW w:w="1842" w:type="dxa"/>
            <w:tcBorders>
              <w:top w:val="nil"/>
              <w:left w:val="nil"/>
              <w:bottom w:val="nil"/>
              <w:right w:val="nil"/>
            </w:tcBorders>
            <w:shd w:val="clear" w:color="auto" w:fill="auto"/>
            <w:noWrap/>
            <w:vAlign w:val="bottom"/>
            <w:hideMark/>
          </w:tcPr>
          <w:p w:rsidR="00A838CE" w:rsidRPr="00DB2665" w:rsidRDefault="00A838CE" w:rsidP="00A838CE">
            <w:pPr>
              <w:jc w:val="center"/>
              <w:rPr>
                <w:rFonts w:ascii="Times New Roman CE" w:hAnsi="Times New Roman CE" w:cs="Times New Roman CE"/>
                <w:sz w:val="22"/>
                <w:szCs w:val="22"/>
              </w:rPr>
            </w:pPr>
            <w:r w:rsidRPr="00DB2665">
              <w:rPr>
                <w:rFonts w:ascii="Times New Roman CE" w:hAnsi="Times New Roman CE" w:cs="Times New Roman CE"/>
                <w:sz w:val="22"/>
                <w:szCs w:val="22"/>
              </w:rPr>
              <w:t>64,2%</w:t>
            </w:r>
          </w:p>
        </w:tc>
      </w:tr>
      <w:tr w:rsidR="00A838CE" w:rsidRPr="00DB2665" w:rsidTr="00A838CE">
        <w:trPr>
          <w:gridAfter w:val="1"/>
          <w:wAfter w:w="174" w:type="dxa"/>
          <w:trHeight w:val="300"/>
        </w:trPr>
        <w:tc>
          <w:tcPr>
            <w:tcW w:w="4253" w:type="dxa"/>
            <w:gridSpan w:val="2"/>
            <w:tcBorders>
              <w:top w:val="nil"/>
              <w:left w:val="nil"/>
              <w:bottom w:val="nil"/>
              <w:right w:val="nil"/>
            </w:tcBorders>
            <w:shd w:val="clear" w:color="auto" w:fill="auto"/>
            <w:noWrap/>
            <w:vAlign w:val="bottom"/>
            <w:hideMark/>
          </w:tcPr>
          <w:p w:rsidR="00A838CE" w:rsidRPr="00DB2665" w:rsidRDefault="00A838CE" w:rsidP="00A838CE">
            <w:pPr>
              <w:jc w:val="left"/>
              <w:rPr>
                <w:sz w:val="22"/>
                <w:szCs w:val="22"/>
              </w:rPr>
            </w:pPr>
            <w:r w:rsidRPr="00DB2665">
              <w:rPr>
                <w:sz w:val="22"/>
                <w:szCs w:val="22"/>
              </w:rPr>
              <w:t>Egyéb villamos javítás</w:t>
            </w:r>
          </w:p>
        </w:tc>
        <w:tc>
          <w:tcPr>
            <w:tcW w:w="1559" w:type="dxa"/>
            <w:tcBorders>
              <w:top w:val="nil"/>
              <w:left w:val="nil"/>
              <w:bottom w:val="nil"/>
              <w:right w:val="nil"/>
            </w:tcBorders>
            <w:shd w:val="clear" w:color="auto" w:fill="auto"/>
            <w:noWrap/>
            <w:vAlign w:val="bottom"/>
            <w:hideMark/>
          </w:tcPr>
          <w:p w:rsidR="00A838CE" w:rsidRPr="00DB2665" w:rsidRDefault="00A838CE" w:rsidP="00A838CE">
            <w:pPr>
              <w:jc w:val="center"/>
              <w:rPr>
                <w:rFonts w:ascii="Times New Roman CE" w:hAnsi="Times New Roman CE" w:cs="Times New Roman CE"/>
                <w:sz w:val="22"/>
                <w:szCs w:val="22"/>
              </w:rPr>
            </w:pPr>
            <w:r w:rsidRPr="00DB2665">
              <w:rPr>
                <w:rFonts w:ascii="Times New Roman CE" w:hAnsi="Times New Roman CE" w:cs="Times New Roman CE"/>
                <w:sz w:val="22"/>
                <w:szCs w:val="22"/>
              </w:rPr>
              <w:t>62</w:t>
            </w:r>
          </w:p>
        </w:tc>
        <w:tc>
          <w:tcPr>
            <w:tcW w:w="1985" w:type="dxa"/>
            <w:gridSpan w:val="3"/>
            <w:tcBorders>
              <w:top w:val="nil"/>
              <w:left w:val="nil"/>
              <w:bottom w:val="nil"/>
              <w:right w:val="nil"/>
            </w:tcBorders>
            <w:shd w:val="clear" w:color="auto" w:fill="auto"/>
            <w:noWrap/>
            <w:vAlign w:val="bottom"/>
            <w:hideMark/>
          </w:tcPr>
          <w:p w:rsidR="00A838CE" w:rsidRPr="00DB2665" w:rsidRDefault="00A838CE" w:rsidP="00A838CE">
            <w:pPr>
              <w:jc w:val="center"/>
              <w:rPr>
                <w:rFonts w:ascii="Times New Roman CE" w:hAnsi="Times New Roman CE" w:cs="Times New Roman CE"/>
                <w:sz w:val="22"/>
                <w:szCs w:val="22"/>
              </w:rPr>
            </w:pPr>
            <w:r w:rsidRPr="00DB2665">
              <w:rPr>
                <w:rFonts w:ascii="Times New Roman CE" w:hAnsi="Times New Roman CE" w:cs="Times New Roman CE"/>
                <w:sz w:val="22"/>
                <w:szCs w:val="22"/>
              </w:rPr>
              <w:t>45</w:t>
            </w:r>
          </w:p>
        </w:tc>
        <w:tc>
          <w:tcPr>
            <w:tcW w:w="1842" w:type="dxa"/>
            <w:tcBorders>
              <w:top w:val="nil"/>
              <w:left w:val="nil"/>
              <w:bottom w:val="nil"/>
              <w:right w:val="nil"/>
            </w:tcBorders>
            <w:shd w:val="clear" w:color="auto" w:fill="auto"/>
            <w:noWrap/>
            <w:vAlign w:val="bottom"/>
            <w:hideMark/>
          </w:tcPr>
          <w:p w:rsidR="00A838CE" w:rsidRPr="00DB2665" w:rsidRDefault="00A838CE" w:rsidP="00A838CE">
            <w:pPr>
              <w:jc w:val="center"/>
              <w:rPr>
                <w:rFonts w:ascii="Times New Roman CE" w:hAnsi="Times New Roman CE" w:cs="Times New Roman CE"/>
                <w:sz w:val="22"/>
                <w:szCs w:val="22"/>
              </w:rPr>
            </w:pPr>
            <w:r w:rsidRPr="00DB2665">
              <w:rPr>
                <w:rFonts w:ascii="Times New Roman CE" w:hAnsi="Times New Roman CE" w:cs="Times New Roman CE"/>
                <w:sz w:val="22"/>
                <w:szCs w:val="22"/>
              </w:rPr>
              <w:t>72,6%</w:t>
            </w:r>
          </w:p>
        </w:tc>
      </w:tr>
      <w:tr w:rsidR="00A838CE" w:rsidRPr="00DB2665" w:rsidTr="00A838CE">
        <w:trPr>
          <w:gridAfter w:val="1"/>
          <w:wAfter w:w="174" w:type="dxa"/>
          <w:trHeight w:val="300"/>
        </w:trPr>
        <w:tc>
          <w:tcPr>
            <w:tcW w:w="4253" w:type="dxa"/>
            <w:gridSpan w:val="2"/>
            <w:tcBorders>
              <w:top w:val="nil"/>
              <w:left w:val="nil"/>
              <w:bottom w:val="nil"/>
              <w:right w:val="nil"/>
            </w:tcBorders>
            <w:shd w:val="clear" w:color="auto" w:fill="auto"/>
            <w:noWrap/>
            <w:vAlign w:val="bottom"/>
            <w:hideMark/>
          </w:tcPr>
          <w:p w:rsidR="00A838CE" w:rsidRPr="00DB2665" w:rsidRDefault="00A838CE" w:rsidP="00A838CE">
            <w:pPr>
              <w:jc w:val="left"/>
              <w:rPr>
                <w:sz w:val="22"/>
                <w:szCs w:val="22"/>
              </w:rPr>
            </w:pPr>
            <w:r w:rsidRPr="00DB2665">
              <w:rPr>
                <w:sz w:val="22"/>
                <w:szCs w:val="22"/>
              </w:rPr>
              <w:t>Üzemirányító és jelátviteli berendezés javítás</w:t>
            </w:r>
          </w:p>
        </w:tc>
        <w:tc>
          <w:tcPr>
            <w:tcW w:w="1559" w:type="dxa"/>
            <w:tcBorders>
              <w:top w:val="nil"/>
              <w:left w:val="nil"/>
              <w:bottom w:val="nil"/>
              <w:right w:val="nil"/>
            </w:tcBorders>
            <w:shd w:val="clear" w:color="auto" w:fill="auto"/>
            <w:noWrap/>
            <w:vAlign w:val="bottom"/>
            <w:hideMark/>
          </w:tcPr>
          <w:p w:rsidR="00A838CE" w:rsidRPr="00DB2665" w:rsidRDefault="00A838CE" w:rsidP="00A838CE">
            <w:pPr>
              <w:jc w:val="center"/>
              <w:rPr>
                <w:rFonts w:ascii="Times New Roman CE" w:hAnsi="Times New Roman CE" w:cs="Times New Roman CE"/>
                <w:sz w:val="22"/>
                <w:szCs w:val="22"/>
              </w:rPr>
            </w:pPr>
            <w:r w:rsidRPr="00DB2665">
              <w:rPr>
                <w:rFonts w:ascii="Times New Roman CE" w:hAnsi="Times New Roman CE" w:cs="Times New Roman CE"/>
                <w:sz w:val="22"/>
                <w:szCs w:val="22"/>
              </w:rPr>
              <w:t>190</w:t>
            </w:r>
          </w:p>
        </w:tc>
        <w:tc>
          <w:tcPr>
            <w:tcW w:w="1985" w:type="dxa"/>
            <w:gridSpan w:val="3"/>
            <w:tcBorders>
              <w:top w:val="nil"/>
              <w:left w:val="nil"/>
              <w:bottom w:val="nil"/>
              <w:right w:val="nil"/>
            </w:tcBorders>
            <w:shd w:val="clear" w:color="auto" w:fill="auto"/>
            <w:noWrap/>
            <w:vAlign w:val="bottom"/>
            <w:hideMark/>
          </w:tcPr>
          <w:p w:rsidR="00A838CE" w:rsidRPr="00DB2665" w:rsidRDefault="00A838CE" w:rsidP="00A838CE">
            <w:pPr>
              <w:jc w:val="center"/>
              <w:rPr>
                <w:rFonts w:ascii="Times New Roman CE" w:hAnsi="Times New Roman CE" w:cs="Times New Roman CE"/>
                <w:sz w:val="22"/>
                <w:szCs w:val="22"/>
              </w:rPr>
            </w:pPr>
            <w:r w:rsidRPr="00DB2665">
              <w:rPr>
                <w:rFonts w:ascii="Times New Roman CE" w:hAnsi="Times New Roman CE" w:cs="Times New Roman CE"/>
                <w:sz w:val="22"/>
                <w:szCs w:val="22"/>
              </w:rPr>
              <w:t>165</w:t>
            </w:r>
          </w:p>
        </w:tc>
        <w:tc>
          <w:tcPr>
            <w:tcW w:w="1842" w:type="dxa"/>
            <w:tcBorders>
              <w:top w:val="nil"/>
              <w:left w:val="nil"/>
              <w:bottom w:val="nil"/>
              <w:right w:val="nil"/>
            </w:tcBorders>
            <w:shd w:val="clear" w:color="auto" w:fill="auto"/>
            <w:noWrap/>
            <w:vAlign w:val="bottom"/>
            <w:hideMark/>
          </w:tcPr>
          <w:p w:rsidR="00A838CE" w:rsidRPr="00DB2665" w:rsidRDefault="00A838CE" w:rsidP="00A838CE">
            <w:pPr>
              <w:jc w:val="center"/>
              <w:rPr>
                <w:rFonts w:ascii="Times New Roman CE" w:hAnsi="Times New Roman CE" w:cs="Times New Roman CE"/>
                <w:sz w:val="22"/>
                <w:szCs w:val="22"/>
              </w:rPr>
            </w:pPr>
            <w:r w:rsidRPr="00DB2665">
              <w:rPr>
                <w:rFonts w:ascii="Times New Roman CE" w:hAnsi="Times New Roman CE" w:cs="Times New Roman CE"/>
                <w:sz w:val="22"/>
                <w:szCs w:val="22"/>
              </w:rPr>
              <w:t>86,8%</w:t>
            </w:r>
          </w:p>
        </w:tc>
      </w:tr>
      <w:tr w:rsidR="00A838CE" w:rsidRPr="00DB2665" w:rsidTr="00A838CE">
        <w:trPr>
          <w:gridAfter w:val="1"/>
          <w:wAfter w:w="174" w:type="dxa"/>
          <w:trHeight w:val="300"/>
        </w:trPr>
        <w:tc>
          <w:tcPr>
            <w:tcW w:w="4253" w:type="dxa"/>
            <w:gridSpan w:val="2"/>
            <w:tcBorders>
              <w:top w:val="nil"/>
              <w:left w:val="nil"/>
              <w:bottom w:val="nil"/>
              <w:right w:val="nil"/>
            </w:tcBorders>
            <w:shd w:val="clear" w:color="auto" w:fill="auto"/>
            <w:noWrap/>
            <w:vAlign w:val="bottom"/>
            <w:hideMark/>
          </w:tcPr>
          <w:p w:rsidR="00A838CE" w:rsidRPr="00DB2665" w:rsidRDefault="00A838CE" w:rsidP="00A838CE">
            <w:pPr>
              <w:jc w:val="left"/>
              <w:rPr>
                <w:sz w:val="22"/>
                <w:szCs w:val="22"/>
              </w:rPr>
            </w:pPr>
            <w:r w:rsidRPr="00DB2665">
              <w:rPr>
                <w:sz w:val="22"/>
                <w:szCs w:val="22"/>
              </w:rPr>
              <w:t>Gépjármű javítás</w:t>
            </w:r>
          </w:p>
        </w:tc>
        <w:tc>
          <w:tcPr>
            <w:tcW w:w="1559" w:type="dxa"/>
            <w:tcBorders>
              <w:top w:val="nil"/>
              <w:left w:val="nil"/>
              <w:bottom w:val="nil"/>
              <w:right w:val="nil"/>
            </w:tcBorders>
            <w:shd w:val="clear" w:color="auto" w:fill="auto"/>
            <w:noWrap/>
            <w:vAlign w:val="bottom"/>
            <w:hideMark/>
          </w:tcPr>
          <w:p w:rsidR="00A838CE" w:rsidRPr="00DB2665" w:rsidRDefault="00A838CE" w:rsidP="00A838CE">
            <w:pPr>
              <w:jc w:val="center"/>
              <w:rPr>
                <w:rFonts w:ascii="Times New Roman CE" w:hAnsi="Times New Roman CE" w:cs="Times New Roman CE"/>
                <w:sz w:val="22"/>
                <w:szCs w:val="22"/>
              </w:rPr>
            </w:pPr>
            <w:r w:rsidRPr="00DB2665">
              <w:rPr>
                <w:rFonts w:ascii="Times New Roman CE" w:hAnsi="Times New Roman CE" w:cs="Times New Roman CE"/>
                <w:sz w:val="22"/>
                <w:szCs w:val="22"/>
              </w:rPr>
              <w:t>300</w:t>
            </w:r>
          </w:p>
        </w:tc>
        <w:tc>
          <w:tcPr>
            <w:tcW w:w="1985" w:type="dxa"/>
            <w:gridSpan w:val="3"/>
            <w:tcBorders>
              <w:top w:val="nil"/>
              <w:left w:val="nil"/>
              <w:bottom w:val="nil"/>
              <w:right w:val="nil"/>
            </w:tcBorders>
            <w:shd w:val="clear" w:color="auto" w:fill="auto"/>
            <w:noWrap/>
            <w:vAlign w:val="bottom"/>
            <w:hideMark/>
          </w:tcPr>
          <w:p w:rsidR="00A838CE" w:rsidRPr="00DB2665" w:rsidRDefault="00A838CE" w:rsidP="00A838CE">
            <w:pPr>
              <w:jc w:val="center"/>
              <w:rPr>
                <w:rFonts w:ascii="Times New Roman CE" w:hAnsi="Times New Roman CE" w:cs="Times New Roman CE"/>
                <w:sz w:val="22"/>
                <w:szCs w:val="22"/>
              </w:rPr>
            </w:pPr>
            <w:r w:rsidRPr="00DB2665">
              <w:rPr>
                <w:rFonts w:ascii="Times New Roman CE" w:hAnsi="Times New Roman CE" w:cs="Times New Roman CE"/>
                <w:sz w:val="22"/>
                <w:szCs w:val="22"/>
              </w:rPr>
              <w:t>268</w:t>
            </w:r>
          </w:p>
        </w:tc>
        <w:tc>
          <w:tcPr>
            <w:tcW w:w="1842" w:type="dxa"/>
            <w:tcBorders>
              <w:top w:val="nil"/>
              <w:left w:val="nil"/>
              <w:bottom w:val="nil"/>
              <w:right w:val="nil"/>
            </w:tcBorders>
            <w:shd w:val="clear" w:color="auto" w:fill="auto"/>
            <w:noWrap/>
            <w:vAlign w:val="bottom"/>
            <w:hideMark/>
          </w:tcPr>
          <w:p w:rsidR="00A838CE" w:rsidRPr="00DB2665" w:rsidRDefault="00A838CE" w:rsidP="00A838CE">
            <w:pPr>
              <w:jc w:val="center"/>
              <w:rPr>
                <w:rFonts w:ascii="Times New Roman CE" w:hAnsi="Times New Roman CE" w:cs="Times New Roman CE"/>
                <w:sz w:val="22"/>
                <w:szCs w:val="22"/>
              </w:rPr>
            </w:pPr>
            <w:r w:rsidRPr="00DB2665">
              <w:rPr>
                <w:rFonts w:ascii="Times New Roman CE" w:hAnsi="Times New Roman CE" w:cs="Times New Roman CE"/>
                <w:sz w:val="22"/>
                <w:szCs w:val="22"/>
              </w:rPr>
              <w:t>89,3%</w:t>
            </w:r>
          </w:p>
        </w:tc>
      </w:tr>
    </w:tbl>
    <w:p w:rsidR="00A838CE" w:rsidRDefault="00A838CE" w:rsidP="0076232E">
      <w:pPr>
        <w:ind w:right="141"/>
      </w:pPr>
    </w:p>
    <w:p w:rsidR="00702CF8" w:rsidRDefault="00590859" w:rsidP="00590859">
      <w:pPr>
        <w:ind w:right="176"/>
      </w:pPr>
      <w:r>
        <w:t>A saját fenntartásban végzett szivattyú javítások száma a folyamatosan fennálló munkaerőhiány miatt csökkent jelentős mértékben.</w:t>
      </w:r>
    </w:p>
    <w:p w:rsidR="00702CF8" w:rsidRDefault="00702CF8">
      <w:pPr>
        <w:jc w:val="left"/>
      </w:pPr>
      <w:r>
        <w:br w:type="page"/>
      </w:r>
    </w:p>
    <w:p w:rsidR="00E736F6" w:rsidRPr="00702CF8" w:rsidRDefault="00E736F6" w:rsidP="0076232E">
      <w:pPr>
        <w:ind w:right="141"/>
        <w:rPr>
          <w:sz w:val="16"/>
          <w:szCs w:val="16"/>
        </w:rPr>
      </w:pPr>
    </w:p>
    <w:p w:rsidR="00E736F6" w:rsidRPr="00702CF8" w:rsidRDefault="00E736F6" w:rsidP="0076232E">
      <w:pPr>
        <w:ind w:right="141"/>
        <w:rPr>
          <w:sz w:val="16"/>
          <w:szCs w:val="16"/>
        </w:rPr>
      </w:pPr>
    </w:p>
    <w:p w:rsidR="0076232E" w:rsidRPr="00AF4206" w:rsidRDefault="0076232E" w:rsidP="00AF4206">
      <w:pPr>
        <w:pStyle w:val="Szvegtrzs3"/>
        <w:tabs>
          <w:tab w:val="clear" w:pos="567"/>
          <w:tab w:val="clear" w:pos="7938"/>
        </w:tabs>
        <w:ind w:right="200"/>
        <w:rPr>
          <w:b/>
          <w:i/>
          <w:iCs/>
          <w:szCs w:val="24"/>
        </w:rPr>
      </w:pPr>
      <w:bookmarkStart w:id="27" w:name="_Toc68779758"/>
      <w:r w:rsidRPr="00AF4206">
        <w:rPr>
          <w:b/>
          <w:i/>
          <w:iCs/>
          <w:szCs w:val="24"/>
        </w:rPr>
        <w:t>Vízmérő csere</w:t>
      </w:r>
      <w:bookmarkEnd w:id="27"/>
    </w:p>
    <w:tbl>
      <w:tblPr>
        <w:tblW w:w="9324" w:type="dxa"/>
        <w:tblCellMar>
          <w:left w:w="70" w:type="dxa"/>
          <w:right w:w="70" w:type="dxa"/>
        </w:tblCellMar>
        <w:tblLook w:val="04A0" w:firstRow="1" w:lastRow="0" w:firstColumn="1" w:lastColumn="0" w:noHBand="0" w:noVBand="1"/>
      </w:tblPr>
      <w:tblGrid>
        <w:gridCol w:w="1985"/>
        <w:gridCol w:w="992"/>
        <w:gridCol w:w="431"/>
        <w:gridCol w:w="193"/>
        <w:gridCol w:w="1196"/>
        <w:gridCol w:w="505"/>
        <w:gridCol w:w="193"/>
        <w:gridCol w:w="1063"/>
        <w:gridCol w:w="558"/>
        <w:gridCol w:w="193"/>
        <w:gridCol w:w="1055"/>
        <w:gridCol w:w="960"/>
      </w:tblGrid>
      <w:tr w:rsidR="00A6670E" w:rsidRPr="00DB2665" w:rsidTr="003C1FAF">
        <w:trPr>
          <w:trHeight w:val="427"/>
        </w:trPr>
        <w:tc>
          <w:tcPr>
            <w:tcW w:w="1985" w:type="dxa"/>
            <w:tcBorders>
              <w:top w:val="nil"/>
              <w:left w:val="nil"/>
              <w:bottom w:val="single" w:sz="4" w:space="0" w:color="auto"/>
              <w:right w:val="nil"/>
            </w:tcBorders>
            <w:shd w:val="clear" w:color="auto" w:fill="auto"/>
            <w:noWrap/>
            <w:vAlign w:val="bottom"/>
            <w:hideMark/>
          </w:tcPr>
          <w:p w:rsidR="00A6670E" w:rsidRPr="00DB2665" w:rsidRDefault="00A6670E" w:rsidP="00A6670E">
            <w:pPr>
              <w:jc w:val="left"/>
              <w:rPr>
                <w:sz w:val="22"/>
                <w:szCs w:val="22"/>
              </w:rPr>
            </w:pPr>
            <w:bookmarkStart w:id="28" w:name="_Toc68779759"/>
            <w:r w:rsidRPr="00DB2665">
              <w:rPr>
                <w:sz w:val="22"/>
                <w:szCs w:val="22"/>
              </w:rPr>
              <w:t> </w:t>
            </w:r>
          </w:p>
        </w:tc>
        <w:tc>
          <w:tcPr>
            <w:tcW w:w="1616" w:type="dxa"/>
            <w:gridSpan w:val="3"/>
            <w:tcBorders>
              <w:top w:val="nil"/>
              <w:left w:val="nil"/>
              <w:bottom w:val="single" w:sz="4" w:space="0" w:color="auto"/>
              <w:right w:val="nil"/>
            </w:tcBorders>
            <w:shd w:val="clear" w:color="auto" w:fill="auto"/>
            <w:vAlign w:val="center"/>
            <w:hideMark/>
          </w:tcPr>
          <w:p w:rsidR="00A6670E" w:rsidRPr="00DB2665" w:rsidRDefault="00A6670E" w:rsidP="00A6670E">
            <w:pPr>
              <w:jc w:val="center"/>
              <w:rPr>
                <w:rFonts w:ascii="Times New Roman CE" w:hAnsi="Times New Roman CE" w:cs="Times New Roman CE"/>
                <w:i/>
                <w:iCs/>
                <w:sz w:val="22"/>
                <w:szCs w:val="22"/>
              </w:rPr>
            </w:pPr>
            <w:r w:rsidRPr="00DB2665">
              <w:rPr>
                <w:rFonts w:ascii="Times New Roman CE" w:hAnsi="Times New Roman CE" w:cs="Times New Roman CE"/>
                <w:i/>
                <w:iCs/>
                <w:sz w:val="22"/>
                <w:szCs w:val="22"/>
              </w:rPr>
              <w:t>2021. év tény</w:t>
            </w:r>
          </w:p>
        </w:tc>
        <w:tc>
          <w:tcPr>
            <w:tcW w:w="1894" w:type="dxa"/>
            <w:gridSpan w:val="3"/>
            <w:tcBorders>
              <w:top w:val="nil"/>
              <w:left w:val="nil"/>
              <w:bottom w:val="single" w:sz="4" w:space="0" w:color="auto"/>
              <w:right w:val="nil"/>
            </w:tcBorders>
            <w:shd w:val="clear" w:color="auto" w:fill="auto"/>
            <w:vAlign w:val="center"/>
            <w:hideMark/>
          </w:tcPr>
          <w:p w:rsidR="00A6670E" w:rsidRPr="00DB2665" w:rsidRDefault="00A6670E" w:rsidP="00A6670E">
            <w:pPr>
              <w:jc w:val="center"/>
              <w:rPr>
                <w:rFonts w:ascii="Times New Roman CE" w:hAnsi="Times New Roman CE" w:cs="Times New Roman CE"/>
                <w:i/>
                <w:iCs/>
                <w:sz w:val="22"/>
                <w:szCs w:val="22"/>
              </w:rPr>
            </w:pPr>
            <w:r w:rsidRPr="00DB2665">
              <w:rPr>
                <w:rFonts w:ascii="Times New Roman CE" w:hAnsi="Times New Roman CE" w:cs="Times New Roman CE"/>
                <w:i/>
                <w:iCs/>
                <w:sz w:val="22"/>
                <w:szCs w:val="22"/>
              </w:rPr>
              <w:t>2022. év terv</w:t>
            </w:r>
          </w:p>
        </w:tc>
        <w:tc>
          <w:tcPr>
            <w:tcW w:w="1814" w:type="dxa"/>
            <w:gridSpan w:val="3"/>
            <w:tcBorders>
              <w:top w:val="nil"/>
              <w:left w:val="nil"/>
              <w:bottom w:val="single" w:sz="4" w:space="0" w:color="auto"/>
              <w:right w:val="nil"/>
            </w:tcBorders>
            <w:shd w:val="clear" w:color="auto" w:fill="auto"/>
            <w:vAlign w:val="center"/>
            <w:hideMark/>
          </w:tcPr>
          <w:p w:rsidR="00A6670E" w:rsidRPr="00DB2665" w:rsidRDefault="00A6670E" w:rsidP="00A6670E">
            <w:pPr>
              <w:jc w:val="center"/>
              <w:rPr>
                <w:rFonts w:ascii="Times New Roman CE" w:hAnsi="Times New Roman CE" w:cs="Times New Roman CE"/>
                <w:i/>
                <w:iCs/>
                <w:sz w:val="22"/>
                <w:szCs w:val="22"/>
              </w:rPr>
            </w:pPr>
            <w:r w:rsidRPr="00DB2665">
              <w:rPr>
                <w:rFonts w:ascii="Times New Roman CE" w:hAnsi="Times New Roman CE" w:cs="Times New Roman CE"/>
                <w:i/>
                <w:iCs/>
                <w:sz w:val="22"/>
                <w:szCs w:val="22"/>
              </w:rPr>
              <w:t>2022. év tény</w:t>
            </w:r>
          </w:p>
        </w:tc>
        <w:tc>
          <w:tcPr>
            <w:tcW w:w="1055" w:type="dxa"/>
            <w:tcBorders>
              <w:top w:val="nil"/>
              <w:left w:val="nil"/>
              <w:bottom w:val="single" w:sz="4" w:space="0" w:color="auto"/>
              <w:right w:val="nil"/>
            </w:tcBorders>
            <w:shd w:val="clear" w:color="auto" w:fill="auto"/>
            <w:vAlign w:val="center"/>
            <w:hideMark/>
          </w:tcPr>
          <w:p w:rsidR="00A6670E" w:rsidRPr="00DB2665" w:rsidRDefault="00A6670E" w:rsidP="003C1FAF">
            <w:pPr>
              <w:jc w:val="center"/>
              <w:rPr>
                <w:rFonts w:ascii="Times New Roman CE" w:hAnsi="Times New Roman CE" w:cs="Times New Roman CE"/>
                <w:sz w:val="22"/>
                <w:szCs w:val="22"/>
              </w:rPr>
            </w:pPr>
            <w:r w:rsidRPr="00DB2665">
              <w:rPr>
                <w:rFonts w:ascii="Times New Roman CE" w:hAnsi="Times New Roman CE" w:cs="Times New Roman CE"/>
                <w:sz w:val="22"/>
                <w:szCs w:val="22"/>
              </w:rPr>
              <w:t xml:space="preserve">tény/bázis    </w:t>
            </w:r>
          </w:p>
        </w:tc>
        <w:tc>
          <w:tcPr>
            <w:tcW w:w="960" w:type="dxa"/>
            <w:tcBorders>
              <w:top w:val="nil"/>
              <w:left w:val="nil"/>
              <w:bottom w:val="single" w:sz="4" w:space="0" w:color="auto"/>
              <w:right w:val="nil"/>
            </w:tcBorders>
            <w:shd w:val="clear" w:color="auto" w:fill="auto"/>
            <w:vAlign w:val="center"/>
            <w:hideMark/>
          </w:tcPr>
          <w:p w:rsidR="00A6670E" w:rsidRPr="00DB2665" w:rsidRDefault="00A6670E" w:rsidP="003C1FAF">
            <w:pPr>
              <w:jc w:val="center"/>
              <w:rPr>
                <w:rFonts w:ascii="Times New Roman CE" w:hAnsi="Times New Roman CE" w:cs="Times New Roman CE"/>
                <w:sz w:val="22"/>
                <w:szCs w:val="22"/>
              </w:rPr>
            </w:pPr>
            <w:r w:rsidRPr="00DB2665">
              <w:rPr>
                <w:rFonts w:ascii="Times New Roman CE" w:hAnsi="Times New Roman CE" w:cs="Times New Roman CE"/>
                <w:sz w:val="22"/>
                <w:szCs w:val="22"/>
              </w:rPr>
              <w:t xml:space="preserve">tény/terv    </w:t>
            </w:r>
          </w:p>
        </w:tc>
      </w:tr>
      <w:tr w:rsidR="00A6670E" w:rsidRPr="00DB2665" w:rsidTr="003C1FAF">
        <w:trPr>
          <w:trHeight w:val="300"/>
        </w:trPr>
        <w:tc>
          <w:tcPr>
            <w:tcW w:w="1985" w:type="dxa"/>
            <w:tcBorders>
              <w:top w:val="nil"/>
              <w:left w:val="nil"/>
              <w:bottom w:val="nil"/>
              <w:right w:val="nil"/>
            </w:tcBorders>
            <w:shd w:val="clear" w:color="auto" w:fill="auto"/>
            <w:noWrap/>
            <w:vAlign w:val="bottom"/>
            <w:hideMark/>
          </w:tcPr>
          <w:p w:rsidR="00A6670E" w:rsidRPr="00DB2665" w:rsidRDefault="00A6670E" w:rsidP="00A6670E">
            <w:pPr>
              <w:jc w:val="left"/>
              <w:rPr>
                <w:sz w:val="22"/>
                <w:szCs w:val="22"/>
              </w:rPr>
            </w:pPr>
            <w:r w:rsidRPr="00DB2665">
              <w:rPr>
                <w:sz w:val="22"/>
                <w:szCs w:val="22"/>
              </w:rPr>
              <w:t>Vízmérő csere</w:t>
            </w:r>
          </w:p>
        </w:tc>
        <w:tc>
          <w:tcPr>
            <w:tcW w:w="992" w:type="dxa"/>
            <w:tcBorders>
              <w:top w:val="nil"/>
              <w:left w:val="nil"/>
              <w:bottom w:val="nil"/>
              <w:right w:val="nil"/>
            </w:tcBorders>
            <w:shd w:val="clear" w:color="auto" w:fill="auto"/>
            <w:noWrap/>
            <w:vAlign w:val="bottom"/>
            <w:hideMark/>
          </w:tcPr>
          <w:p w:rsidR="00A6670E" w:rsidRPr="00DB2665" w:rsidRDefault="00A6670E" w:rsidP="00A6670E">
            <w:pPr>
              <w:jc w:val="right"/>
              <w:rPr>
                <w:sz w:val="22"/>
                <w:szCs w:val="22"/>
              </w:rPr>
            </w:pPr>
            <w:r w:rsidRPr="00DB2665">
              <w:rPr>
                <w:sz w:val="22"/>
                <w:szCs w:val="22"/>
              </w:rPr>
              <w:t>10 857</w:t>
            </w:r>
          </w:p>
        </w:tc>
        <w:tc>
          <w:tcPr>
            <w:tcW w:w="431" w:type="dxa"/>
            <w:tcBorders>
              <w:top w:val="nil"/>
              <w:left w:val="nil"/>
              <w:bottom w:val="nil"/>
              <w:right w:val="nil"/>
            </w:tcBorders>
            <w:shd w:val="clear" w:color="auto" w:fill="auto"/>
            <w:noWrap/>
            <w:vAlign w:val="bottom"/>
            <w:hideMark/>
          </w:tcPr>
          <w:p w:rsidR="00A6670E" w:rsidRPr="00DB2665" w:rsidRDefault="00A6670E" w:rsidP="00A6670E">
            <w:pPr>
              <w:jc w:val="left"/>
              <w:rPr>
                <w:sz w:val="22"/>
                <w:szCs w:val="22"/>
              </w:rPr>
            </w:pPr>
            <w:r w:rsidRPr="00DB2665">
              <w:rPr>
                <w:sz w:val="22"/>
                <w:szCs w:val="22"/>
              </w:rPr>
              <w:t>db</w:t>
            </w:r>
          </w:p>
        </w:tc>
        <w:tc>
          <w:tcPr>
            <w:tcW w:w="1389" w:type="dxa"/>
            <w:gridSpan w:val="2"/>
            <w:tcBorders>
              <w:top w:val="nil"/>
              <w:left w:val="nil"/>
              <w:bottom w:val="nil"/>
              <w:right w:val="nil"/>
            </w:tcBorders>
            <w:shd w:val="clear" w:color="auto" w:fill="auto"/>
            <w:noWrap/>
            <w:vAlign w:val="bottom"/>
            <w:hideMark/>
          </w:tcPr>
          <w:p w:rsidR="00A6670E" w:rsidRPr="00DB2665" w:rsidRDefault="00A6670E" w:rsidP="00A6670E">
            <w:pPr>
              <w:jc w:val="right"/>
              <w:rPr>
                <w:sz w:val="22"/>
                <w:szCs w:val="22"/>
              </w:rPr>
            </w:pPr>
            <w:r w:rsidRPr="00DB2665">
              <w:rPr>
                <w:sz w:val="22"/>
                <w:szCs w:val="22"/>
              </w:rPr>
              <w:t>14 254</w:t>
            </w:r>
          </w:p>
        </w:tc>
        <w:tc>
          <w:tcPr>
            <w:tcW w:w="505" w:type="dxa"/>
            <w:tcBorders>
              <w:top w:val="nil"/>
              <w:left w:val="nil"/>
              <w:bottom w:val="nil"/>
              <w:right w:val="nil"/>
            </w:tcBorders>
            <w:shd w:val="clear" w:color="auto" w:fill="auto"/>
            <w:noWrap/>
            <w:vAlign w:val="bottom"/>
            <w:hideMark/>
          </w:tcPr>
          <w:p w:rsidR="00A6670E" w:rsidRPr="00DB2665" w:rsidRDefault="00A6670E" w:rsidP="00A6670E">
            <w:pPr>
              <w:jc w:val="left"/>
              <w:rPr>
                <w:sz w:val="22"/>
                <w:szCs w:val="22"/>
              </w:rPr>
            </w:pPr>
            <w:r w:rsidRPr="00DB2665">
              <w:rPr>
                <w:sz w:val="22"/>
                <w:szCs w:val="22"/>
              </w:rPr>
              <w:t>db</w:t>
            </w:r>
          </w:p>
        </w:tc>
        <w:tc>
          <w:tcPr>
            <w:tcW w:w="1256" w:type="dxa"/>
            <w:gridSpan w:val="2"/>
            <w:tcBorders>
              <w:top w:val="nil"/>
              <w:left w:val="nil"/>
              <w:bottom w:val="nil"/>
              <w:right w:val="nil"/>
            </w:tcBorders>
            <w:shd w:val="clear" w:color="auto" w:fill="auto"/>
            <w:noWrap/>
            <w:vAlign w:val="bottom"/>
            <w:hideMark/>
          </w:tcPr>
          <w:p w:rsidR="00A6670E" w:rsidRPr="00DB2665" w:rsidRDefault="00A6670E" w:rsidP="00A6670E">
            <w:pPr>
              <w:jc w:val="right"/>
              <w:rPr>
                <w:sz w:val="22"/>
                <w:szCs w:val="22"/>
              </w:rPr>
            </w:pPr>
            <w:r w:rsidRPr="00DB2665">
              <w:rPr>
                <w:sz w:val="22"/>
                <w:szCs w:val="22"/>
              </w:rPr>
              <w:t>7 467</w:t>
            </w:r>
          </w:p>
        </w:tc>
        <w:tc>
          <w:tcPr>
            <w:tcW w:w="558" w:type="dxa"/>
            <w:tcBorders>
              <w:top w:val="nil"/>
              <w:left w:val="nil"/>
              <w:bottom w:val="nil"/>
              <w:right w:val="nil"/>
            </w:tcBorders>
            <w:shd w:val="clear" w:color="auto" w:fill="auto"/>
            <w:noWrap/>
            <w:vAlign w:val="bottom"/>
            <w:hideMark/>
          </w:tcPr>
          <w:p w:rsidR="00A6670E" w:rsidRPr="00DB2665" w:rsidRDefault="00A6670E" w:rsidP="00A6670E">
            <w:pPr>
              <w:jc w:val="left"/>
              <w:rPr>
                <w:sz w:val="22"/>
                <w:szCs w:val="22"/>
              </w:rPr>
            </w:pPr>
            <w:r w:rsidRPr="00DB2665">
              <w:rPr>
                <w:sz w:val="22"/>
                <w:szCs w:val="22"/>
              </w:rPr>
              <w:t>db</w:t>
            </w:r>
          </w:p>
        </w:tc>
        <w:tc>
          <w:tcPr>
            <w:tcW w:w="1248" w:type="dxa"/>
            <w:gridSpan w:val="2"/>
            <w:tcBorders>
              <w:top w:val="nil"/>
              <w:left w:val="nil"/>
              <w:bottom w:val="nil"/>
              <w:right w:val="nil"/>
            </w:tcBorders>
            <w:shd w:val="clear" w:color="auto" w:fill="auto"/>
            <w:noWrap/>
            <w:vAlign w:val="bottom"/>
            <w:hideMark/>
          </w:tcPr>
          <w:p w:rsidR="00A6670E" w:rsidRPr="00DB2665" w:rsidRDefault="00A6670E" w:rsidP="00A6670E">
            <w:pPr>
              <w:jc w:val="center"/>
              <w:rPr>
                <w:rFonts w:ascii="Times New Roman CE" w:hAnsi="Times New Roman CE" w:cs="Times New Roman CE"/>
                <w:sz w:val="22"/>
                <w:szCs w:val="22"/>
              </w:rPr>
            </w:pPr>
            <w:r w:rsidRPr="00DB2665">
              <w:rPr>
                <w:rFonts w:ascii="Times New Roman CE" w:hAnsi="Times New Roman CE" w:cs="Times New Roman CE"/>
                <w:sz w:val="22"/>
                <w:szCs w:val="22"/>
              </w:rPr>
              <w:t>68,8%</w:t>
            </w:r>
          </w:p>
        </w:tc>
        <w:tc>
          <w:tcPr>
            <w:tcW w:w="960" w:type="dxa"/>
            <w:tcBorders>
              <w:top w:val="nil"/>
              <w:left w:val="nil"/>
              <w:bottom w:val="nil"/>
              <w:right w:val="nil"/>
            </w:tcBorders>
            <w:shd w:val="clear" w:color="auto" w:fill="auto"/>
            <w:noWrap/>
            <w:vAlign w:val="bottom"/>
            <w:hideMark/>
          </w:tcPr>
          <w:p w:rsidR="00A6670E" w:rsidRPr="00DB2665" w:rsidRDefault="00A6670E" w:rsidP="00A6670E">
            <w:pPr>
              <w:jc w:val="center"/>
              <w:rPr>
                <w:rFonts w:ascii="Times New Roman CE" w:hAnsi="Times New Roman CE" w:cs="Times New Roman CE"/>
                <w:sz w:val="22"/>
                <w:szCs w:val="22"/>
              </w:rPr>
            </w:pPr>
            <w:r w:rsidRPr="00DB2665">
              <w:rPr>
                <w:rFonts w:ascii="Times New Roman CE" w:hAnsi="Times New Roman CE" w:cs="Times New Roman CE"/>
                <w:sz w:val="22"/>
                <w:szCs w:val="22"/>
              </w:rPr>
              <w:t>52,4%</w:t>
            </w:r>
          </w:p>
        </w:tc>
      </w:tr>
    </w:tbl>
    <w:p w:rsidR="003C1FAF" w:rsidRPr="00DB2665" w:rsidRDefault="003C1FAF" w:rsidP="00A6670E">
      <w:pPr>
        <w:ind w:right="-141"/>
      </w:pPr>
      <w:bookmarkStart w:id="29" w:name="_Toc331589988"/>
    </w:p>
    <w:p w:rsidR="00A6670E" w:rsidRPr="00DB2665" w:rsidRDefault="00A6670E" w:rsidP="003C1FAF">
      <w:pPr>
        <w:ind w:right="176"/>
      </w:pPr>
      <w:r w:rsidRPr="00DB2665">
        <w:t>A víz</w:t>
      </w:r>
      <w:r w:rsidR="003C1FAF" w:rsidRPr="00DB2665">
        <w:t>mérő</w:t>
      </w:r>
      <w:r w:rsidRPr="00DB2665">
        <w:t xml:space="preserve"> cserék </w:t>
      </w:r>
      <w:r w:rsidR="003C1FAF" w:rsidRPr="00DB2665">
        <w:t xml:space="preserve">elmaradásának oka, hogy a </w:t>
      </w:r>
      <w:r w:rsidRPr="00DB2665">
        <w:t>mérőigények beszerzése elhúzódott. A nagymértékben megemelkedett beszerzési árak miatt társaságunk áttért egy mérő felújítási programra, amelyre a MOM Zrt-vel szerződtünk.</w:t>
      </w:r>
    </w:p>
    <w:p w:rsidR="00A6670E" w:rsidRPr="00DB2665" w:rsidRDefault="00A6670E" w:rsidP="003C1FAF">
      <w:pPr>
        <w:ind w:right="176"/>
      </w:pPr>
      <w:r w:rsidRPr="00DB2665">
        <w:t>Az új mérők beszerzési árához képest így közel 50%-ot takarítunk meg. Ez a szerződés a jövőben biztosítja a folyamatos utánpótlást.</w:t>
      </w:r>
    </w:p>
    <w:p w:rsidR="00A6670E" w:rsidRPr="00DB2665" w:rsidRDefault="00A6670E" w:rsidP="00A6670E">
      <w:pPr>
        <w:pStyle w:val="Szvegtrzs"/>
        <w:tabs>
          <w:tab w:val="left" w:pos="709"/>
          <w:tab w:val="right" w:pos="8222"/>
        </w:tabs>
        <w:rPr>
          <w:sz w:val="23"/>
        </w:rPr>
      </w:pPr>
    </w:p>
    <w:p w:rsidR="00A6670E" w:rsidRDefault="00A6670E" w:rsidP="00A6670E">
      <w:pPr>
        <w:pStyle w:val="Cmsor2"/>
        <w:rPr>
          <w:sz w:val="24"/>
          <w:szCs w:val="24"/>
        </w:rPr>
      </w:pPr>
      <w:bookmarkStart w:id="30" w:name="_Toc78540569"/>
      <w:bookmarkStart w:id="31" w:name="_Toc112068755"/>
      <w:bookmarkStart w:id="32" w:name="_Toc132629477"/>
      <w:r w:rsidRPr="00E74C0E">
        <w:rPr>
          <w:sz w:val="24"/>
          <w:szCs w:val="24"/>
        </w:rPr>
        <w:t>Megbízásba adott eszközfenntartás</w:t>
      </w:r>
      <w:bookmarkEnd w:id="29"/>
      <w:bookmarkEnd w:id="30"/>
      <w:bookmarkEnd w:id="31"/>
      <w:bookmarkEnd w:id="32"/>
    </w:p>
    <w:p w:rsidR="00CA36D0" w:rsidRPr="00CA36D0" w:rsidRDefault="00CA36D0" w:rsidP="00CA36D0"/>
    <w:p w:rsidR="00A6670E" w:rsidRPr="00E74C0E" w:rsidRDefault="00A6670E" w:rsidP="00A6670E">
      <w:pPr>
        <w:rPr>
          <w:strike/>
          <w:szCs w:val="24"/>
        </w:rPr>
      </w:pPr>
      <w:r w:rsidRPr="00E74C0E">
        <w:rPr>
          <w:iCs/>
          <w:szCs w:val="24"/>
        </w:rPr>
        <w:t>Az</w:t>
      </w:r>
      <w:r w:rsidRPr="00E74C0E">
        <w:rPr>
          <w:i/>
          <w:iCs/>
          <w:szCs w:val="24"/>
        </w:rPr>
        <w:t xml:space="preserve"> Üzemvitel </w:t>
      </w:r>
      <w:r w:rsidRPr="00E74C0E">
        <w:rPr>
          <w:szCs w:val="24"/>
        </w:rPr>
        <w:t>által megrendelt munkák adják az összes költség 1</w:t>
      </w:r>
      <w:r w:rsidR="003C1FAF" w:rsidRPr="00E74C0E">
        <w:rPr>
          <w:szCs w:val="24"/>
        </w:rPr>
        <w:t>2</w:t>
      </w:r>
      <w:r w:rsidRPr="00E74C0E">
        <w:rPr>
          <w:szCs w:val="24"/>
        </w:rPr>
        <w:t xml:space="preserve"> %-át: kisgépek, szivattyúk, műszerek, transzformátorok javítása, </w:t>
      </w:r>
      <w:r w:rsidR="00404BF5" w:rsidRPr="00E74C0E">
        <w:rPr>
          <w:szCs w:val="24"/>
        </w:rPr>
        <w:t xml:space="preserve">vízmérő hitelesítések, </w:t>
      </w:r>
      <w:r w:rsidRPr="00E74C0E">
        <w:rPr>
          <w:szCs w:val="24"/>
        </w:rPr>
        <w:t>illetve a biztonságtechnikai felülvizsgálatok.</w:t>
      </w:r>
    </w:p>
    <w:p w:rsidR="00A6670E" w:rsidRPr="00002A28" w:rsidRDefault="00A6670E" w:rsidP="00A6670E">
      <w:pPr>
        <w:autoSpaceDE w:val="0"/>
        <w:autoSpaceDN w:val="0"/>
        <w:adjustRightInd w:val="0"/>
        <w:rPr>
          <w:sz w:val="8"/>
          <w:szCs w:val="8"/>
        </w:rPr>
      </w:pPr>
    </w:p>
    <w:p w:rsidR="00A6670E" w:rsidRPr="00E74C0E" w:rsidRDefault="00A6670E" w:rsidP="00A6670E">
      <w:pPr>
        <w:rPr>
          <w:strike/>
          <w:szCs w:val="24"/>
        </w:rPr>
      </w:pPr>
      <w:r w:rsidRPr="00E74C0E">
        <w:rPr>
          <w:i/>
          <w:iCs/>
          <w:szCs w:val="24"/>
        </w:rPr>
        <w:t>Gépjárművek, munkagépek</w:t>
      </w:r>
      <w:r w:rsidRPr="00E74C0E">
        <w:rPr>
          <w:szCs w:val="24"/>
        </w:rPr>
        <w:t xml:space="preserve"> külső javítása keretében történik a </w:t>
      </w:r>
      <w:r w:rsidR="00D62AA4">
        <w:rPr>
          <w:szCs w:val="24"/>
        </w:rPr>
        <w:t>zr</w:t>
      </w:r>
      <w:r w:rsidRPr="00E74C0E">
        <w:rPr>
          <w:szCs w:val="24"/>
        </w:rPr>
        <w:t>t. által üzemeltetett gépjárművek, munkagépek kötelező garanciális felülvizsgálata, szervize, valamint a szakszervizben történő javítási munkák. Arányuk az összes költségen belül 35 %.</w:t>
      </w:r>
    </w:p>
    <w:p w:rsidR="00A6670E" w:rsidRPr="00002A28" w:rsidRDefault="00A6670E" w:rsidP="00A6670E">
      <w:pPr>
        <w:rPr>
          <w:sz w:val="8"/>
          <w:szCs w:val="8"/>
        </w:rPr>
      </w:pPr>
    </w:p>
    <w:p w:rsidR="00A6670E" w:rsidRPr="00E74C0E" w:rsidRDefault="00A6670E" w:rsidP="00A6670E">
      <w:pPr>
        <w:rPr>
          <w:i/>
          <w:iCs/>
          <w:szCs w:val="24"/>
        </w:rPr>
      </w:pPr>
      <w:r w:rsidRPr="00E74C0E">
        <w:rPr>
          <w:i/>
          <w:iCs/>
          <w:szCs w:val="24"/>
        </w:rPr>
        <w:t>Informatika, labor, raktár</w:t>
      </w:r>
      <w:r w:rsidRPr="00E74C0E">
        <w:rPr>
          <w:szCs w:val="24"/>
        </w:rPr>
        <w:t xml:space="preserve"> fenntartási költsége a </w:t>
      </w:r>
      <w:r w:rsidR="00D62AA4">
        <w:rPr>
          <w:szCs w:val="24"/>
        </w:rPr>
        <w:t>zrt</w:t>
      </w:r>
      <w:r w:rsidRPr="00E74C0E">
        <w:rPr>
          <w:szCs w:val="24"/>
        </w:rPr>
        <w:t>. által üzemeltetett számítógépes hálózat hardver berendezéseinek (számítógépek, szerverek, stb.) ellenőrzését, valamint a laborban használt műszerek, berendezések szervizelését, karbantartását tartal</w:t>
      </w:r>
      <w:r w:rsidR="00404BF5" w:rsidRPr="00E74C0E">
        <w:rPr>
          <w:szCs w:val="24"/>
        </w:rPr>
        <w:t>mazza, arányuk 5 %.</w:t>
      </w:r>
    </w:p>
    <w:p w:rsidR="00E74C0E" w:rsidRPr="00002A28" w:rsidRDefault="00E74C0E" w:rsidP="00A6670E">
      <w:pPr>
        <w:autoSpaceDE w:val="0"/>
        <w:autoSpaceDN w:val="0"/>
        <w:adjustRightInd w:val="0"/>
        <w:rPr>
          <w:i/>
          <w:iCs/>
          <w:sz w:val="8"/>
          <w:szCs w:val="8"/>
        </w:rPr>
      </w:pPr>
    </w:p>
    <w:p w:rsidR="00A6670E" w:rsidRPr="00E74C0E" w:rsidRDefault="00A6670E" w:rsidP="00A6670E">
      <w:pPr>
        <w:autoSpaceDE w:val="0"/>
        <w:autoSpaceDN w:val="0"/>
        <w:adjustRightInd w:val="0"/>
        <w:rPr>
          <w:szCs w:val="24"/>
        </w:rPr>
      </w:pPr>
      <w:r w:rsidRPr="00E74C0E">
        <w:rPr>
          <w:i/>
          <w:iCs/>
          <w:szCs w:val="24"/>
        </w:rPr>
        <w:t xml:space="preserve">Közmű műtárgyak </w:t>
      </w:r>
      <w:r w:rsidRPr="00E74C0E">
        <w:rPr>
          <w:szCs w:val="24"/>
        </w:rPr>
        <w:t>eszközfenntartási munkái teszik ki az összes költség 4</w:t>
      </w:r>
      <w:r w:rsidR="00404BF5" w:rsidRPr="00E74C0E">
        <w:rPr>
          <w:szCs w:val="24"/>
        </w:rPr>
        <w:t>6</w:t>
      </w:r>
      <w:r w:rsidRPr="00E74C0E">
        <w:rPr>
          <w:szCs w:val="24"/>
        </w:rPr>
        <w:t xml:space="preserve"> %-át. A </w:t>
      </w:r>
      <w:r w:rsidR="00D62AA4">
        <w:rPr>
          <w:szCs w:val="24"/>
        </w:rPr>
        <w:t>zr</w:t>
      </w:r>
      <w:r w:rsidRPr="00E74C0E">
        <w:rPr>
          <w:szCs w:val="24"/>
        </w:rPr>
        <w:t>t. üzemeltetési területén lévő egyes gépek, berendezések, építmények, területek (légfúvók, iszapcentrifugák, síkrácsok, technológiai műszerek, gázmotorok, riasztók, víztornyok, védőterületek stb.) szervizelésének, karbantartásának, esetleges javításának költsége.</w:t>
      </w:r>
    </w:p>
    <w:bookmarkEnd w:id="28"/>
    <w:p w:rsidR="00261257" w:rsidRDefault="00261257" w:rsidP="003B2706">
      <w:pPr>
        <w:pStyle w:val="xl86"/>
        <w:tabs>
          <w:tab w:val="left" w:pos="9356"/>
        </w:tabs>
        <w:spacing w:before="0" w:beforeAutospacing="0" w:after="0" w:afterAutospacing="0"/>
        <w:rPr>
          <w:rFonts w:eastAsia="Times New Roman" w:cs="Times New Roman"/>
        </w:rPr>
      </w:pPr>
    </w:p>
    <w:p w:rsidR="00E74C0E" w:rsidRDefault="00E74C0E" w:rsidP="003B2706">
      <w:pPr>
        <w:pStyle w:val="xl86"/>
        <w:tabs>
          <w:tab w:val="left" w:pos="9356"/>
        </w:tabs>
        <w:spacing w:before="0" w:beforeAutospacing="0" w:after="0" w:afterAutospacing="0"/>
        <w:rPr>
          <w:rFonts w:eastAsia="Times New Roman" w:cs="Times New Roman"/>
        </w:rPr>
      </w:pPr>
    </w:p>
    <w:p w:rsidR="00E74C0E" w:rsidRPr="00DB2665" w:rsidRDefault="00E74C0E" w:rsidP="003B2706">
      <w:pPr>
        <w:pStyle w:val="xl86"/>
        <w:tabs>
          <w:tab w:val="left" w:pos="9356"/>
        </w:tabs>
        <w:spacing w:before="0" w:beforeAutospacing="0" w:after="0" w:afterAutospacing="0"/>
        <w:rPr>
          <w:rFonts w:eastAsia="Times New Roman" w:cs="Times New Roman"/>
        </w:rPr>
      </w:pPr>
    </w:p>
    <w:p w:rsidR="00D51AA4" w:rsidRPr="00DB2665" w:rsidRDefault="00D51AA4">
      <w:pPr>
        <w:pStyle w:val="Cmsor1"/>
        <w:rPr>
          <w:sz w:val="28"/>
          <w:szCs w:val="28"/>
        </w:rPr>
      </w:pPr>
      <w:bookmarkStart w:id="33" w:name="_Toc132629478"/>
      <w:r w:rsidRPr="00DB2665">
        <w:rPr>
          <w:sz w:val="28"/>
          <w:szCs w:val="28"/>
        </w:rPr>
        <w:t>V. Vízminőség, szennyvíztisztítás, környezetvédelem, ellenőrzés</w:t>
      </w:r>
      <w:bookmarkEnd w:id="33"/>
    </w:p>
    <w:p w:rsidR="00D51AA4" w:rsidRPr="00DB2665" w:rsidRDefault="00D51AA4">
      <w:pPr>
        <w:pStyle w:val="xl86"/>
        <w:tabs>
          <w:tab w:val="left" w:pos="9356"/>
        </w:tabs>
        <w:spacing w:before="0" w:beforeAutospacing="0" w:after="0" w:afterAutospacing="0"/>
        <w:rPr>
          <w:rFonts w:eastAsia="Times New Roman" w:cs="Times New Roman"/>
        </w:rPr>
      </w:pPr>
    </w:p>
    <w:p w:rsidR="002E6B14" w:rsidRDefault="002E6B14" w:rsidP="002E6B14">
      <w:pPr>
        <w:pStyle w:val="Cmsor2"/>
        <w:rPr>
          <w:i w:val="0"/>
          <w:iCs w:val="0"/>
          <w:sz w:val="24"/>
          <w:szCs w:val="24"/>
        </w:rPr>
      </w:pPr>
      <w:bookmarkStart w:id="34" w:name="_Toc132629479"/>
      <w:r w:rsidRPr="00DB2665">
        <w:rPr>
          <w:i w:val="0"/>
          <w:iCs w:val="0"/>
          <w:sz w:val="24"/>
          <w:szCs w:val="24"/>
        </w:rPr>
        <w:t>Vízminőség</w:t>
      </w:r>
      <w:bookmarkEnd w:id="34"/>
    </w:p>
    <w:p w:rsidR="00CA36D0" w:rsidRPr="00002A28" w:rsidRDefault="00CA36D0" w:rsidP="00CA36D0">
      <w:pPr>
        <w:rPr>
          <w:sz w:val="8"/>
          <w:szCs w:val="8"/>
        </w:rPr>
      </w:pPr>
    </w:p>
    <w:p w:rsidR="00B11A53" w:rsidRPr="00DB2665" w:rsidRDefault="00B11A53" w:rsidP="00B11A53">
      <w:pPr>
        <w:rPr>
          <w:szCs w:val="24"/>
        </w:rPr>
      </w:pPr>
      <w:r w:rsidRPr="00DB2665">
        <w:rPr>
          <w:szCs w:val="24"/>
        </w:rPr>
        <w:lastRenderedPageBreak/>
        <w:t>A jelentés időszakában 4 618 db ivóvíz, felszíni víz, fürdővíz mintából 81 502 paraméterre kiterjedő kémiai</w:t>
      </w:r>
      <w:r w:rsidR="00002A28">
        <w:rPr>
          <w:szCs w:val="24"/>
        </w:rPr>
        <w:t>,</w:t>
      </w:r>
      <w:r w:rsidRPr="00DB2665">
        <w:rPr>
          <w:szCs w:val="24"/>
        </w:rPr>
        <w:t xml:space="preserve"> bakteriológiai és biológiai meghatározást végzett el a Laboratórium. </w:t>
      </w:r>
    </w:p>
    <w:p w:rsidR="00B11A53" w:rsidRDefault="00B11A53" w:rsidP="00B11A53">
      <w:pPr>
        <w:pStyle w:val="xl86"/>
        <w:spacing w:before="0" w:beforeAutospacing="0" w:after="0" w:afterAutospacing="0"/>
        <w:rPr>
          <w:sz w:val="24"/>
          <w:szCs w:val="24"/>
        </w:rPr>
      </w:pPr>
      <w:r w:rsidRPr="00DB2665">
        <w:rPr>
          <w:sz w:val="24"/>
          <w:szCs w:val="24"/>
        </w:rPr>
        <w:t>370 alkalommal az eredmények azonnali beavatkozást igényeltek. Az üzemmérnökségek tájékoztatását követően a szükséges beavatkozás elvégzése után ismételt mintázás és vizsgálat következett.</w:t>
      </w:r>
    </w:p>
    <w:p w:rsidR="00E74C0E" w:rsidRPr="00DB2665" w:rsidRDefault="00E74C0E" w:rsidP="00B11A53">
      <w:pPr>
        <w:pStyle w:val="xl86"/>
        <w:spacing w:before="0" w:beforeAutospacing="0" w:after="0" w:afterAutospacing="0"/>
        <w:rPr>
          <w:sz w:val="24"/>
          <w:szCs w:val="24"/>
        </w:rPr>
      </w:pPr>
    </w:p>
    <w:p w:rsidR="00B11A53" w:rsidRDefault="00B11A53" w:rsidP="00E736F6">
      <w:pPr>
        <w:pStyle w:val="Cmsor2"/>
        <w:ind w:right="459"/>
        <w:rPr>
          <w:i w:val="0"/>
          <w:iCs w:val="0"/>
          <w:sz w:val="24"/>
          <w:szCs w:val="24"/>
        </w:rPr>
      </w:pPr>
      <w:bookmarkStart w:id="35" w:name="_Toc132629480"/>
      <w:r w:rsidRPr="00E74C0E">
        <w:rPr>
          <w:i w:val="0"/>
          <w:iCs w:val="0"/>
          <w:sz w:val="24"/>
          <w:szCs w:val="24"/>
        </w:rPr>
        <w:t>A vízminőség megőrzése érdekében végzett tevékenységek</w:t>
      </w:r>
      <w:bookmarkEnd w:id="35"/>
    </w:p>
    <w:p w:rsidR="00B11A53" w:rsidRPr="00E74C0E" w:rsidRDefault="00B11A53" w:rsidP="00E736F6">
      <w:pPr>
        <w:pStyle w:val="Listaszerbekezds"/>
        <w:numPr>
          <w:ilvl w:val="0"/>
          <w:numId w:val="41"/>
        </w:numPr>
        <w:tabs>
          <w:tab w:val="num" w:pos="-889"/>
        </w:tabs>
        <w:ind w:left="284" w:right="459" w:hanging="142"/>
        <w:contextualSpacing w:val="0"/>
        <w:rPr>
          <w:szCs w:val="24"/>
        </w:rPr>
      </w:pPr>
      <w:r w:rsidRPr="00E74C0E">
        <w:rPr>
          <w:szCs w:val="24"/>
        </w:rPr>
        <w:t>Vízmintázás a 16/2016 (V.12.) BM, valamint a 201/2001.(X.25.) Korm. rendelet alapján átdolgozott és a Megyei Kormányhivatal Népegészségügyi Szakigazgatási Szerve által elfogadott ütemterv alapján.</w:t>
      </w:r>
    </w:p>
    <w:p w:rsidR="00B11A53" w:rsidRPr="00E74C0E" w:rsidRDefault="00B11A53" w:rsidP="00E736F6">
      <w:pPr>
        <w:pStyle w:val="Listaszerbekezds"/>
        <w:numPr>
          <w:ilvl w:val="0"/>
          <w:numId w:val="41"/>
        </w:numPr>
        <w:tabs>
          <w:tab w:val="num" w:pos="-889"/>
        </w:tabs>
        <w:ind w:left="284" w:right="459" w:hanging="142"/>
        <w:contextualSpacing w:val="0"/>
        <w:rPr>
          <w:szCs w:val="24"/>
        </w:rPr>
      </w:pPr>
      <w:r w:rsidRPr="00E74C0E">
        <w:rPr>
          <w:szCs w:val="24"/>
        </w:rPr>
        <w:t>Az ivóvíz tározók mosatási ütemtervének megfelelően a mosatás ellenőrzése mintázással, azonnali visszajelzés.</w:t>
      </w:r>
    </w:p>
    <w:p w:rsidR="00B11A53" w:rsidRPr="00E74C0E" w:rsidRDefault="00B11A53" w:rsidP="00E736F6">
      <w:pPr>
        <w:pStyle w:val="Listaszerbekezds"/>
        <w:numPr>
          <w:ilvl w:val="0"/>
          <w:numId w:val="41"/>
        </w:numPr>
        <w:tabs>
          <w:tab w:val="num" w:pos="-529"/>
        </w:tabs>
        <w:ind w:left="284" w:right="459" w:hanging="142"/>
        <w:contextualSpacing w:val="0"/>
        <w:rPr>
          <w:szCs w:val="24"/>
        </w:rPr>
      </w:pPr>
      <w:r w:rsidRPr="00E74C0E">
        <w:rPr>
          <w:szCs w:val="24"/>
        </w:rPr>
        <w:t>Szűrőkavics, aktívszén-szűrő cserék, technológiai módosítások, hálózat mosatások rendkívüli kémiai, bakteriológiai és mikroszkópos biológiai ellenőrzése.</w:t>
      </w:r>
    </w:p>
    <w:p w:rsidR="00B11A53" w:rsidRPr="00E74C0E" w:rsidRDefault="00B11A53" w:rsidP="00E736F6">
      <w:pPr>
        <w:pStyle w:val="Listaszerbekezds"/>
        <w:numPr>
          <w:ilvl w:val="0"/>
          <w:numId w:val="41"/>
        </w:numPr>
        <w:tabs>
          <w:tab w:val="num" w:pos="-529"/>
        </w:tabs>
        <w:ind w:left="284" w:right="459" w:hanging="142"/>
        <w:contextualSpacing w:val="0"/>
        <w:rPr>
          <w:szCs w:val="24"/>
        </w:rPr>
      </w:pPr>
      <w:r w:rsidRPr="00E74C0E">
        <w:rPr>
          <w:szCs w:val="24"/>
        </w:rPr>
        <w:t>Lakossági panaszok haladéktalan kivizsgálása.</w:t>
      </w:r>
    </w:p>
    <w:p w:rsidR="00B11A53" w:rsidRPr="00E74C0E" w:rsidRDefault="00B11A53" w:rsidP="00E736F6">
      <w:pPr>
        <w:pStyle w:val="Listaszerbekezds"/>
        <w:numPr>
          <w:ilvl w:val="0"/>
          <w:numId w:val="41"/>
        </w:numPr>
        <w:tabs>
          <w:tab w:val="num" w:pos="-529"/>
        </w:tabs>
        <w:ind w:left="284" w:right="459" w:hanging="142"/>
        <w:contextualSpacing w:val="0"/>
        <w:rPr>
          <w:szCs w:val="24"/>
        </w:rPr>
      </w:pPr>
      <w:r w:rsidRPr="00E74C0E">
        <w:rPr>
          <w:szCs w:val="24"/>
        </w:rPr>
        <w:t>A Vas Megyei Kormányhivatal Népegészségügyi Szakigazgatási Szerve hatósági ellenőrzései eredményeinek kezelése.</w:t>
      </w:r>
    </w:p>
    <w:p w:rsidR="00702CF8" w:rsidRDefault="00B11A53" w:rsidP="00E736F6">
      <w:pPr>
        <w:pStyle w:val="Listaszerbekezds"/>
        <w:numPr>
          <w:ilvl w:val="0"/>
          <w:numId w:val="41"/>
        </w:numPr>
        <w:tabs>
          <w:tab w:val="num" w:pos="-529"/>
        </w:tabs>
        <w:ind w:left="284" w:right="459" w:hanging="142"/>
        <w:contextualSpacing w:val="0"/>
        <w:rPr>
          <w:szCs w:val="24"/>
        </w:rPr>
      </w:pPr>
      <w:r w:rsidRPr="00E74C0E">
        <w:rPr>
          <w:szCs w:val="24"/>
        </w:rPr>
        <w:t>Havi rendszerességgel folyamatosan végezzük az éves ütemtervnek megfelelően a kutak és a hálózati ivóvizek saját részletes, valamint külső laboratórium által a radiológiai- és peszticid vizsgálatait.</w:t>
      </w:r>
    </w:p>
    <w:p w:rsidR="00702CF8" w:rsidRDefault="00702CF8">
      <w:pPr>
        <w:jc w:val="left"/>
        <w:rPr>
          <w:szCs w:val="24"/>
        </w:rPr>
      </w:pPr>
      <w:r>
        <w:rPr>
          <w:szCs w:val="24"/>
        </w:rPr>
        <w:br w:type="page"/>
      </w:r>
    </w:p>
    <w:p w:rsidR="00E736F6" w:rsidRPr="00E736F6" w:rsidRDefault="00E736F6" w:rsidP="00E736F6">
      <w:pPr>
        <w:tabs>
          <w:tab w:val="num" w:pos="-529"/>
        </w:tabs>
        <w:ind w:left="142" w:right="459"/>
        <w:rPr>
          <w:szCs w:val="24"/>
        </w:rPr>
      </w:pPr>
    </w:p>
    <w:p w:rsidR="00B11A53" w:rsidRPr="00E74C0E" w:rsidRDefault="00B11A53" w:rsidP="00702CF8">
      <w:pPr>
        <w:pStyle w:val="Listaszerbekezds"/>
        <w:numPr>
          <w:ilvl w:val="0"/>
          <w:numId w:val="41"/>
        </w:numPr>
        <w:tabs>
          <w:tab w:val="num" w:pos="-529"/>
        </w:tabs>
        <w:ind w:left="284" w:right="317" w:hanging="142"/>
        <w:contextualSpacing w:val="0"/>
        <w:rPr>
          <w:szCs w:val="24"/>
        </w:rPr>
      </w:pPr>
      <w:r w:rsidRPr="00E74C0E">
        <w:rPr>
          <w:szCs w:val="24"/>
        </w:rPr>
        <w:t>Kutak gázvizsgálatait az éves ütemterv szerint végezzük.</w:t>
      </w:r>
    </w:p>
    <w:p w:rsidR="00B11A53" w:rsidRPr="00E74C0E" w:rsidRDefault="00B11A53" w:rsidP="00702CF8">
      <w:pPr>
        <w:pStyle w:val="1"/>
        <w:numPr>
          <w:ilvl w:val="0"/>
          <w:numId w:val="44"/>
        </w:numPr>
        <w:ind w:left="284" w:right="317" w:hanging="142"/>
        <w:jc w:val="both"/>
        <w:rPr>
          <w:sz w:val="24"/>
          <w:szCs w:val="24"/>
        </w:rPr>
      </w:pPr>
      <w:r w:rsidRPr="00E74C0E">
        <w:rPr>
          <w:sz w:val="24"/>
          <w:szCs w:val="24"/>
        </w:rPr>
        <w:t xml:space="preserve">Répcelak vízellátó rendszeren a </w:t>
      </w:r>
      <w:r w:rsidR="00E662EA" w:rsidRPr="00E74C0E">
        <w:rPr>
          <w:sz w:val="24"/>
          <w:szCs w:val="24"/>
        </w:rPr>
        <w:t>vízminőség javító program</w:t>
      </w:r>
      <w:r w:rsidRPr="00E74C0E">
        <w:rPr>
          <w:sz w:val="24"/>
          <w:szCs w:val="24"/>
        </w:rPr>
        <w:t xml:space="preserve"> keretében ammónia</w:t>
      </w:r>
      <w:r w:rsidR="00E662EA" w:rsidRPr="00E74C0E">
        <w:rPr>
          <w:sz w:val="24"/>
          <w:szCs w:val="24"/>
        </w:rPr>
        <w:t>-</w:t>
      </w:r>
      <w:r w:rsidRPr="00E74C0E">
        <w:rPr>
          <w:sz w:val="24"/>
          <w:szCs w:val="24"/>
        </w:rPr>
        <w:t>, valamint vas- és mangánmentesítő technológi</w:t>
      </w:r>
      <w:r w:rsidR="00E662EA" w:rsidRPr="00E74C0E">
        <w:rPr>
          <w:sz w:val="24"/>
          <w:szCs w:val="24"/>
        </w:rPr>
        <w:t>át alakítottak ki.</w:t>
      </w:r>
      <w:r w:rsidRPr="00E74C0E">
        <w:rPr>
          <w:sz w:val="24"/>
          <w:szCs w:val="24"/>
        </w:rPr>
        <w:t xml:space="preserve"> A próbaüzem alatt a Laboratórium a vízminták vizsgálatát folyamatosan végezte. A hálózatra csatlakozás 2022. </w:t>
      </w:r>
      <w:r w:rsidR="00E662EA" w:rsidRPr="00E74C0E">
        <w:rPr>
          <w:sz w:val="24"/>
          <w:szCs w:val="24"/>
        </w:rPr>
        <w:t xml:space="preserve">április </w:t>
      </w:r>
      <w:r w:rsidRPr="00E74C0E">
        <w:rPr>
          <w:sz w:val="24"/>
          <w:szCs w:val="24"/>
        </w:rPr>
        <w:t>19.-én megtörtént.</w:t>
      </w:r>
    </w:p>
    <w:p w:rsidR="00B11A53" w:rsidRPr="00E74C0E" w:rsidRDefault="00B11A53" w:rsidP="00702CF8">
      <w:pPr>
        <w:pStyle w:val="Listaszerbekezds"/>
        <w:numPr>
          <w:ilvl w:val="0"/>
          <w:numId w:val="41"/>
        </w:numPr>
        <w:tabs>
          <w:tab w:val="num" w:pos="-529"/>
        </w:tabs>
        <w:ind w:left="284" w:right="317" w:hanging="142"/>
        <w:contextualSpacing w:val="0"/>
        <w:rPr>
          <w:szCs w:val="24"/>
        </w:rPr>
      </w:pPr>
      <w:r w:rsidRPr="00E74C0E">
        <w:rPr>
          <w:szCs w:val="24"/>
        </w:rPr>
        <w:t>Az üzemeltetők képviselői, a Laboratórium és a Technológia részvételével tartott heti HUMVI megbeszélések a vizsgálati eredmények értékelésével és döntéshozatallal növeli a hatékonyságot.</w:t>
      </w:r>
    </w:p>
    <w:p w:rsidR="00A75ACD" w:rsidRPr="00DB2665" w:rsidRDefault="00A75ACD" w:rsidP="006E32E4">
      <w:pPr>
        <w:rPr>
          <w:szCs w:val="24"/>
        </w:rPr>
      </w:pPr>
    </w:p>
    <w:p w:rsidR="00D51AA4" w:rsidRDefault="00D51AA4">
      <w:pPr>
        <w:pStyle w:val="Cmsor2"/>
        <w:rPr>
          <w:i w:val="0"/>
          <w:iCs w:val="0"/>
          <w:sz w:val="24"/>
          <w:szCs w:val="24"/>
        </w:rPr>
      </w:pPr>
      <w:bookmarkStart w:id="36" w:name="_Toc132629481"/>
      <w:r w:rsidRPr="00DB2665">
        <w:rPr>
          <w:i w:val="0"/>
          <w:iCs w:val="0"/>
          <w:sz w:val="24"/>
          <w:szCs w:val="24"/>
        </w:rPr>
        <w:t>Ivóvíz</w:t>
      </w:r>
      <w:r w:rsidR="00002A28">
        <w:rPr>
          <w:i w:val="0"/>
          <w:iCs w:val="0"/>
          <w:sz w:val="24"/>
          <w:szCs w:val="24"/>
        </w:rPr>
        <w:t xml:space="preserve"> </w:t>
      </w:r>
      <w:r w:rsidRPr="00DB2665">
        <w:rPr>
          <w:i w:val="0"/>
          <w:iCs w:val="0"/>
          <w:sz w:val="24"/>
          <w:szCs w:val="24"/>
        </w:rPr>
        <w:t>ellátás technológiai vonatkozásai</w:t>
      </w:r>
      <w:bookmarkEnd w:id="36"/>
    </w:p>
    <w:p w:rsidR="00B61693" w:rsidRPr="00DB2665" w:rsidRDefault="00B61693" w:rsidP="00702CF8">
      <w:pPr>
        <w:pStyle w:val="Listaszerbekezds"/>
        <w:numPr>
          <w:ilvl w:val="0"/>
          <w:numId w:val="42"/>
        </w:numPr>
        <w:tabs>
          <w:tab w:val="clear" w:pos="502"/>
          <w:tab w:val="num" w:pos="284"/>
        </w:tabs>
        <w:ind w:left="284" w:right="317" w:hanging="142"/>
        <w:contextualSpacing w:val="0"/>
        <w:rPr>
          <w:szCs w:val="24"/>
        </w:rPr>
      </w:pPr>
      <w:r w:rsidRPr="00DB2665">
        <w:rPr>
          <w:szCs w:val="24"/>
        </w:rPr>
        <w:t xml:space="preserve">2022. évben a 44 db üzemelő vízkezelő berendezés közül 13 db vízműnél volt kémiai, bakteriológiai és mikrobiológiai szempontból is megfelelő a gépházat elhagyó vízminőség. A kémiai minták eredménye alapján a gépházat elhagyó víz legtöbb esetben a mangán komponens tekintetében volt kifogásolt. Bakteriológiailag kifogásolt minta 22 vízműnél, mikrobiológiai kifogásoltság </w:t>
      </w:r>
      <w:r w:rsidR="008F7428" w:rsidRPr="00DB2665">
        <w:rPr>
          <w:szCs w:val="24"/>
        </w:rPr>
        <w:t>4 mintavételi helynél fordult elő</w:t>
      </w:r>
      <w:r w:rsidRPr="00DB2665">
        <w:rPr>
          <w:szCs w:val="24"/>
        </w:rPr>
        <w:t>.</w:t>
      </w:r>
    </w:p>
    <w:p w:rsidR="008F7428" w:rsidRPr="00DB2665" w:rsidRDefault="008F7428" w:rsidP="00702CF8">
      <w:pPr>
        <w:pStyle w:val="Listaszerbekezds"/>
        <w:numPr>
          <w:ilvl w:val="0"/>
          <w:numId w:val="42"/>
        </w:numPr>
        <w:tabs>
          <w:tab w:val="clear" w:pos="502"/>
          <w:tab w:val="num" w:pos="284"/>
        </w:tabs>
        <w:ind w:left="284" w:right="317" w:hanging="142"/>
        <w:contextualSpacing w:val="0"/>
        <w:rPr>
          <w:szCs w:val="24"/>
        </w:rPr>
      </w:pPr>
      <w:r w:rsidRPr="00DB2665">
        <w:rPr>
          <w:szCs w:val="24"/>
        </w:rPr>
        <w:t>A hálózaton vett 636 db kémiai mintából 48 db minta volt kifogásolt (7,5%). A kifogásoltságokat a mangán és a vas hálózaton történő kiülepedése okozta. A hálózati mangán kiülepedés mosatással megszüntetésre került. A 1013 bakteriológiai mintából 106 minta volt kifogásolt, ami a minták</w:t>
      </w:r>
      <w:r w:rsidR="00702CF8">
        <w:rPr>
          <w:szCs w:val="24"/>
        </w:rPr>
        <w:t xml:space="preserve"> </w:t>
      </w:r>
      <w:r w:rsidRPr="00DB2665">
        <w:rPr>
          <w:szCs w:val="24"/>
        </w:rPr>
        <w:t>10%-a. A kifogásolt minták során az érintett hálózatszakasz, mintavételi hely fertőtlenítése, mosatása megtörtént, az ismételt vizsgálat megfelelő volt. A több rossz eredmény oka, hogy a mintavételi hely, szakasz fertőtlenítése hosszabb időt vett igénybe a fertőtlenítőszer nem megfelelő hatóanyag tartalma miatt. A hálózaton a 261 db mikroszkópos vizsgálatból nem volt kifogásolt minta.</w:t>
      </w:r>
    </w:p>
    <w:p w:rsidR="00B61693" w:rsidRPr="00DB2665" w:rsidRDefault="00B61693" w:rsidP="00702CF8">
      <w:pPr>
        <w:pStyle w:val="Listaszerbekezds"/>
        <w:numPr>
          <w:ilvl w:val="0"/>
          <w:numId w:val="42"/>
        </w:numPr>
        <w:tabs>
          <w:tab w:val="clear" w:pos="502"/>
        </w:tabs>
        <w:ind w:left="284" w:right="317" w:hanging="142"/>
        <w:contextualSpacing w:val="0"/>
        <w:rPr>
          <w:szCs w:val="24"/>
        </w:rPr>
      </w:pPr>
      <w:r w:rsidRPr="00DB2665">
        <w:rPr>
          <w:szCs w:val="24"/>
        </w:rPr>
        <w:t>A III. negyedévben problémát okozott a 20 l-es kiszerelésben lévő 90 g/l Nátrium-hipoklorit oldat hatóanyag tartalma, amely a vegyszeradagolásnál, valamint a hálózat fertőtlenítésnél elengedhetetlen feltétel. A Vépi úti telephelyen lévő klórtároló ellenőrzésénél kiderült, hogy az árnyékolást kellett megoldani. A további problémák elkerülése érdekében minden szállítmányból mintavétel és hatóanyag tartalom meghatározás történik.</w:t>
      </w:r>
    </w:p>
    <w:p w:rsidR="00B61693" w:rsidRPr="00DB2665" w:rsidRDefault="00B61693" w:rsidP="00702CF8">
      <w:pPr>
        <w:pStyle w:val="Listaszerbekezds"/>
        <w:numPr>
          <w:ilvl w:val="0"/>
          <w:numId w:val="42"/>
        </w:numPr>
        <w:tabs>
          <w:tab w:val="clear" w:pos="502"/>
        </w:tabs>
        <w:ind w:left="284" w:right="317" w:hanging="142"/>
        <w:contextualSpacing w:val="0"/>
        <w:rPr>
          <w:szCs w:val="24"/>
        </w:rPr>
      </w:pPr>
      <w:r w:rsidRPr="00DB2665">
        <w:rPr>
          <w:szCs w:val="24"/>
        </w:rPr>
        <w:t>Elkészítettük és benyújtottuk az üzemeltetésünkben lévő vízellátó rendszerek 2022. évi vízmintavételi ütemtervét. Az ütemtervekkel együtt nyújtottuk be a felmentési kérelmeket és az új mintavételi helyeket, illetve HUMVI kód igényünket.</w:t>
      </w:r>
    </w:p>
    <w:p w:rsidR="00B61693" w:rsidRPr="00DB2665" w:rsidRDefault="00B61693" w:rsidP="00702CF8">
      <w:pPr>
        <w:pStyle w:val="Listaszerbekezds"/>
        <w:numPr>
          <w:ilvl w:val="0"/>
          <w:numId w:val="42"/>
        </w:numPr>
        <w:tabs>
          <w:tab w:val="clear" w:pos="502"/>
        </w:tabs>
        <w:ind w:left="284" w:right="317" w:hanging="142"/>
        <w:contextualSpacing w:val="0"/>
        <w:rPr>
          <w:szCs w:val="24"/>
        </w:rPr>
      </w:pPr>
      <w:r w:rsidRPr="00DB2665">
        <w:rPr>
          <w:szCs w:val="24"/>
        </w:rPr>
        <w:t xml:space="preserve">Megtörtént Gersekarát, Jákfa, Szarvaskend, Szentgotthárd-Farkasfa, Sárvár-Lánkapuszta és Szombathely vízellátó rendszer vízbiztonsági tervek 5 éves felülvizsgálata. Elvégeztük a </w:t>
      </w:r>
      <w:r w:rsidRPr="00DB2665">
        <w:rPr>
          <w:szCs w:val="24"/>
        </w:rPr>
        <w:lastRenderedPageBreak/>
        <w:t>dokumentációk átvizsgálását, kiegészítését, az utasítások aktualizálását és az illetékes népegészségügyi hatósághoz benyújtottuk jóváhagyásra. Elkészítettük Répcelak vízellátó rendszer vízbiztonsági terv</w:t>
      </w:r>
      <w:r w:rsidR="00C67685" w:rsidRPr="00DB2665">
        <w:rPr>
          <w:szCs w:val="24"/>
        </w:rPr>
        <w:t>ének</w:t>
      </w:r>
      <w:r w:rsidR="000A32DC" w:rsidRPr="00DB2665">
        <w:rPr>
          <w:szCs w:val="24"/>
        </w:rPr>
        <w:t xml:space="preserve"> </w:t>
      </w:r>
      <w:r w:rsidRPr="00DB2665">
        <w:rPr>
          <w:szCs w:val="24"/>
        </w:rPr>
        <w:t xml:space="preserve">éves felülvizsgálatát, amit az új ammóniamentesítő technológiával kiegészítettünk. </w:t>
      </w:r>
    </w:p>
    <w:p w:rsidR="002B7280" w:rsidRDefault="002B7280" w:rsidP="00E71C7A">
      <w:pPr>
        <w:jc w:val="left"/>
        <w:rPr>
          <w:szCs w:val="24"/>
        </w:rPr>
      </w:pPr>
      <w:bookmarkStart w:id="37" w:name="_Toc457562480"/>
    </w:p>
    <w:p w:rsidR="00E736F6" w:rsidRDefault="00E736F6" w:rsidP="00E71C7A">
      <w:pPr>
        <w:jc w:val="left"/>
        <w:rPr>
          <w:szCs w:val="24"/>
        </w:rPr>
      </w:pPr>
    </w:p>
    <w:p w:rsidR="00E53583" w:rsidRPr="00DB2665" w:rsidRDefault="00E53583" w:rsidP="00E53583">
      <w:pPr>
        <w:pStyle w:val="Cmsor2"/>
        <w:rPr>
          <w:i w:val="0"/>
          <w:iCs w:val="0"/>
          <w:sz w:val="24"/>
          <w:szCs w:val="24"/>
        </w:rPr>
      </w:pPr>
      <w:bookmarkStart w:id="38" w:name="_Toc132629482"/>
      <w:r w:rsidRPr="00DB2665">
        <w:rPr>
          <w:i w:val="0"/>
          <w:iCs w:val="0"/>
          <w:sz w:val="24"/>
          <w:szCs w:val="24"/>
        </w:rPr>
        <w:t>KEHOP ivóvízminőség-</w:t>
      </w:r>
      <w:r w:rsidR="000278EC" w:rsidRPr="00DB2665">
        <w:rPr>
          <w:i w:val="0"/>
          <w:iCs w:val="0"/>
          <w:sz w:val="24"/>
          <w:szCs w:val="24"/>
        </w:rPr>
        <w:t>javító, szennyvízelvezetési és szennyvíz</w:t>
      </w:r>
      <w:r w:rsidRPr="00DB2665">
        <w:rPr>
          <w:i w:val="0"/>
          <w:iCs w:val="0"/>
          <w:sz w:val="24"/>
          <w:szCs w:val="24"/>
        </w:rPr>
        <w:t>tisztítási pályázatok</w:t>
      </w:r>
      <w:bookmarkEnd w:id="37"/>
      <w:bookmarkEnd w:id="38"/>
    </w:p>
    <w:p w:rsidR="00CA36D0" w:rsidRPr="00E736F6" w:rsidRDefault="00CA36D0" w:rsidP="00000D6E">
      <w:pPr>
        <w:pStyle w:val="Szvegtrzs"/>
        <w:rPr>
          <w:i/>
          <w:sz w:val="8"/>
          <w:szCs w:val="8"/>
        </w:rPr>
      </w:pPr>
      <w:bookmarkStart w:id="39" w:name="_Toc112068759"/>
      <w:bookmarkStart w:id="40" w:name="_Toc331589991"/>
    </w:p>
    <w:p w:rsidR="00702CF8" w:rsidRDefault="00000D6E" w:rsidP="00E736F6">
      <w:pPr>
        <w:pStyle w:val="Szvegtrzs"/>
        <w:ind w:right="176"/>
        <w:rPr>
          <w:sz w:val="24"/>
          <w:szCs w:val="24"/>
        </w:rPr>
      </w:pPr>
      <w:r w:rsidRPr="00050155">
        <w:rPr>
          <w:i/>
          <w:sz w:val="24"/>
          <w:szCs w:val="24"/>
        </w:rPr>
        <w:t>A KEHOP</w:t>
      </w:r>
      <w:r w:rsidRPr="00050155">
        <w:rPr>
          <w:sz w:val="24"/>
          <w:szCs w:val="24"/>
        </w:rPr>
        <w:t xml:space="preserve"> </w:t>
      </w:r>
      <w:r w:rsidRPr="00050155">
        <w:rPr>
          <w:i/>
          <w:sz w:val="24"/>
          <w:szCs w:val="24"/>
        </w:rPr>
        <w:t>pályázatok</w:t>
      </w:r>
      <w:r w:rsidRPr="00050155">
        <w:rPr>
          <w:sz w:val="24"/>
          <w:szCs w:val="24"/>
        </w:rPr>
        <w:t xml:space="preserve">at a 339/2014. (XII. 19.) Korm. rendelet szerint a Nemzeti Fejlesztési Programiroda Nonprofit Kft. (NFP) mint konzorcium vezető koordinálta. A szervezet 2022. évi megszűnését követően a feladatok átkerültek az Építési és Közlekedési Minisztérium Víziközmű Hulladékgazdálkodási és Energetikai Beruházásokért Felelős Helyettes Államtitkárságához. Az NFP az önkormányzatokkal megkötött konzorciumi szerződések alapján végezte a projektek menedzselését, műszaki ellenőrzését, lefolytatta a megvalósításokhoz szükséges közbeszerzési eljárásokat. Társaságunk üzemeltetői és műszaki szempontokat figyelembe véve adatszolgáltatásokat, szakmai segítséget nyújt a pályázó önkormányzatoknak, valamint a minisztériumnak, kivitelezőknek, nyomon követeti a kivitelezési munkákat. </w:t>
      </w:r>
    </w:p>
    <w:p w:rsidR="00702CF8" w:rsidRDefault="00702CF8">
      <w:pPr>
        <w:jc w:val="left"/>
        <w:rPr>
          <w:szCs w:val="24"/>
        </w:rPr>
      </w:pPr>
      <w:r>
        <w:rPr>
          <w:szCs w:val="24"/>
        </w:rPr>
        <w:br w:type="page"/>
      </w:r>
    </w:p>
    <w:p w:rsidR="00A86A97" w:rsidRPr="00702CF8" w:rsidRDefault="00A86A97" w:rsidP="000D680D">
      <w:pPr>
        <w:pStyle w:val="Szvegtrzs"/>
        <w:ind w:right="176"/>
        <w:rPr>
          <w:i/>
          <w:iCs/>
          <w:sz w:val="16"/>
          <w:szCs w:val="16"/>
        </w:rPr>
      </w:pPr>
    </w:p>
    <w:p w:rsidR="00702CF8" w:rsidRPr="00702CF8" w:rsidRDefault="00702CF8" w:rsidP="000D680D">
      <w:pPr>
        <w:pStyle w:val="Szvegtrzs"/>
        <w:ind w:right="176"/>
        <w:rPr>
          <w:i/>
          <w:iCs/>
          <w:sz w:val="16"/>
          <w:szCs w:val="16"/>
        </w:rPr>
      </w:pPr>
    </w:p>
    <w:p w:rsidR="000D680D" w:rsidRPr="00AF4206" w:rsidRDefault="000D680D" w:rsidP="00AF4206">
      <w:pPr>
        <w:pStyle w:val="Szvegtrzs3"/>
        <w:tabs>
          <w:tab w:val="clear" w:pos="567"/>
          <w:tab w:val="clear" w:pos="7938"/>
        </w:tabs>
        <w:ind w:right="200"/>
        <w:rPr>
          <w:b/>
          <w:i/>
          <w:iCs/>
          <w:szCs w:val="24"/>
        </w:rPr>
      </w:pPr>
      <w:r w:rsidRPr="00AF4206">
        <w:rPr>
          <w:b/>
          <w:i/>
          <w:iCs/>
          <w:szCs w:val="24"/>
        </w:rPr>
        <w:t>Ivóvízminőség-javító program</w:t>
      </w:r>
    </w:p>
    <w:p w:rsidR="000D680D" w:rsidRPr="00DB2665" w:rsidRDefault="000D680D" w:rsidP="000D680D">
      <w:pPr>
        <w:pStyle w:val="Szvegtrzs"/>
        <w:ind w:right="-81"/>
        <w:rPr>
          <w:i/>
          <w:iCs/>
          <w:strike/>
          <w:sz w:val="8"/>
          <w:szCs w:val="8"/>
        </w:rPr>
      </w:pPr>
    </w:p>
    <w:p w:rsidR="000D680D" w:rsidRPr="004F372F" w:rsidRDefault="000D680D" w:rsidP="000D680D">
      <w:pPr>
        <w:pStyle w:val="Szvegtrzs"/>
        <w:ind w:right="-81"/>
        <w:rPr>
          <w:i/>
          <w:iCs/>
          <w:sz w:val="24"/>
          <w:szCs w:val="24"/>
        </w:rPr>
      </w:pPr>
      <w:r w:rsidRPr="004F372F">
        <w:rPr>
          <w:i/>
          <w:iCs/>
          <w:sz w:val="24"/>
          <w:szCs w:val="24"/>
        </w:rPr>
        <w:t>Befejezett pályázatok (jelenleg garanciális időszakban)</w:t>
      </w:r>
    </w:p>
    <w:p w:rsidR="000D680D" w:rsidRPr="00DB2665" w:rsidRDefault="000D680D" w:rsidP="000D680D">
      <w:pPr>
        <w:pStyle w:val="llb"/>
        <w:tabs>
          <w:tab w:val="clear" w:pos="4536"/>
          <w:tab w:val="left" w:pos="3400"/>
          <w:tab w:val="center" w:pos="4253"/>
          <w:tab w:val="left" w:pos="6804"/>
          <w:tab w:val="center" w:pos="7230"/>
        </w:tabs>
        <w:ind w:right="-81"/>
        <w:rPr>
          <w:i/>
          <w:iCs/>
          <w:sz w:val="8"/>
          <w:szCs w:val="8"/>
        </w:rPr>
      </w:pPr>
    </w:p>
    <w:p w:rsidR="000D680D" w:rsidRPr="00DB2665" w:rsidRDefault="000D680D" w:rsidP="000D680D">
      <w:pPr>
        <w:pStyle w:val="Szvegtrzs"/>
        <w:tabs>
          <w:tab w:val="center" w:pos="4253"/>
          <w:tab w:val="center" w:pos="7088"/>
        </w:tabs>
        <w:ind w:right="-81"/>
        <w:rPr>
          <w:i/>
          <w:iCs/>
          <w:szCs w:val="22"/>
          <w:u w:val="single"/>
        </w:rPr>
      </w:pPr>
      <w:r w:rsidRPr="00DB2665">
        <w:rPr>
          <w:i/>
          <w:iCs/>
          <w:szCs w:val="22"/>
          <w:u w:val="single"/>
        </w:rPr>
        <w:t>Vízbázis</w:t>
      </w:r>
      <w:r w:rsidRPr="00DB2665">
        <w:rPr>
          <w:i/>
          <w:iCs/>
          <w:szCs w:val="22"/>
          <w:u w:val="single"/>
        </w:rPr>
        <w:tab/>
        <w:t>Kivitelezés megkezdése</w:t>
      </w:r>
      <w:r w:rsidRPr="00DB2665">
        <w:rPr>
          <w:i/>
          <w:iCs/>
          <w:szCs w:val="22"/>
          <w:u w:val="single"/>
        </w:rPr>
        <w:tab/>
        <w:t xml:space="preserve"> Műszaki átadás-átvétel</w:t>
      </w:r>
    </w:p>
    <w:p w:rsidR="000D680D" w:rsidRPr="00DB2665" w:rsidRDefault="000D680D" w:rsidP="000D680D">
      <w:pPr>
        <w:pStyle w:val="llb"/>
        <w:tabs>
          <w:tab w:val="clear" w:pos="4536"/>
          <w:tab w:val="clear" w:pos="9072"/>
          <w:tab w:val="center" w:pos="4253"/>
          <w:tab w:val="center" w:pos="7088"/>
        </w:tabs>
        <w:ind w:right="-81"/>
        <w:rPr>
          <w:sz w:val="22"/>
          <w:szCs w:val="22"/>
        </w:rPr>
      </w:pPr>
      <w:r w:rsidRPr="00DB2665">
        <w:rPr>
          <w:sz w:val="22"/>
          <w:szCs w:val="22"/>
        </w:rPr>
        <w:t>Vönöck</w:t>
      </w:r>
      <w:r w:rsidRPr="00DB2665">
        <w:rPr>
          <w:sz w:val="22"/>
          <w:szCs w:val="22"/>
        </w:rPr>
        <w:tab/>
        <w:t>2020. év</w:t>
      </w:r>
      <w:r w:rsidRPr="00DB2665">
        <w:rPr>
          <w:sz w:val="22"/>
          <w:szCs w:val="22"/>
        </w:rPr>
        <w:tab/>
        <w:t>2021. április 14.</w:t>
      </w:r>
    </w:p>
    <w:p w:rsidR="000D680D" w:rsidRPr="00DB2665" w:rsidRDefault="000D680D" w:rsidP="000D680D">
      <w:pPr>
        <w:pStyle w:val="llb"/>
        <w:tabs>
          <w:tab w:val="clear" w:pos="4536"/>
          <w:tab w:val="clear" w:pos="9072"/>
          <w:tab w:val="center" w:pos="4253"/>
          <w:tab w:val="center" w:pos="7088"/>
        </w:tabs>
        <w:ind w:right="-81"/>
        <w:rPr>
          <w:sz w:val="22"/>
          <w:szCs w:val="22"/>
        </w:rPr>
      </w:pPr>
      <w:r w:rsidRPr="00DB2665">
        <w:rPr>
          <w:sz w:val="22"/>
          <w:szCs w:val="22"/>
        </w:rPr>
        <w:t>Celldömölk</w:t>
      </w:r>
      <w:r w:rsidRPr="00DB2665">
        <w:rPr>
          <w:sz w:val="22"/>
          <w:szCs w:val="22"/>
        </w:rPr>
        <w:tab/>
        <w:t>2020. év</w:t>
      </w:r>
      <w:r w:rsidRPr="00DB2665">
        <w:rPr>
          <w:sz w:val="22"/>
          <w:szCs w:val="22"/>
        </w:rPr>
        <w:tab/>
        <w:t>2021. június 2.</w:t>
      </w:r>
    </w:p>
    <w:p w:rsidR="000D680D" w:rsidRPr="00DB2665" w:rsidRDefault="000D680D" w:rsidP="000D680D">
      <w:pPr>
        <w:pStyle w:val="llb"/>
        <w:tabs>
          <w:tab w:val="clear" w:pos="4536"/>
          <w:tab w:val="clear" w:pos="9072"/>
          <w:tab w:val="center" w:pos="4253"/>
          <w:tab w:val="center" w:pos="7088"/>
        </w:tabs>
        <w:ind w:right="-81"/>
        <w:rPr>
          <w:sz w:val="22"/>
          <w:szCs w:val="22"/>
        </w:rPr>
      </w:pPr>
      <w:r w:rsidRPr="00DB2665">
        <w:rPr>
          <w:sz w:val="22"/>
          <w:szCs w:val="22"/>
        </w:rPr>
        <w:t>Rábahídvég</w:t>
      </w:r>
      <w:r w:rsidRPr="00DB2665">
        <w:rPr>
          <w:sz w:val="22"/>
          <w:szCs w:val="22"/>
        </w:rPr>
        <w:tab/>
        <w:t>2019. év</w:t>
      </w:r>
      <w:r w:rsidRPr="00DB2665">
        <w:rPr>
          <w:sz w:val="22"/>
          <w:szCs w:val="22"/>
        </w:rPr>
        <w:tab/>
        <w:t>2021. június 24.</w:t>
      </w:r>
    </w:p>
    <w:p w:rsidR="000D680D" w:rsidRPr="00DB2665" w:rsidRDefault="000D680D" w:rsidP="000D680D">
      <w:pPr>
        <w:pStyle w:val="llb"/>
        <w:tabs>
          <w:tab w:val="clear" w:pos="4536"/>
          <w:tab w:val="clear" w:pos="9072"/>
          <w:tab w:val="center" w:pos="4253"/>
          <w:tab w:val="center" w:pos="7088"/>
        </w:tabs>
        <w:ind w:right="-81"/>
        <w:rPr>
          <w:sz w:val="22"/>
          <w:szCs w:val="22"/>
        </w:rPr>
      </w:pPr>
      <w:r w:rsidRPr="00DB2665">
        <w:rPr>
          <w:sz w:val="22"/>
          <w:szCs w:val="22"/>
        </w:rPr>
        <w:t>Répcelak</w:t>
      </w:r>
      <w:r w:rsidRPr="00DB2665">
        <w:rPr>
          <w:sz w:val="22"/>
          <w:szCs w:val="22"/>
        </w:rPr>
        <w:tab/>
        <w:t>2020. év</w:t>
      </w:r>
      <w:r w:rsidRPr="00DB2665">
        <w:rPr>
          <w:sz w:val="22"/>
          <w:szCs w:val="22"/>
        </w:rPr>
        <w:tab/>
        <w:t>2022. április 19.</w:t>
      </w:r>
    </w:p>
    <w:p w:rsidR="000D680D" w:rsidRPr="00DB2665" w:rsidRDefault="000D680D" w:rsidP="000D680D">
      <w:pPr>
        <w:pStyle w:val="llb"/>
        <w:tabs>
          <w:tab w:val="clear" w:pos="4536"/>
          <w:tab w:val="center" w:pos="4253"/>
          <w:tab w:val="center" w:pos="7088"/>
        </w:tabs>
        <w:ind w:right="-81"/>
        <w:rPr>
          <w:sz w:val="12"/>
          <w:szCs w:val="12"/>
        </w:rPr>
      </w:pPr>
    </w:p>
    <w:p w:rsidR="000D680D" w:rsidRPr="004F372F" w:rsidRDefault="000D680D" w:rsidP="000D680D">
      <w:pPr>
        <w:pStyle w:val="Szvegtrzs"/>
        <w:ind w:right="-81"/>
        <w:rPr>
          <w:sz w:val="24"/>
          <w:szCs w:val="24"/>
        </w:rPr>
      </w:pPr>
      <w:r w:rsidRPr="004F372F">
        <w:rPr>
          <w:sz w:val="24"/>
          <w:szCs w:val="24"/>
        </w:rPr>
        <w:t>Az ivóvízminőség-javító projektek kivitelezése lezárult, jelenleg a 36 hónapos garanciális időszakok zajlanak.</w:t>
      </w:r>
    </w:p>
    <w:p w:rsidR="00000D6E" w:rsidRPr="00702CF8" w:rsidRDefault="00000D6E" w:rsidP="00000D6E">
      <w:pPr>
        <w:pStyle w:val="Szvegtrzs"/>
        <w:ind w:right="-81"/>
        <w:rPr>
          <w:i/>
          <w:iCs/>
          <w:sz w:val="16"/>
          <w:szCs w:val="16"/>
        </w:rPr>
      </w:pPr>
    </w:p>
    <w:p w:rsidR="00702CF8" w:rsidRPr="00702CF8" w:rsidRDefault="00702CF8" w:rsidP="00000D6E">
      <w:pPr>
        <w:pStyle w:val="Szvegtrzs"/>
        <w:ind w:right="-81"/>
        <w:rPr>
          <w:i/>
          <w:iCs/>
          <w:sz w:val="16"/>
          <w:szCs w:val="16"/>
        </w:rPr>
      </w:pPr>
    </w:p>
    <w:p w:rsidR="00000D6E" w:rsidRPr="00AF4206" w:rsidRDefault="00000D6E" w:rsidP="00AF4206">
      <w:pPr>
        <w:pStyle w:val="Szvegtrzs3"/>
        <w:tabs>
          <w:tab w:val="clear" w:pos="567"/>
          <w:tab w:val="clear" w:pos="7938"/>
        </w:tabs>
        <w:ind w:right="200"/>
        <w:rPr>
          <w:b/>
          <w:i/>
          <w:iCs/>
          <w:szCs w:val="24"/>
        </w:rPr>
      </w:pPr>
      <w:r w:rsidRPr="00AF4206">
        <w:rPr>
          <w:b/>
          <w:i/>
          <w:iCs/>
          <w:szCs w:val="24"/>
        </w:rPr>
        <w:t>S</w:t>
      </w:r>
      <w:r w:rsidR="00E51A1B" w:rsidRPr="00AF4206">
        <w:rPr>
          <w:b/>
          <w:i/>
          <w:iCs/>
          <w:szCs w:val="24"/>
        </w:rPr>
        <w:t>z</w:t>
      </w:r>
      <w:r w:rsidRPr="00AF4206">
        <w:rPr>
          <w:b/>
          <w:i/>
          <w:iCs/>
          <w:szCs w:val="24"/>
        </w:rPr>
        <w:t>ennyvízelvezetési és –tisztítási pályázatok</w:t>
      </w:r>
      <w:bookmarkEnd w:id="39"/>
    </w:p>
    <w:p w:rsidR="00000D6E" w:rsidRPr="004F372F" w:rsidRDefault="00000D6E" w:rsidP="00000D6E">
      <w:pPr>
        <w:pStyle w:val="Szvegtrzs"/>
        <w:ind w:right="34"/>
        <w:rPr>
          <w:bCs/>
          <w:sz w:val="24"/>
          <w:szCs w:val="24"/>
        </w:rPr>
      </w:pPr>
      <w:r w:rsidRPr="004F372F">
        <w:rPr>
          <w:bCs/>
          <w:sz w:val="24"/>
          <w:szCs w:val="24"/>
        </w:rPr>
        <w:t xml:space="preserve">A 25/2002 (II.27.) Korm. rendeletben előírt derogációs kötelezettségek teljesítéséhez az éves fejlesztési keretben az 1084/2016. (II. 29.) Korm. határozattal nevesített önkormányzatok vehetnek részt a KEHOP szennyvízelvezetési és –tisztítási programban. Az egyes projektek összköltségének 5%-áig lehetőség volt a meglévő víziközmű rendszerek rekonstrukciójára is. </w:t>
      </w:r>
    </w:p>
    <w:p w:rsidR="00000D6E" w:rsidRPr="004F372F" w:rsidRDefault="00000D6E" w:rsidP="00000D6E">
      <w:pPr>
        <w:rPr>
          <w:i/>
          <w:iCs/>
          <w:szCs w:val="24"/>
        </w:rPr>
      </w:pPr>
    </w:p>
    <w:p w:rsidR="00000D6E" w:rsidRPr="004F372F" w:rsidRDefault="00000D6E" w:rsidP="00000D6E">
      <w:pPr>
        <w:pStyle w:val="Szvegtrzs"/>
        <w:ind w:right="-81"/>
        <w:rPr>
          <w:i/>
          <w:iCs/>
          <w:sz w:val="24"/>
          <w:szCs w:val="24"/>
        </w:rPr>
      </w:pPr>
      <w:r w:rsidRPr="004F372F">
        <w:rPr>
          <w:i/>
          <w:iCs/>
          <w:sz w:val="24"/>
          <w:szCs w:val="24"/>
        </w:rPr>
        <w:t>Jóváhagyott, kivitelezés előtt álló pályázatok</w:t>
      </w:r>
    </w:p>
    <w:p w:rsidR="00000D6E" w:rsidRPr="00DB2665" w:rsidRDefault="00000D6E" w:rsidP="00000D6E">
      <w:pPr>
        <w:pStyle w:val="llb"/>
        <w:tabs>
          <w:tab w:val="clear" w:pos="4536"/>
          <w:tab w:val="left" w:pos="3400"/>
          <w:tab w:val="center" w:pos="4253"/>
          <w:tab w:val="left" w:pos="6804"/>
          <w:tab w:val="center" w:pos="7230"/>
        </w:tabs>
        <w:ind w:right="-81"/>
        <w:rPr>
          <w:i/>
          <w:iCs/>
          <w:sz w:val="8"/>
          <w:szCs w:val="8"/>
        </w:rPr>
      </w:pPr>
    </w:p>
    <w:tbl>
      <w:tblPr>
        <w:tblW w:w="9815" w:type="dxa"/>
        <w:tblLook w:val="04A0" w:firstRow="1" w:lastRow="0" w:firstColumn="1" w:lastColumn="0" w:noHBand="0" w:noVBand="1"/>
      </w:tblPr>
      <w:tblGrid>
        <w:gridCol w:w="4395"/>
        <w:gridCol w:w="424"/>
        <w:gridCol w:w="2554"/>
        <w:gridCol w:w="424"/>
        <w:gridCol w:w="1594"/>
        <w:gridCol w:w="424"/>
      </w:tblGrid>
      <w:tr w:rsidR="00000D6E" w:rsidRPr="00DB2665" w:rsidTr="007958E9">
        <w:trPr>
          <w:gridAfter w:val="1"/>
          <w:wAfter w:w="424" w:type="dxa"/>
          <w:trHeight w:val="250"/>
        </w:trPr>
        <w:tc>
          <w:tcPr>
            <w:tcW w:w="4395" w:type="dxa"/>
            <w:tcBorders>
              <w:top w:val="nil"/>
              <w:left w:val="nil"/>
              <w:bottom w:val="single" w:sz="4" w:space="0" w:color="auto"/>
              <w:right w:val="nil"/>
            </w:tcBorders>
            <w:hideMark/>
          </w:tcPr>
          <w:p w:rsidR="00000D6E" w:rsidRPr="00DB2665" w:rsidRDefault="00000D6E" w:rsidP="007958E9">
            <w:pPr>
              <w:rPr>
                <w:rFonts w:eastAsia="Calibri"/>
                <w:i/>
                <w:sz w:val="22"/>
                <w:szCs w:val="22"/>
              </w:rPr>
            </w:pPr>
            <w:r w:rsidRPr="00DB2665">
              <w:rPr>
                <w:rFonts w:eastAsia="Calibri"/>
                <w:i/>
                <w:iCs/>
                <w:sz w:val="22"/>
                <w:szCs w:val="22"/>
              </w:rPr>
              <w:t>Agglomeráció</w:t>
            </w:r>
          </w:p>
        </w:tc>
        <w:tc>
          <w:tcPr>
            <w:tcW w:w="2978" w:type="dxa"/>
            <w:gridSpan w:val="2"/>
            <w:tcBorders>
              <w:top w:val="nil"/>
              <w:left w:val="nil"/>
              <w:bottom w:val="single" w:sz="4" w:space="0" w:color="auto"/>
              <w:right w:val="nil"/>
            </w:tcBorders>
            <w:hideMark/>
          </w:tcPr>
          <w:p w:rsidR="00000D6E" w:rsidRPr="00DB2665" w:rsidRDefault="00000D6E" w:rsidP="007958E9">
            <w:pPr>
              <w:jc w:val="center"/>
              <w:rPr>
                <w:rFonts w:eastAsia="Calibri"/>
                <w:i/>
                <w:iCs/>
                <w:sz w:val="22"/>
                <w:szCs w:val="22"/>
              </w:rPr>
            </w:pPr>
            <w:r w:rsidRPr="00DB2665">
              <w:rPr>
                <w:i/>
                <w:iCs/>
                <w:sz w:val="22"/>
                <w:szCs w:val="22"/>
              </w:rPr>
              <w:t>Kivitelezés várható megkezdése</w:t>
            </w:r>
          </w:p>
        </w:tc>
        <w:tc>
          <w:tcPr>
            <w:tcW w:w="2018" w:type="dxa"/>
            <w:gridSpan w:val="2"/>
            <w:tcBorders>
              <w:top w:val="nil"/>
              <w:left w:val="nil"/>
              <w:bottom w:val="single" w:sz="4" w:space="0" w:color="auto"/>
              <w:right w:val="nil"/>
            </w:tcBorders>
            <w:hideMark/>
          </w:tcPr>
          <w:p w:rsidR="00000D6E" w:rsidRPr="00DB2665" w:rsidRDefault="00000D6E" w:rsidP="007958E9">
            <w:pPr>
              <w:jc w:val="center"/>
              <w:rPr>
                <w:rFonts w:eastAsia="Calibri"/>
                <w:sz w:val="22"/>
                <w:szCs w:val="22"/>
              </w:rPr>
            </w:pPr>
            <w:r w:rsidRPr="00DB2665">
              <w:rPr>
                <w:i/>
                <w:iCs/>
                <w:sz w:val="22"/>
                <w:szCs w:val="22"/>
              </w:rPr>
              <w:t>Várható befejezése</w:t>
            </w:r>
          </w:p>
        </w:tc>
      </w:tr>
      <w:tr w:rsidR="00000D6E" w:rsidRPr="00DB2665" w:rsidTr="007958E9">
        <w:trPr>
          <w:gridAfter w:val="1"/>
          <w:wAfter w:w="424" w:type="dxa"/>
        </w:trPr>
        <w:tc>
          <w:tcPr>
            <w:tcW w:w="4819" w:type="dxa"/>
            <w:gridSpan w:val="2"/>
            <w:tcBorders>
              <w:top w:val="single" w:sz="4" w:space="0" w:color="auto"/>
              <w:left w:val="nil"/>
              <w:bottom w:val="nil"/>
              <w:right w:val="nil"/>
            </w:tcBorders>
            <w:hideMark/>
          </w:tcPr>
          <w:p w:rsidR="00000D6E" w:rsidRPr="00DB2665" w:rsidRDefault="00000D6E" w:rsidP="00000D6E">
            <w:pPr>
              <w:rPr>
                <w:rFonts w:eastAsia="Calibri"/>
                <w:sz w:val="22"/>
                <w:szCs w:val="22"/>
              </w:rPr>
            </w:pPr>
            <w:r w:rsidRPr="00DB2665">
              <w:rPr>
                <w:rFonts w:eastAsia="Calibri"/>
                <w:i/>
                <w:sz w:val="22"/>
                <w:szCs w:val="22"/>
              </w:rPr>
              <w:t>Pótmunkaként az Egyházashetye központú agglomeráció</w:t>
            </w:r>
            <w:r w:rsidRPr="00DB2665">
              <w:rPr>
                <w:rFonts w:eastAsia="Calibri"/>
                <w:sz w:val="22"/>
                <w:szCs w:val="22"/>
              </w:rPr>
              <w:t xml:space="preserve"> </w:t>
            </w:r>
            <w:r w:rsidRPr="00DB2665">
              <w:rPr>
                <w:rFonts w:eastAsia="Calibri"/>
                <w:i/>
                <w:sz w:val="22"/>
                <w:szCs w:val="22"/>
              </w:rPr>
              <w:t>bővítése</w:t>
            </w:r>
            <w:r w:rsidRPr="00DB2665">
              <w:rPr>
                <w:rFonts w:eastAsia="Calibri"/>
                <w:sz w:val="22"/>
                <w:szCs w:val="22"/>
              </w:rPr>
              <w:t xml:space="preserve"> pályázatban az Egyházashetyei szennyvíztisztító telepen SBR reaktor födém bontása és betonfelületek felújítása 83 48</w:t>
            </w:r>
            <w:r w:rsidR="000D680D" w:rsidRPr="00DB2665">
              <w:rPr>
                <w:rFonts w:eastAsia="Calibri"/>
                <w:sz w:val="22"/>
                <w:szCs w:val="22"/>
              </w:rPr>
              <w:t>3</w:t>
            </w:r>
            <w:r w:rsidRPr="00DB2665">
              <w:rPr>
                <w:rFonts w:eastAsia="Calibri"/>
                <w:sz w:val="22"/>
                <w:szCs w:val="22"/>
              </w:rPr>
              <w:t xml:space="preserve"> eFt értékben </w:t>
            </w:r>
          </w:p>
        </w:tc>
        <w:tc>
          <w:tcPr>
            <w:tcW w:w="2554" w:type="dxa"/>
            <w:tcBorders>
              <w:top w:val="single" w:sz="4" w:space="0" w:color="auto"/>
              <w:left w:val="nil"/>
              <w:bottom w:val="nil"/>
              <w:right w:val="nil"/>
            </w:tcBorders>
            <w:hideMark/>
          </w:tcPr>
          <w:p w:rsidR="00000D6E" w:rsidRPr="00DB2665" w:rsidRDefault="00000D6E" w:rsidP="007958E9">
            <w:pPr>
              <w:jc w:val="center"/>
              <w:rPr>
                <w:rFonts w:eastAsia="Calibri"/>
                <w:iCs/>
                <w:sz w:val="22"/>
                <w:szCs w:val="22"/>
              </w:rPr>
            </w:pPr>
            <w:r w:rsidRPr="00DB2665">
              <w:rPr>
                <w:rFonts w:eastAsia="Calibri"/>
                <w:iCs/>
                <w:sz w:val="22"/>
                <w:szCs w:val="22"/>
              </w:rPr>
              <w:t>2023. II. félév</w:t>
            </w:r>
          </w:p>
          <w:p w:rsidR="00000D6E" w:rsidRPr="00DB2665" w:rsidRDefault="00000D6E" w:rsidP="007958E9">
            <w:pPr>
              <w:jc w:val="center"/>
              <w:rPr>
                <w:rFonts w:eastAsia="Calibri"/>
                <w:iCs/>
                <w:sz w:val="22"/>
                <w:szCs w:val="22"/>
              </w:rPr>
            </w:pPr>
            <w:r w:rsidRPr="00DB2665">
              <w:rPr>
                <w:rFonts w:eastAsia="Calibri"/>
                <w:iCs/>
                <w:sz w:val="22"/>
                <w:szCs w:val="22"/>
              </w:rPr>
              <w:t>Szabadics Zrt</w:t>
            </w:r>
          </w:p>
        </w:tc>
        <w:tc>
          <w:tcPr>
            <w:tcW w:w="2018" w:type="dxa"/>
            <w:gridSpan w:val="2"/>
            <w:tcBorders>
              <w:top w:val="single" w:sz="4" w:space="0" w:color="auto"/>
              <w:left w:val="nil"/>
              <w:bottom w:val="nil"/>
              <w:right w:val="nil"/>
            </w:tcBorders>
            <w:hideMark/>
          </w:tcPr>
          <w:p w:rsidR="00000D6E" w:rsidRPr="00DB2665" w:rsidRDefault="00000D6E" w:rsidP="007958E9">
            <w:pPr>
              <w:ind w:left="317" w:hanging="317"/>
              <w:jc w:val="center"/>
              <w:rPr>
                <w:rFonts w:eastAsia="Calibri"/>
                <w:sz w:val="22"/>
                <w:szCs w:val="22"/>
              </w:rPr>
            </w:pPr>
            <w:r w:rsidRPr="00DB2665">
              <w:rPr>
                <w:rFonts w:eastAsia="Calibri"/>
                <w:sz w:val="22"/>
                <w:szCs w:val="22"/>
              </w:rPr>
              <w:t>2024. I. félév</w:t>
            </w:r>
          </w:p>
        </w:tc>
      </w:tr>
      <w:tr w:rsidR="00000D6E" w:rsidRPr="00DB2665" w:rsidTr="007958E9">
        <w:tc>
          <w:tcPr>
            <w:tcW w:w="4819" w:type="dxa"/>
            <w:gridSpan w:val="2"/>
          </w:tcPr>
          <w:p w:rsidR="00000D6E" w:rsidRPr="00DB2665" w:rsidRDefault="00000D6E" w:rsidP="007958E9">
            <w:pPr>
              <w:rPr>
                <w:rFonts w:eastAsia="Calibri"/>
                <w:sz w:val="18"/>
                <w:szCs w:val="18"/>
              </w:rPr>
            </w:pPr>
          </w:p>
        </w:tc>
        <w:tc>
          <w:tcPr>
            <w:tcW w:w="2978" w:type="dxa"/>
            <w:gridSpan w:val="2"/>
          </w:tcPr>
          <w:p w:rsidR="00000D6E" w:rsidRPr="00DB2665" w:rsidRDefault="00000D6E" w:rsidP="007958E9">
            <w:pPr>
              <w:jc w:val="center"/>
              <w:rPr>
                <w:rFonts w:eastAsia="Calibri"/>
                <w:iCs/>
                <w:sz w:val="18"/>
                <w:szCs w:val="18"/>
              </w:rPr>
            </w:pPr>
          </w:p>
        </w:tc>
        <w:tc>
          <w:tcPr>
            <w:tcW w:w="2018" w:type="dxa"/>
            <w:gridSpan w:val="2"/>
          </w:tcPr>
          <w:p w:rsidR="00000D6E" w:rsidRPr="00DB2665" w:rsidRDefault="00000D6E" w:rsidP="007958E9">
            <w:pPr>
              <w:jc w:val="center"/>
              <w:rPr>
                <w:rFonts w:eastAsia="Calibri"/>
                <w:sz w:val="18"/>
                <w:szCs w:val="18"/>
              </w:rPr>
            </w:pPr>
          </w:p>
        </w:tc>
      </w:tr>
    </w:tbl>
    <w:p w:rsidR="00000D6E" w:rsidRPr="004F372F" w:rsidRDefault="00000D6E" w:rsidP="00000D6E">
      <w:pPr>
        <w:pStyle w:val="Szvegtrzs"/>
        <w:ind w:right="-81"/>
        <w:rPr>
          <w:i/>
          <w:iCs/>
          <w:sz w:val="24"/>
          <w:szCs w:val="24"/>
        </w:rPr>
      </w:pPr>
      <w:r w:rsidRPr="004F372F">
        <w:rPr>
          <w:i/>
          <w:iCs/>
          <w:sz w:val="24"/>
          <w:szCs w:val="24"/>
        </w:rPr>
        <w:t>Befejezett kivitelezések (jelenleg garanciális időszakban)</w:t>
      </w:r>
    </w:p>
    <w:p w:rsidR="00000D6E" w:rsidRPr="00DB2665" w:rsidRDefault="00000D6E" w:rsidP="00000D6E">
      <w:pPr>
        <w:pStyle w:val="Szvegtrzs"/>
        <w:ind w:right="-81"/>
        <w:rPr>
          <w:i/>
          <w:iCs/>
          <w:sz w:val="10"/>
          <w:szCs w:val="10"/>
        </w:rPr>
      </w:pPr>
    </w:p>
    <w:tbl>
      <w:tblPr>
        <w:tblW w:w="9390" w:type="dxa"/>
        <w:tblBorders>
          <w:bottom w:val="single" w:sz="4" w:space="0" w:color="auto"/>
        </w:tblBorders>
        <w:tblLook w:val="04A0" w:firstRow="1" w:lastRow="0" w:firstColumn="1" w:lastColumn="0" w:noHBand="0" w:noVBand="1"/>
      </w:tblPr>
      <w:tblGrid>
        <w:gridCol w:w="4536"/>
        <w:gridCol w:w="2836"/>
        <w:gridCol w:w="2018"/>
      </w:tblGrid>
      <w:tr w:rsidR="00000D6E" w:rsidRPr="00DB2665" w:rsidTr="00000D6E">
        <w:trPr>
          <w:trHeight w:val="250"/>
        </w:trPr>
        <w:tc>
          <w:tcPr>
            <w:tcW w:w="4536" w:type="dxa"/>
            <w:tcBorders>
              <w:top w:val="nil"/>
              <w:left w:val="nil"/>
              <w:bottom w:val="single" w:sz="4" w:space="0" w:color="auto"/>
              <w:right w:val="nil"/>
            </w:tcBorders>
            <w:hideMark/>
          </w:tcPr>
          <w:p w:rsidR="00000D6E" w:rsidRPr="00DB2665" w:rsidRDefault="00000D6E" w:rsidP="007958E9">
            <w:pPr>
              <w:rPr>
                <w:rFonts w:eastAsia="Calibri"/>
                <w:i/>
                <w:sz w:val="22"/>
                <w:szCs w:val="22"/>
              </w:rPr>
            </w:pPr>
            <w:r w:rsidRPr="00DB2665">
              <w:rPr>
                <w:rFonts w:eastAsia="Calibri"/>
                <w:i/>
                <w:iCs/>
                <w:sz w:val="22"/>
                <w:szCs w:val="22"/>
              </w:rPr>
              <w:t>Agglomeráció</w:t>
            </w:r>
          </w:p>
        </w:tc>
        <w:tc>
          <w:tcPr>
            <w:tcW w:w="2836" w:type="dxa"/>
            <w:tcBorders>
              <w:top w:val="nil"/>
              <w:left w:val="nil"/>
              <w:bottom w:val="single" w:sz="4" w:space="0" w:color="auto"/>
              <w:right w:val="nil"/>
            </w:tcBorders>
            <w:hideMark/>
          </w:tcPr>
          <w:p w:rsidR="00000D6E" w:rsidRPr="00DB2665" w:rsidRDefault="00000D6E" w:rsidP="007958E9">
            <w:pPr>
              <w:jc w:val="center"/>
              <w:rPr>
                <w:rFonts w:eastAsia="Calibri"/>
                <w:i/>
                <w:iCs/>
                <w:sz w:val="22"/>
                <w:szCs w:val="22"/>
              </w:rPr>
            </w:pPr>
            <w:r w:rsidRPr="00DB2665">
              <w:rPr>
                <w:i/>
                <w:iCs/>
                <w:sz w:val="22"/>
                <w:szCs w:val="22"/>
              </w:rPr>
              <w:t>Műszaki átadás-átvétel</w:t>
            </w:r>
          </w:p>
        </w:tc>
        <w:tc>
          <w:tcPr>
            <w:tcW w:w="2018" w:type="dxa"/>
            <w:tcBorders>
              <w:top w:val="nil"/>
              <w:left w:val="nil"/>
              <w:bottom w:val="single" w:sz="4" w:space="0" w:color="auto"/>
              <w:right w:val="nil"/>
            </w:tcBorders>
            <w:hideMark/>
          </w:tcPr>
          <w:p w:rsidR="00000D6E" w:rsidRPr="00DB2665" w:rsidRDefault="00000D6E" w:rsidP="007958E9">
            <w:pPr>
              <w:ind w:right="67"/>
              <w:jc w:val="center"/>
              <w:rPr>
                <w:rFonts w:eastAsia="Calibri"/>
                <w:sz w:val="22"/>
                <w:szCs w:val="22"/>
              </w:rPr>
            </w:pPr>
            <w:r w:rsidRPr="00DB2665">
              <w:rPr>
                <w:i/>
                <w:iCs/>
                <w:sz w:val="22"/>
                <w:szCs w:val="22"/>
              </w:rPr>
              <w:t>Kivitelező</w:t>
            </w:r>
          </w:p>
        </w:tc>
      </w:tr>
    </w:tbl>
    <w:tbl>
      <w:tblPr>
        <w:tblStyle w:val="Rcsostblzat"/>
        <w:tblW w:w="9356" w:type="dxa"/>
        <w:tblLook w:val="04A0" w:firstRow="1" w:lastRow="0" w:firstColumn="1" w:lastColumn="0" w:noHBand="0" w:noVBand="1"/>
      </w:tblPr>
      <w:tblGrid>
        <w:gridCol w:w="4962"/>
        <w:gridCol w:w="4394"/>
      </w:tblGrid>
      <w:tr w:rsidR="00000D6E" w:rsidRPr="00DB2665" w:rsidTr="00D431F3">
        <w:tc>
          <w:tcPr>
            <w:tcW w:w="4962" w:type="dxa"/>
            <w:tcBorders>
              <w:top w:val="nil"/>
              <w:left w:val="nil"/>
              <w:bottom w:val="nil"/>
              <w:right w:val="nil"/>
            </w:tcBorders>
            <w:hideMark/>
          </w:tcPr>
          <w:p w:rsidR="00000D6E" w:rsidRPr="00DB2665" w:rsidRDefault="00000D6E" w:rsidP="007958E9">
            <w:pPr>
              <w:rPr>
                <w:iCs/>
              </w:rPr>
            </w:pPr>
            <w:r w:rsidRPr="00DB2665">
              <w:rPr>
                <w:i/>
                <w:iCs/>
              </w:rPr>
              <w:t>Hegyfalu és térsége</w:t>
            </w:r>
            <w:r w:rsidRPr="00DB2665">
              <w:rPr>
                <w:iCs/>
              </w:rPr>
              <w:t xml:space="preserve"> (Hegyfalu, Szeleste, Ölbő, </w:t>
            </w:r>
          </w:p>
          <w:p w:rsidR="00000D6E" w:rsidRPr="00DB2665" w:rsidRDefault="00000D6E" w:rsidP="007958E9">
            <w:pPr>
              <w:rPr>
                <w:iCs/>
              </w:rPr>
            </w:pPr>
            <w:r w:rsidRPr="00DB2665">
              <w:rPr>
                <w:iCs/>
              </w:rPr>
              <w:t xml:space="preserve">Pósfa, Zsédeny) csatornázás és szennyvíztisztító </w:t>
            </w:r>
          </w:p>
          <w:p w:rsidR="00000D6E" w:rsidRPr="00DB2665" w:rsidRDefault="00000D6E" w:rsidP="007958E9">
            <w:pPr>
              <w:rPr>
                <w:i/>
                <w:iCs/>
              </w:rPr>
            </w:pPr>
            <w:r w:rsidRPr="00DB2665">
              <w:rPr>
                <w:iCs/>
              </w:rPr>
              <w:t>telep létesítése</w:t>
            </w:r>
          </w:p>
        </w:tc>
        <w:tc>
          <w:tcPr>
            <w:tcW w:w="4394" w:type="dxa"/>
            <w:tcBorders>
              <w:top w:val="nil"/>
              <w:left w:val="nil"/>
              <w:bottom w:val="nil"/>
              <w:right w:val="nil"/>
            </w:tcBorders>
            <w:hideMark/>
          </w:tcPr>
          <w:p w:rsidR="00000D6E" w:rsidRPr="00DB2665" w:rsidRDefault="00000D6E" w:rsidP="007958E9">
            <w:pPr>
              <w:rPr>
                <w:iCs/>
              </w:rPr>
            </w:pPr>
            <w:r w:rsidRPr="00DB2665">
              <w:rPr>
                <w:iCs/>
              </w:rPr>
              <w:t>2019. december 13.               Szabadics Zrt.</w:t>
            </w:r>
          </w:p>
        </w:tc>
      </w:tr>
      <w:tr w:rsidR="00000D6E" w:rsidRPr="00DB2665" w:rsidTr="00D431F3">
        <w:trPr>
          <w:trHeight w:val="831"/>
        </w:trPr>
        <w:tc>
          <w:tcPr>
            <w:tcW w:w="4962" w:type="dxa"/>
            <w:tcBorders>
              <w:top w:val="nil"/>
              <w:left w:val="nil"/>
              <w:bottom w:val="nil"/>
              <w:right w:val="nil"/>
            </w:tcBorders>
            <w:hideMark/>
          </w:tcPr>
          <w:p w:rsidR="00000D6E" w:rsidRPr="00DB2665" w:rsidRDefault="00000D6E" w:rsidP="007958E9">
            <w:pPr>
              <w:rPr>
                <w:iCs/>
              </w:rPr>
            </w:pPr>
            <w:r w:rsidRPr="00DB2665">
              <w:rPr>
                <w:i/>
                <w:iCs/>
              </w:rPr>
              <w:t xml:space="preserve">Jánosháza agglomeráció </w:t>
            </w:r>
            <w:r w:rsidRPr="00DB2665">
              <w:rPr>
                <w:iCs/>
              </w:rPr>
              <w:t>bővítése új csatorna-</w:t>
            </w:r>
          </w:p>
          <w:p w:rsidR="00000D6E" w:rsidRPr="00DB2665" w:rsidRDefault="00000D6E" w:rsidP="007958E9">
            <w:pPr>
              <w:rPr>
                <w:iCs/>
              </w:rPr>
            </w:pPr>
            <w:r w:rsidRPr="00DB2665">
              <w:rPr>
                <w:iCs/>
              </w:rPr>
              <w:t xml:space="preserve">rendszerek rácsatlakozásával (Duka, Kissomlyó, </w:t>
            </w:r>
          </w:p>
          <w:p w:rsidR="00000D6E" w:rsidRPr="00DB2665" w:rsidRDefault="00000D6E" w:rsidP="007958E9">
            <w:pPr>
              <w:rPr>
                <w:iCs/>
              </w:rPr>
            </w:pPr>
            <w:r w:rsidRPr="00DB2665">
              <w:rPr>
                <w:iCs/>
              </w:rPr>
              <w:t>Kemenespálfa, Karakó, Nemeskeresztúr)</w:t>
            </w:r>
          </w:p>
        </w:tc>
        <w:tc>
          <w:tcPr>
            <w:tcW w:w="4394" w:type="dxa"/>
            <w:tcBorders>
              <w:top w:val="nil"/>
              <w:left w:val="nil"/>
              <w:bottom w:val="nil"/>
              <w:right w:val="nil"/>
            </w:tcBorders>
            <w:hideMark/>
          </w:tcPr>
          <w:p w:rsidR="00000D6E" w:rsidRPr="00DB2665" w:rsidRDefault="00000D6E" w:rsidP="007958E9">
            <w:pPr>
              <w:rPr>
                <w:iCs/>
              </w:rPr>
            </w:pPr>
            <w:r w:rsidRPr="00DB2665">
              <w:rPr>
                <w:iCs/>
              </w:rPr>
              <w:t>2020. december 15.               Szabadics Zrt.</w:t>
            </w:r>
          </w:p>
        </w:tc>
      </w:tr>
      <w:tr w:rsidR="00000D6E" w:rsidRPr="00DB2665" w:rsidTr="00D431F3">
        <w:tc>
          <w:tcPr>
            <w:tcW w:w="4962" w:type="dxa"/>
            <w:tcBorders>
              <w:top w:val="nil"/>
              <w:left w:val="nil"/>
              <w:bottom w:val="nil"/>
              <w:right w:val="nil"/>
            </w:tcBorders>
            <w:hideMark/>
          </w:tcPr>
          <w:p w:rsidR="00000D6E" w:rsidRPr="00DB2665" w:rsidRDefault="00000D6E" w:rsidP="007958E9">
            <w:pPr>
              <w:rPr>
                <w:iCs/>
              </w:rPr>
            </w:pPr>
            <w:r w:rsidRPr="00DB2665">
              <w:rPr>
                <w:i/>
                <w:iCs/>
              </w:rPr>
              <w:t>Nádasd</w:t>
            </w:r>
            <w:r w:rsidRPr="00DB2665">
              <w:rPr>
                <w:iCs/>
              </w:rPr>
              <w:t xml:space="preserve"> (Nádasd, Katafa) szennyvíztisztító telep </w:t>
            </w:r>
          </w:p>
          <w:p w:rsidR="00000D6E" w:rsidRPr="00DB2665" w:rsidRDefault="00000D6E" w:rsidP="007958E9">
            <w:pPr>
              <w:rPr>
                <w:iCs/>
              </w:rPr>
            </w:pPr>
            <w:r w:rsidRPr="00DB2665">
              <w:rPr>
                <w:iCs/>
              </w:rPr>
              <w:t>teljes rekonstrukciója</w:t>
            </w:r>
          </w:p>
        </w:tc>
        <w:tc>
          <w:tcPr>
            <w:tcW w:w="4394" w:type="dxa"/>
            <w:tcBorders>
              <w:top w:val="nil"/>
              <w:left w:val="nil"/>
              <w:bottom w:val="nil"/>
              <w:right w:val="nil"/>
            </w:tcBorders>
            <w:hideMark/>
          </w:tcPr>
          <w:p w:rsidR="00000D6E" w:rsidRPr="00DB2665" w:rsidRDefault="00000D6E" w:rsidP="00D431F3">
            <w:pPr>
              <w:rPr>
                <w:iCs/>
              </w:rPr>
            </w:pPr>
            <w:r w:rsidRPr="00DB2665">
              <w:rPr>
                <w:iCs/>
              </w:rPr>
              <w:t>2021. május 21.       A-G HÍD Konzorcium</w:t>
            </w:r>
          </w:p>
        </w:tc>
      </w:tr>
      <w:tr w:rsidR="00000D6E" w:rsidRPr="00DB2665" w:rsidTr="00D431F3">
        <w:tc>
          <w:tcPr>
            <w:tcW w:w="4962" w:type="dxa"/>
            <w:tcBorders>
              <w:top w:val="nil"/>
              <w:left w:val="nil"/>
              <w:bottom w:val="nil"/>
              <w:right w:val="nil"/>
            </w:tcBorders>
            <w:hideMark/>
          </w:tcPr>
          <w:p w:rsidR="00000D6E" w:rsidRPr="00DB2665" w:rsidRDefault="00000D6E" w:rsidP="007958E9">
            <w:pPr>
              <w:rPr>
                <w:iCs/>
              </w:rPr>
            </w:pPr>
            <w:r w:rsidRPr="00DB2665">
              <w:rPr>
                <w:i/>
                <w:iCs/>
              </w:rPr>
              <w:t>Szombathelyi agglomeráció</w:t>
            </w:r>
            <w:r w:rsidRPr="00DB2665">
              <w:rPr>
                <w:iCs/>
              </w:rPr>
              <w:t xml:space="preserve"> bővítése új csatorna-</w:t>
            </w:r>
          </w:p>
          <w:p w:rsidR="00000D6E" w:rsidRPr="00DB2665" w:rsidRDefault="00000D6E" w:rsidP="007958E9">
            <w:pPr>
              <w:rPr>
                <w:iCs/>
              </w:rPr>
            </w:pPr>
            <w:r w:rsidRPr="00DB2665">
              <w:rPr>
                <w:iCs/>
              </w:rPr>
              <w:t xml:space="preserve">rendszerek rácsatlakozásával (Bozzai, Kenéz, </w:t>
            </w:r>
          </w:p>
          <w:p w:rsidR="00000D6E" w:rsidRPr="00DB2665" w:rsidRDefault="00000D6E" w:rsidP="007958E9">
            <w:pPr>
              <w:rPr>
                <w:iCs/>
              </w:rPr>
            </w:pPr>
            <w:r w:rsidRPr="00DB2665">
              <w:rPr>
                <w:iCs/>
              </w:rPr>
              <w:lastRenderedPageBreak/>
              <w:t>Pecöl, Megyehíd)</w:t>
            </w:r>
          </w:p>
        </w:tc>
        <w:tc>
          <w:tcPr>
            <w:tcW w:w="4394" w:type="dxa"/>
            <w:tcBorders>
              <w:top w:val="nil"/>
              <w:left w:val="nil"/>
              <w:bottom w:val="nil"/>
              <w:right w:val="nil"/>
            </w:tcBorders>
            <w:hideMark/>
          </w:tcPr>
          <w:p w:rsidR="00000D6E" w:rsidRPr="00DB2665" w:rsidRDefault="00000D6E" w:rsidP="00D431F3">
            <w:pPr>
              <w:rPr>
                <w:iCs/>
              </w:rPr>
            </w:pPr>
            <w:r w:rsidRPr="00DB2665">
              <w:rPr>
                <w:iCs/>
              </w:rPr>
              <w:lastRenderedPageBreak/>
              <w:t>2021. május 21.        A-G HÍD Konzorcium</w:t>
            </w:r>
          </w:p>
        </w:tc>
      </w:tr>
      <w:tr w:rsidR="00000D6E" w:rsidRPr="00DB2665" w:rsidTr="00D431F3">
        <w:tc>
          <w:tcPr>
            <w:tcW w:w="4962" w:type="dxa"/>
            <w:tcBorders>
              <w:top w:val="nil"/>
              <w:left w:val="nil"/>
              <w:bottom w:val="nil"/>
              <w:right w:val="nil"/>
            </w:tcBorders>
            <w:hideMark/>
          </w:tcPr>
          <w:p w:rsidR="00000D6E" w:rsidRPr="00DB2665" w:rsidRDefault="00000D6E" w:rsidP="007958E9">
            <w:pPr>
              <w:rPr>
                <w:iCs/>
              </w:rPr>
            </w:pPr>
            <w:r w:rsidRPr="00DB2665">
              <w:rPr>
                <w:i/>
                <w:iCs/>
              </w:rPr>
              <w:t>Ivánc</w:t>
            </w:r>
            <w:r w:rsidRPr="00DB2665">
              <w:rPr>
                <w:iCs/>
              </w:rPr>
              <w:t xml:space="preserve"> (Ivánc, Csákánydoroszló) szennyvíztisztító </w:t>
            </w:r>
          </w:p>
          <w:p w:rsidR="00000D6E" w:rsidRPr="00DB2665" w:rsidRDefault="00000D6E" w:rsidP="007958E9">
            <w:pPr>
              <w:rPr>
                <w:iCs/>
              </w:rPr>
            </w:pPr>
            <w:r w:rsidRPr="00DB2665">
              <w:rPr>
                <w:iCs/>
              </w:rPr>
              <w:t>telep teljes rekonstrukciója</w:t>
            </w:r>
          </w:p>
        </w:tc>
        <w:tc>
          <w:tcPr>
            <w:tcW w:w="4394" w:type="dxa"/>
            <w:tcBorders>
              <w:top w:val="nil"/>
              <w:left w:val="nil"/>
              <w:bottom w:val="nil"/>
              <w:right w:val="nil"/>
            </w:tcBorders>
            <w:hideMark/>
          </w:tcPr>
          <w:p w:rsidR="00000D6E" w:rsidRPr="00DB2665" w:rsidRDefault="00000D6E" w:rsidP="00D431F3">
            <w:pPr>
              <w:ind w:left="-108" w:right="-108"/>
              <w:jc w:val="center"/>
              <w:rPr>
                <w:iCs/>
              </w:rPr>
            </w:pPr>
            <w:r w:rsidRPr="00DB2665">
              <w:rPr>
                <w:iCs/>
              </w:rPr>
              <w:t>2021. május 21.     A-G HÍD Konzorcium</w:t>
            </w:r>
          </w:p>
        </w:tc>
      </w:tr>
      <w:tr w:rsidR="00000D6E" w:rsidRPr="00DB2665" w:rsidTr="00D431F3">
        <w:tc>
          <w:tcPr>
            <w:tcW w:w="4962" w:type="dxa"/>
            <w:tcBorders>
              <w:top w:val="nil"/>
              <w:left w:val="nil"/>
              <w:bottom w:val="nil"/>
              <w:right w:val="nil"/>
            </w:tcBorders>
            <w:hideMark/>
          </w:tcPr>
          <w:p w:rsidR="00000D6E" w:rsidRPr="00DB2665" w:rsidRDefault="00000D6E" w:rsidP="007958E9">
            <w:pPr>
              <w:rPr>
                <w:iCs/>
              </w:rPr>
            </w:pPr>
            <w:r w:rsidRPr="00DB2665">
              <w:rPr>
                <w:i/>
                <w:iCs/>
              </w:rPr>
              <w:t>Vát</w:t>
            </w:r>
            <w:r w:rsidRPr="00DB2665">
              <w:rPr>
                <w:iCs/>
              </w:rPr>
              <w:t xml:space="preserve"> csatornahálózatának fejlesztése</w:t>
            </w:r>
          </w:p>
        </w:tc>
        <w:tc>
          <w:tcPr>
            <w:tcW w:w="4394" w:type="dxa"/>
            <w:tcBorders>
              <w:top w:val="nil"/>
              <w:left w:val="nil"/>
              <w:bottom w:val="nil"/>
              <w:right w:val="nil"/>
            </w:tcBorders>
            <w:hideMark/>
          </w:tcPr>
          <w:p w:rsidR="00000D6E" w:rsidRPr="00DB2665" w:rsidRDefault="00000D6E" w:rsidP="00D431F3">
            <w:pPr>
              <w:jc w:val="center"/>
              <w:rPr>
                <w:iCs/>
              </w:rPr>
            </w:pPr>
            <w:r w:rsidRPr="00DB2665">
              <w:rPr>
                <w:iCs/>
              </w:rPr>
              <w:t>2021. május 21.     A-G HÍD Konzorcium</w:t>
            </w:r>
          </w:p>
        </w:tc>
      </w:tr>
      <w:tr w:rsidR="00000D6E" w:rsidRPr="00DB2665" w:rsidTr="00D431F3">
        <w:tc>
          <w:tcPr>
            <w:tcW w:w="4962" w:type="dxa"/>
            <w:tcBorders>
              <w:top w:val="nil"/>
              <w:left w:val="nil"/>
              <w:bottom w:val="nil"/>
              <w:right w:val="nil"/>
            </w:tcBorders>
            <w:hideMark/>
          </w:tcPr>
          <w:p w:rsidR="00000D6E" w:rsidRPr="00DB2665" w:rsidRDefault="00000D6E" w:rsidP="007958E9">
            <w:pPr>
              <w:rPr>
                <w:iCs/>
              </w:rPr>
            </w:pPr>
            <w:r w:rsidRPr="00DB2665">
              <w:rPr>
                <w:i/>
                <w:iCs/>
              </w:rPr>
              <w:t xml:space="preserve">Körmend </w:t>
            </w:r>
            <w:r w:rsidRPr="00DB2665">
              <w:rPr>
                <w:iCs/>
              </w:rPr>
              <w:t>agglomeráció bővítése új csatorna-</w:t>
            </w:r>
          </w:p>
          <w:p w:rsidR="00000D6E" w:rsidRPr="00DB2665" w:rsidRDefault="00000D6E" w:rsidP="007958E9">
            <w:pPr>
              <w:rPr>
                <w:iCs/>
              </w:rPr>
            </w:pPr>
            <w:r w:rsidRPr="00DB2665">
              <w:rPr>
                <w:iCs/>
              </w:rPr>
              <w:t xml:space="preserve">rendszerek rácsatlakozásával (Egyházashollós, </w:t>
            </w:r>
          </w:p>
          <w:p w:rsidR="00000D6E" w:rsidRPr="00DB2665" w:rsidRDefault="00000D6E" w:rsidP="007958E9">
            <w:pPr>
              <w:rPr>
                <w:iCs/>
              </w:rPr>
            </w:pPr>
            <w:r w:rsidRPr="00DB2665">
              <w:rPr>
                <w:iCs/>
              </w:rPr>
              <w:t>Magyarszecsőd, Molnaszecsőd)</w:t>
            </w:r>
          </w:p>
        </w:tc>
        <w:tc>
          <w:tcPr>
            <w:tcW w:w="4394" w:type="dxa"/>
            <w:tcBorders>
              <w:top w:val="nil"/>
              <w:left w:val="nil"/>
              <w:bottom w:val="nil"/>
              <w:right w:val="nil"/>
            </w:tcBorders>
            <w:hideMark/>
          </w:tcPr>
          <w:p w:rsidR="00000D6E" w:rsidRPr="00DB2665" w:rsidRDefault="00000D6E" w:rsidP="00D431F3">
            <w:pPr>
              <w:jc w:val="center"/>
              <w:rPr>
                <w:iCs/>
              </w:rPr>
            </w:pPr>
            <w:r w:rsidRPr="00DB2665">
              <w:rPr>
                <w:iCs/>
              </w:rPr>
              <w:t>2021. október 11.                Szabadics Zrt.</w:t>
            </w:r>
          </w:p>
        </w:tc>
      </w:tr>
      <w:tr w:rsidR="00000D6E" w:rsidRPr="00DB2665" w:rsidTr="00D431F3">
        <w:tc>
          <w:tcPr>
            <w:tcW w:w="4962" w:type="dxa"/>
            <w:tcBorders>
              <w:top w:val="nil"/>
              <w:left w:val="nil"/>
              <w:bottom w:val="nil"/>
              <w:right w:val="nil"/>
            </w:tcBorders>
            <w:hideMark/>
          </w:tcPr>
          <w:p w:rsidR="00000D6E" w:rsidRPr="00DB2665" w:rsidRDefault="00000D6E" w:rsidP="007958E9">
            <w:pPr>
              <w:rPr>
                <w:iCs/>
              </w:rPr>
            </w:pPr>
            <w:r w:rsidRPr="00DB2665">
              <w:rPr>
                <w:i/>
                <w:iCs/>
              </w:rPr>
              <w:t xml:space="preserve">Répcelak </w:t>
            </w:r>
            <w:r w:rsidRPr="00DB2665">
              <w:rPr>
                <w:iCs/>
              </w:rPr>
              <w:t>telep és hálózat rekonstrukció</w:t>
            </w:r>
          </w:p>
        </w:tc>
        <w:tc>
          <w:tcPr>
            <w:tcW w:w="4394" w:type="dxa"/>
            <w:tcBorders>
              <w:top w:val="nil"/>
              <w:left w:val="nil"/>
              <w:bottom w:val="nil"/>
              <w:right w:val="nil"/>
            </w:tcBorders>
            <w:hideMark/>
          </w:tcPr>
          <w:p w:rsidR="00000D6E" w:rsidRPr="00DB2665" w:rsidRDefault="00000D6E" w:rsidP="00D431F3">
            <w:pPr>
              <w:ind w:left="-108"/>
              <w:jc w:val="center"/>
              <w:rPr>
                <w:iCs/>
              </w:rPr>
            </w:pPr>
            <w:r w:rsidRPr="00DB2665">
              <w:rPr>
                <w:iCs/>
              </w:rPr>
              <w:t>2021. szeptember 17.    Swietelsky Mo. Kft</w:t>
            </w:r>
          </w:p>
        </w:tc>
      </w:tr>
    </w:tbl>
    <w:tbl>
      <w:tblPr>
        <w:tblW w:w="9783" w:type="dxa"/>
        <w:tblLook w:val="04A0" w:firstRow="1" w:lastRow="0" w:firstColumn="1" w:lastColumn="0" w:noHBand="0" w:noVBand="1"/>
      </w:tblPr>
      <w:tblGrid>
        <w:gridCol w:w="4961"/>
        <w:gridCol w:w="143"/>
        <w:gridCol w:w="2411"/>
        <w:gridCol w:w="2018"/>
        <w:gridCol w:w="250"/>
      </w:tblGrid>
      <w:tr w:rsidR="00000D6E" w:rsidRPr="00CA36D0" w:rsidTr="00D431F3">
        <w:tc>
          <w:tcPr>
            <w:tcW w:w="5104" w:type="dxa"/>
            <w:gridSpan w:val="2"/>
            <w:hideMark/>
          </w:tcPr>
          <w:p w:rsidR="00D431F3" w:rsidRPr="00CA36D0" w:rsidRDefault="00000D6E" w:rsidP="007958E9">
            <w:pPr>
              <w:rPr>
                <w:rFonts w:eastAsia="Calibri"/>
                <w:szCs w:val="24"/>
              </w:rPr>
            </w:pPr>
            <w:r w:rsidRPr="00CA36D0">
              <w:rPr>
                <w:rFonts w:eastAsia="Calibri"/>
                <w:i/>
                <w:szCs w:val="24"/>
              </w:rPr>
              <w:t>Vasvári agglomeráció</w:t>
            </w:r>
            <w:r w:rsidRPr="00CA36D0">
              <w:rPr>
                <w:rFonts w:eastAsia="Calibri"/>
                <w:szCs w:val="24"/>
              </w:rPr>
              <w:t xml:space="preserve"> </w:t>
            </w:r>
            <w:r w:rsidRPr="00CA36D0">
              <w:rPr>
                <w:rFonts w:eastAsia="Calibri"/>
                <w:i/>
                <w:szCs w:val="24"/>
              </w:rPr>
              <w:t>bővítése</w:t>
            </w:r>
            <w:r w:rsidRPr="00CA36D0">
              <w:rPr>
                <w:rFonts w:eastAsia="Calibri"/>
                <w:szCs w:val="24"/>
              </w:rPr>
              <w:t xml:space="preserve"> új csatornarendszer </w:t>
            </w:r>
          </w:p>
          <w:p w:rsidR="00000D6E" w:rsidRPr="00CA36D0" w:rsidRDefault="00000D6E" w:rsidP="007958E9">
            <w:pPr>
              <w:rPr>
                <w:rFonts w:eastAsia="Calibri"/>
                <w:szCs w:val="24"/>
              </w:rPr>
            </w:pPr>
            <w:r w:rsidRPr="00CA36D0">
              <w:rPr>
                <w:rFonts w:eastAsia="Calibri"/>
                <w:szCs w:val="24"/>
              </w:rPr>
              <w:t xml:space="preserve">(Alsóújlak) rácsatlakozásával </w:t>
            </w:r>
          </w:p>
        </w:tc>
        <w:tc>
          <w:tcPr>
            <w:tcW w:w="2411" w:type="dxa"/>
            <w:hideMark/>
          </w:tcPr>
          <w:p w:rsidR="00000D6E" w:rsidRPr="00CA36D0" w:rsidRDefault="00000D6E" w:rsidP="00D431F3">
            <w:pPr>
              <w:ind w:left="-250" w:firstLine="141"/>
              <w:rPr>
                <w:rFonts w:eastAsia="Calibri"/>
                <w:szCs w:val="24"/>
              </w:rPr>
            </w:pPr>
            <w:r w:rsidRPr="00CA36D0">
              <w:rPr>
                <w:rFonts w:eastAsia="Calibri"/>
                <w:szCs w:val="24"/>
              </w:rPr>
              <w:t>2022. október 25.</w:t>
            </w:r>
          </w:p>
        </w:tc>
        <w:tc>
          <w:tcPr>
            <w:tcW w:w="2268" w:type="dxa"/>
            <w:gridSpan w:val="2"/>
            <w:hideMark/>
          </w:tcPr>
          <w:p w:rsidR="00000D6E" w:rsidRPr="00CA36D0" w:rsidRDefault="00000D6E" w:rsidP="007958E9">
            <w:pPr>
              <w:rPr>
                <w:rFonts w:eastAsia="Calibri"/>
                <w:szCs w:val="24"/>
              </w:rPr>
            </w:pPr>
            <w:r w:rsidRPr="00CA36D0">
              <w:rPr>
                <w:rFonts w:eastAsia="Calibri"/>
                <w:szCs w:val="24"/>
              </w:rPr>
              <w:t>Szabadics Zrt</w:t>
            </w:r>
          </w:p>
          <w:p w:rsidR="00000D6E" w:rsidRPr="00CA36D0" w:rsidRDefault="00000D6E" w:rsidP="007958E9">
            <w:pPr>
              <w:jc w:val="center"/>
              <w:rPr>
                <w:rFonts w:eastAsia="Calibri"/>
                <w:szCs w:val="24"/>
              </w:rPr>
            </w:pPr>
          </w:p>
        </w:tc>
      </w:tr>
      <w:tr w:rsidR="00000D6E" w:rsidRPr="00DB2665" w:rsidTr="00D431F3">
        <w:trPr>
          <w:gridAfter w:val="1"/>
          <w:wAfter w:w="250" w:type="dxa"/>
        </w:trPr>
        <w:tc>
          <w:tcPr>
            <w:tcW w:w="4961" w:type="dxa"/>
            <w:hideMark/>
          </w:tcPr>
          <w:p w:rsidR="00000D6E" w:rsidRPr="00DB2665" w:rsidRDefault="00000D6E" w:rsidP="00D431F3">
            <w:pPr>
              <w:rPr>
                <w:rFonts w:eastAsia="Calibri"/>
                <w:sz w:val="22"/>
                <w:szCs w:val="22"/>
              </w:rPr>
            </w:pPr>
            <w:r w:rsidRPr="00DB2665">
              <w:rPr>
                <w:rFonts w:eastAsia="Calibri"/>
                <w:i/>
                <w:sz w:val="22"/>
                <w:szCs w:val="22"/>
              </w:rPr>
              <w:t>Egyházashetye központú agglomeráció</w:t>
            </w:r>
            <w:r w:rsidRPr="00DB2665">
              <w:rPr>
                <w:rFonts w:eastAsia="Calibri"/>
                <w:sz w:val="22"/>
                <w:szCs w:val="22"/>
              </w:rPr>
              <w:t xml:space="preserve"> </w:t>
            </w:r>
            <w:r w:rsidRPr="00DB2665">
              <w:rPr>
                <w:rFonts w:eastAsia="Calibri"/>
                <w:i/>
                <w:sz w:val="22"/>
                <w:szCs w:val="22"/>
              </w:rPr>
              <w:t>bővítése</w:t>
            </w:r>
            <w:r w:rsidRPr="00DB2665">
              <w:rPr>
                <w:rFonts w:eastAsia="Calibri"/>
                <w:sz w:val="22"/>
                <w:szCs w:val="22"/>
              </w:rPr>
              <w:t xml:space="preserve"> új csatornarendszerek rácsatlakozásával (Boba</w:t>
            </w:r>
            <w:r w:rsidR="00D431F3" w:rsidRPr="00DB2665">
              <w:rPr>
                <w:rFonts w:eastAsia="Calibri"/>
                <w:sz w:val="22"/>
                <w:szCs w:val="22"/>
              </w:rPr>
              <w:t xml:space="preserve">, </w:t>
            </w:r>
            <w:r w:rsidRPr="00DB2665">
              <w:rPr>
                <w:rFonts w:eastAsia="Calibri"/>
                <w:sz w:val="22"/>
                <w:szCs w:val="22"/>
              </w:rPr>
              <w:t>Nemes</w:t>
            </w:r>
            <w:r w:rsidR="00D431F3" w:rsidRPr="00DB2665">
              <w:rPr>
                <w:rFonts w:eastAsia="Calibri"/>
                <w:sz w:val="22"/>
                <w:szCs w:val="22"/>
              </w:rPr>
              <w:t>-</w:t>
            </w:r>
            <w:r w:rsidRPr="00DB2665">
              <w:rPr>
                <w:rFonts w:eastAsia="Calibri"/>
                <w:sz w:val="22"/>
                <w:szCs w:val="22"/>
              </w:rPr>
              <w:t>kocs)</w:t>
            </w:r>
          </w:p>
        </w:tc>
        <w:tc>
          <w:tcPr>
            <w:tcW w:w="2554" w:type="dxa"/>
            <w:gridSpan w:val="2"/>
            <w:hideMark/>
          </w:tcPr>
          <w:p w:rsidR="00000D6E" w:rsidRPr="00DB2665" w:rsidRDefault="00000D6E" w:rsidP="007958E9">
            <w:pPr>
              <w:rPr>
                <w:rFonts w:eastAsia="Calibri"/>
                <w:iCs/>
                <w:sz w:val="22"/>
                <w:szCs w:val="22"/>
              </w:rPr>
            </w:pPr>
            <w:r w:rsidRPr="00DB2665">
              <w:rPr>
                <w:rFonts w:eastAsia="Calibri"/>
                <w:iCs/>
                <w:sz w:val="22"/>
                <w:szCs w:val="22"/>
              </w:rPr>
              <w:t>2022. október 25.</w:t>
            </w:r>
          </w:p>
          <w:p w:rsidR="00000D6E" w:rsidRPr="00DB2665" w:rsidRDefault="00000D6E" w:rsidP="007958E9">
            <w:pPr>
              <w:jc w:val="center"/>
              <w:rPr>
                <w:rFonts w:eastAsia="Calibri"/>
                <w:iCs/>
                <w:sz w:val="22"/>
                <w:szCs w:val="22"/>
              </w:rPr>
            </w:pPr>
          </w:p>
        </w:tc>
        <w:tc>
          <w:tcPr>
            <w:tcW w:w="2018" w:type="dxa"/>
            <w:hideMark/>
          </w:tcPr>
          <w:p w:rsidR="00000D6E" w:rsidRPr="00DB2665" w:rsidRDefault="00000D6E" w:rsidP="007958E9">
            <w:pPr>
              <w:ind w:left="317" w:hanging="317"/>
              <w:rPr>
                <w:rFonts w:eastAsia="Calibri"/>
                <w:sz w:val="22"/>
                <w:szCs w:val="22"/>
              </w:rPr>
            </w:pPr>
            <w:r w:rsidRPr="00DB2665">
              <w:rPr>
                <w:rFonts w:eastAsia="Calibri"/>
                <w:iCs/>
                <w:sz w:val="22"/>
                <w:szCs w:val="22"/>
              </w:rPr>
              <w:t>Szabadics Zrt</w:t>
            </w:r>
          </w:p>
        </w:tc>
      </w:tr>
    </w:tbl>
    <w:p w:rsidR="00702CF8" w:rsidRDefault="00702CF8" w:rsidP="00000D6E">
      <w:pPr>
        <w:pStyle w:val="llb"/>
        <w:tabs>
          <w:tab w:val="clear" w:pos="4536"/>
          <w:tab w:val="left" w:pos="3400"/>
          <w:tab w:val="center" w:pos="4253"/>
          <w:tab w:val="left" w:pos="6804"/>
          <w:tab w:val="center" w:pos="7230"/>
        </w:tabs>
        <w:ind w:right="-81"/>
        <w:rPr>
          <w:iCs/>
          <w:sz w:val="16"/>
          <w:szCs w:val="16"/>
        </w:rPr>
      </w:pPr>
    </w:p>
    <w:p w:rsidR="00702CF8" w:rsidRDefault="00702CF8">
      <w:pPr>
        <w:jc w:val="left"/>
        <w:rPr>
          <w:iCs/>
          <w:sz w:val="16"/>
          <w:szCs w:val="16"/>
        </w:rPr>
      </w:pPr>
      <w:r>
        <w:rPr>
          <w:iCs/>
          <w:sz w:val="16"/>
          <w:szCs w:val="16"/>
        </w:rPr>
        <w:br w:type="page"/>
      </w:r>
    </w:p>
    <w:p w:rsidR="00A86A97" w:rsidRPr="00A86A97" w:rsidRDefault="00A86A97" w:rsidP="00A86A97">
      <w:bookmarkStart w:id="41" w:name="_Toc112068760"/>
    </w:p>
    <w:p w:rsidR="00000D6E" w:rsidRDefault="00000D6E" w:rsidP="00000D6E">
      <w:pPr>
        <w:pStyle w:val="Cmsor2"/>
        <w:rPr>
          <w:szCs w:val="24"/>
        </w:rPr>
      </w:pPr>
      <w:bookmarkStart w:id="42" w:name="_Toc132629483"/>
      <w:r w:rsidRPr="00DB2665">
        <w:rPr>
          <w:szCs w:val="24"/>
        </w:rPr>
        <w:t>Innovációs és Technológiai Minisztérium víziközművekre vonatkozó pályázatai</w:t>
      </w:r>
      <w:bookmarkEnd w:id="41"/>
      <w:bookmarkEnd w:id="42"/>
    </w:p>
    <w:p w:rsidR="009B5141" w:rsidRPr="009B5141" w:rsidRDefault="009B5141" w:rsidP="009B5141"/>
    <w:p w:rsidR="00000D6E" w:rsidRPr="00AF4206" w:rsidRDefault="00000D6E" w:rsidP="00AF4206">
      <w:pPr>
        <w:pStyle w:val="Szvegtrzs3"/>
        <w:tabs>
          <w:tab w:val="clear" w:pos="567"/>
          <w:tab w:val="clear" w:pos="7938"/>
        </w:tabs>
        <w:ind w:right="200"/>
        <w:rPr>
          <w:b/>
          <w:i/>
          <w:iCs/>
          <w:szCs w:val="24"/>
        </w:rPr>
      </w:pPr>
      <w:bookmarkStart w:id="43" w:name="_Toc112068761"/>
      <w:r w:rsidRPr="00AF4206">
        <w:rPr>
          <w:b/>
          <w:i/>
          <w:iCs/>
          <w:szCs w:val="24"/>
        </w:rPr>
        <w:t>Víziközművek Állami Rekonstrukciós Alapja (VÁRA 2019) pályázat</w:t>
      </w:r>
      <w:bookmarkEnd w:id="43"/>
    </w:p>
    <w:p w:rsidR="00000D6E" w:rsidRPr="002B7280" w:rsidRDefault="00000D6E" w:rsidP="00000D6E">
      <w:pPr>
        <w:ind w:right="34"/>
        <w:rPr>
          <w:bCs/>
          <w:sz w:val="12"/>
          <w:szCs w:val="12"/>
        </w:rPr>
      </w:pPr>
    </w:p>
    <w:p w:rsidR="00000D6E" w:rsidRPr="00DB2665" w:rsidRDefault="00000D6E" w:rsidP="00000D6E">
      <w:pPr>
        <w:ind w:right="34"/>
        <w:rPr>
          <w:bCs/>
          <w:szCs w:val="24"/>
        </w:rPr>
      </w:pPr>
      <w:r w:rsidRPr="00DB2665">
        <w:rPr>
          <w:bCs/>
          <w:szCs w:val="24"/>
        </w:rPr>
        <w:t>Az alábbi pályázatok 3 éves fenntartási időszakban vannak:</w:t>
      </w:r>
    </w:p>
    <w:tbl>
      <w:tblPr>
        <w:tblW w:w="5168" w:type="pct"/>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55"/>
        <w:gridCol w:w="118"/>
        <w:gridCol w:w="1465"/>
        <w:gridCol w:w="30"/>
        <w:gridCol w:w="1402"/>
        <w:gridCol w:w="63"/>
        <w:gridCol w:w="1432"/>
        <w:gridCol w:w="63"/>
        <w:gridCol w:w="1538"/>
        <w:gridCol w:w="79"/>
      </w:tblGrid>
      <w:tr w:rsidR="00000D6E" w:rsidRPr="00DB2665" w:rsidTr="007D5A78">
        <w:trPr>
          <w:trHeight w:val="416"/>
        </w:trPr>
        <w:tc>
          <w:tcPr>
            <w:tcW w:w="1949" w:type="pct"/>
            <w:tcBorders>
              <w:top w:val="single" w:sz="4" w:space="0" w:color="auto"/>
              <w:left w:val="nil"/>
              <w:bottom w:val="single" w:sz="4" w:space="0" w:color="auto"/>
              <w:right w:val="nil"/>
            </w:tcBorders>
            <w:vAlign w:val="center"/>
          </w:tcPr>
          <w:p w:rsidR="00000D6E" w:rsidRPr="00DB2665" w:rsidRDefault="00000D6E" w:rsidP="007958E9">
            <w:pPr>
              <w:widowControl w:val="0"/>
              <w:autoSpaceDE w:val="0"/>
              <w:autoSpaceDN w:val="0"/>
              <w:ind w:left="-7"/>
              <w:rPr>
                <w:rFonts w:eastAsia="Calibri"/>
                <w:i/>
                <w:sz w:val="22"/>
                <w:szCs w:val="22"/>
              </w:rPr>
            </w:pPr>
            <w:r w:rsidRPr="00DB2665">
              <w:rPr>
                <w:rFonts w:eastAsia="Calibri"/>
                <w:i/>
                <w:sz w:val="22"/>
                <w:szCs w:val="22"/>
              </w:rPr>
              <w:t>Pályázat megnevezése</w:t>
            </w:r>
          </w:p>
        </w:tc>
        <w:tc>
          <w:tcPr>
            <w:tcW w:w="795" w:type="pct"/>
            <w:gridSpan w:val="3"/>
            <w:tcBorders>
              <w:top w:val="single" w:sz="4" w:space="0" w:color="auto"/>
              <w:left w:val="nil"/>
              <w:bottom w:val="single" w:sz="4" w:space="0" w:color="auto"/>
              <w:right w:val="nil"/>
            </w:tcBorders>
          </w:tcPr>
          <w:p w:rsidR="00000D6E" w:rsidRPr="00DB2665" w:rsidRDefault="00000D6E" w:rsidP="007958E9">
            <w:pPr>
              <w:widowControl w:val="0"/>
              <w:autoSpaceDE w:val="0"/>
              <w:autoSpaceDN w:val="0"/>
              <w:jc w:val="center"/>
              <w:rPr>
                <w:rFonts w:eastAsia="Calibri"/>
                <w:i/>
              </w:rPr>
            </w:pPr>
            <w:r w:rsidRPr="00DB2665">
              <w:rPr>
                <w:rFonts w:eastAsia="Calibri"/>
                <w:i/>
              </w:rPr>
              <w:t>Nettó</w:t>
            </w:r>
          </w:p>
          <w:p w:rsidR="00000D6E" w:rsidRPr="00DB2665" w:rsidRDefault="00000D6E" w:rsidP="007958E9">
            <w:pPr>
              <w:widowControl w:val="0"/>
              <w:autoSpaceDE w:val="0"/>
              <w:autoSpaceDN w:val="0"/>
              <w:jc w:val="center"/>
              <w:rPr>
                <w:rFonts w:eastAsia="Calibri"/>
                <w:sz w:val="22"/>
                <w:szCs w:val="22"/>
              </w:rPr>
            </w:pPr>
            <w:r w:rsidRPr="00DB2665">
              <w:rPr>
                <w:rFonts w:eastAsia="Calibri"/>
                <w:i/>
              </w:rPr>
              <w:t>elszámolható költsége (Ft)</w:t>
            </w:r>
          </w:p>
        </w:tc>
        <w:tc>
          <w:tcPr>
            <w:tcW w:w="722" w:type="pct"/>
            <w:gridSpan w:val="2"/>
            <w:tcBorders>
              <w:top w:val="single" w:sz="4" w:space="0" w:color="auto"/>
              <w:left w:val="nil"/>
              <w:bottom w:val="single" w:sz="4" w:space="0" w:color="auto"/>
              <w:right w:val="nil"/>
            </w:tcBorders>
          </w:tcPr>
          <w:p w:rsidR="00000D6E" w:rsidRPr="00DB2665" w:rsidRDefault="00000D6E" w:rsidP="007958E9">
            <w:pPr>
              <w:widowControl w:val="0"/>
              <w:autoSpaceDE w:val="0"/>
              <w:autoSpaceDN w:val="0"/>
              <w:jc w:val="center"/>
              <w:rPr>
                <w:rFonts w:eastAsia="Calibri"/>
                <w:sz w:val="22"/>
                <w:szCs w:val="22"/>
              </w:rPr>
            </w:pPr>
            <w:r w:rsidRPr="00DB2665">
              <w:rPr>
                <w:rFonts w:eastAsia="Calibri"/>
                <w:i/>
              </w:rPr>
              <w:t>Megvalósulás ideje</w:t>
            </w:r>
          </w:p>
        </w:tc>
        <w:tc>
          <w:tcPr>
            <w:tcW w:w="706" w:type="pct"/>
            <w:tcBorders>
              <w:top w:val="single" w:sz="4" w:space="0" w:color="auto"/>
              <w:left w:val="nil"/>
              <w:bottom w:val="single" w:sz="4" w:space="0" w:color="auto"/>
              <w:right w:val="nil"/>
            </w:tcBorders>
          </w:tcPr>
          <w:p w:rsidR="00000D6E" w:rsidRPr="00DB2665" w:rsidRDefault="00000D6E" w:rsidP="007958E9">
            <w:pPr>
              <w:widowControl w:val="0"/>
              <w:autoSpaceDE w:val="0"/>
              <w:autoSpaceDN w:val="0"/>
              <w:jc w:val="center"/>
              <w:rPr>
                <w:rFonts w:eastAsia="Calibri"/>
                <w:i/>
              </w:rPr>
            </w:pPr>
            <w:r w:rsidRPr="00DB2665">
              <w:rPr>
                <w:rFonts w:eastAsia="Calibri"/>
                <w:i/>
              </w:rPr>
              <w:t xml:space="preserve">Záró </w:t>
            </w:r>
          </w:p>
          <w:p w:rsidR="00000D6E" w:rsidRPr="00DB2665" w:rsidRDefault="00000D6E" w:rsidP="007958E9">
            <w:pPr>
              <w:widowControl w:val="0"/>
              <w:autoSpaceDE w:val="0"/>
              <w:autoSpaceDN w:val="0"/>
              <w:jc w:val="center"/>
              <w:rPr>
                <w:rFonts w:eastAsia="Calibri"/>
                <w:sz w:val="22"/>
                <w:szCs w:val="22"/>
              </w:rPr>
            </w:pPr>
            <w:r w:rsidRPr="00DB2665">
              <w:rPr>
                <w:rFonts w:eastAsia="Calibri"/>
                <w:i/>
              </w:rPr>
              <w:t>elszámolás benyújtása</w:t>
            </w:r>
          </w:p>
        </w:tc>
        <w:tc>
          <w:tcPr>
            <w:tcW w:w="828" w:type="pct"/>
            <w:gridSpan w:val="3"/>
            <w:tcBorders>
              <w:top w:val="single" w:sz="4" w:space="0" w:color="auto"/>
              <w:left w:val="nil"/>
              <w:bottom w:val="single" w:sz="4" w:space="0" w:color="auto"/>
              <w:right w:val="nil"/>
            </w:tcBorders>
          </w:tcPr>
          <w:p w:rsidR="00000D6E" w:rsidRPr="00DB2665" w:rsidRDefault="00000D6E" w:rsidP="007958E9">
            <w:pPr>
              <w:widowControl w:val="0"/>
              <w:autoSpaceDE w:val="0"/>
              <w:autoSpaceDN w:val="0"/>
              <w:jc w:val="center"/>
              <w:rPr>
                <w:rFonts w:eastAsia="Calibri"/>
                <w:i/>
              </w:rPr>
            </w:pPr>
            <w:r w:rsidRPr="00DB2665">
              <w:rPr>
                <w:rFonts w:eastAsia="Calibri"/>
                <w:i/>
              </w:rPr>
              <w:t xml:space="preserve">ITM záró </w:t>
            </w:r>
          </w:p>
          <w:p w:rsidR="00000D6E" w:rsidRPr="00DB2665" w:rsidRDefault="00000D6E" w:rsidP="007958E9">
            <w:pPr>
              <w:widowControl w:val="0"/>
              <w:autoSpaceDE w:val="0"/>
              <w:autoSpaceDN w:val="0"/>
              <w:jc w:val="center"/>
              <w:rPr>
                <w:rFonts w:eastAsia="Calibri"/>
                <w:i/>
              </w:rPr>
            </w:pPr>
            <w:r w:rsidRPr="00DB2665">
              <w:rPr>
                <w:rFonts w:eastAsia="Calibri"/>
                <w:i/>
              </w:rPr>
              <w:t xml:space="preserve">beszámoló </w:t>
            </w:r>
          </w:p>
          <w:p w:rsidR="00000D6E" w:rsidRPr="00DB2665" w:rsidRDefault="00000D6E" w:rsidP="007958E9">
            <w:pPr>
              <w:widowControl w:val="0"/>
              <w:autoSpaceDE w:val="0"/>
              <w:autoSpaceDN w:val="0"/>
              <w:jc w:val="center"/>
              <w:rPr>
                <w:rFonts w:eastAsia="Calibri"/>
                <w:i/>
              </w:rPr>
            </w:pPr>
            <w:r w:rsidRPr="00DB2665">
              <w:rPr>
                <w:rFonts w:eastAsia="Calibri"/>
                <w:i/>
              </w:rPr>
              <w:t xml:space="preserve">jóváhagyása </w:t>
            </w:r>
          </w:p>
        </w:tc>
      </w:tr>
      <w:tr w:rsidR="00000D6E" w:rsidRPr="00DB2665" w:rsidTr="007D5A78">
        <w:trPr>
          <w:gridAfter w:val="1"/>
          <w:wAfter w:w="39" w:type="pct"/>
          <w:trHeight w:val="416"/>
        </w:trPr>
        <w:tc>
          <w:tcPr>
            <w:tcW w:w="1949" w:type="pct"/>
            <w:tcBorders>
              <w:top w:val="single" w:sz="4" w:space="0" w:color="auto"/>
              <w:left w:val="nil"/>
              <w:bottom w:val="nil"/>
              <w:right w:val="nil"/>
            </w:tcBorders>
            <w:vAlign w:val="center"/>
            <w:hideMark/>
          </w:tcPr>
          <w:p w:rsidR="00000D6E" w:rsidRPr="00DB2665" w:rsidRDefault="00000D6E" w:rsidP="007958E9">
            <w:pPr>
              <w:widowControl w:val="0"/>
              <w:autoSpaceDE w:val="0"/>
              <w:autoSpaceDN w:val="0"/>
              <w:ind w:left="-7"/>
              <w:rPr>
                <w:rFonts w:eastAsia="Calibri"/>
                <w:sz w:val="22"/>
                <w:szCs w:val="22"/>
              </w:rPr>
            </w:pPr>
            <w:r w:rsidRPr="00DB2665">
              <w:rPr>
                <w:rFonts w:eastAsia="Calibri"/>
                <w:i/>
                <w:sz w:val="22"/>
                <w:szCs w:val="22"/>
              </w:rPr>
              <w:t xml:space="preserve">S001 Szhely-Kőszeg szennyvízelvez. és </w:t>
            </w:r>
            <w:r w:rsidR="00D62AA4">
              <w:rPr>
                <w:rFonts w:eastAsia="Calibri"/>
                <w:i/>
                <w:sz w:val="22"/>
                <w:szCs w:val="22"/>
              </w:rPr>
              <w:br/>
            </w:r>
            <w:r w:rsidRPr="00DB2665">
              <w:rPr>
                <w:rFonts w:eastAsia="Calibri"/>
                <w:i/>
                <w:sz w:val="22"/>
                <w:szCs w:val="22"/>
              </w:rPr>
              <w:t xml:space="preserve">-tiszt. rendszer </w:t>
            </w:r>
            <w:r w:rsidRPr="00DB2665">
              <w:rPr>
                <w:rFonts w:eastAsia="Calibri"/>
                <w:sz w:val="22"/>
                <w:szCs w:val="22"/>
              </w:rPr>
              <w:t>2019. évi rekonstrukciója</w:t>
            </w:r>
          </w:p>
        </w:tc>
        <w:tc>
          <w:tcPr>
            <w:tcW w:w="780" w:type="pct"/>
            <w:gridSpan w:val="2"/>
            <w:tcBorders>
              <w:top w:val="single" w:sz="4" w:space="0" w:color="auto"/>
              <w:left w:val="nil"/>
              <w:bottom w:val="nil"/>
              <w:right w:val="nil"/>
            </w:tcBorders>
            <w:hideMark/>
          </w:tcPr>
          <w:p w:rsidR="00000D6E" w:rsidRPr="00DB2665" w:rsidRDefault="00000D6E" w:rsidP="007958E9">
            <w:pPr>
              <w:widowControl w:val="0"/>
              <w:autoSpaceDE w:val="0"/>
              <w:autoSpaceDN w:val="0"/>
              <w:jc w:val="right"/>
              <w:rPr>
                <w:rFonts w:eastAsia="Calibri"/>
                <w:sz w:val="22"/>
                <w:szCs w:val="22"/>
              </w:rPr>
            </w:pPr>
            <w:r w:rsidRPr="00DB2665">
              <w:rPr>
                <w:rFonts w:eastAsia="Calibri"/>
                <w:sz w:val="22"/>
                <w:szCs w:val="22"/>
              </w:rPr>
              <w:t>142 000 000</w:t>
            </w:r>
          </w:p>
        </w:tc>
        <w:tc>
          <w:tcPr>
            <w:tcW w:w="706" w:type="pct"/>
            <w:gridSpan w:val="2"/>
            <w:tcBorders>
              <w:top w:val="single" w:sz="4" w:space="0" w:color="auto"/>
              <w:left w:val="nil"/>
              <w:bottom w:val="nil"/>
              <w:right w:val="nil"/>
            </w:tcBorders>
          </w:tcPr>
          <w:p w:rsidR="00000D6E" w:rsidRPr="00DB2665" w:rsidRDefault="00000D6E" w:rsidP="007958E9">
            <w:pPr>
              <w:widowControl w:val="0"/>
              <w:autoSpaceDE w:val="0"/>
              <w:autoSpaceDN w:val="0"/>
              <w:jc w:val="right"/>
              <w:rPr>
                <w:rFonts w:eastAsia="Calibri"/>
                <w:sz w:val="22"/>
                <w:szCs w:val="22"/>
              </w:rPr>
            </w:pPr>
            <w:r w:rsidRPr="00DB2665">
              <w:rPr>
                <w:rFonts w:eastAsia="Calibri"/>
                <w:sz w:val="22"/>
                <w:szCs w:val="22"/>
              </w:rPr>
              <w:t>2020. 09. 30.</w:t>
            </w:r>
          </w:p>
        </w:tc>
        <w:tc>
          <w:tcPr>
            <w:tcW w:w="768" w:type="pct"/>
            <w:gridSpan w:val="3"/>
            <w:tcBorders>
              <w:top w:val="single" w:sz="4" w:space="0" w:color="auto"/>
              <w:left w:val="nil"/>
              <w:bottom w:val="nil"/>
              <w:right w:val="nil"/>
            </w:tcBorders>
          </w:tcPr>
          <w:p w:rsidR="00000D6E" w:rsidRPr="00DB2665" w:rsidRDefault="00000D6E" w:rsidP="007958E9">
            <w:pPr>
              <w:widowControl w:val="0"/>
              <w:autoSpaceDE w:val="0"/>
              <w:autoSpaceDN w:val="0"/>
              <w:jc w:val="right"/>
              <w:rPr>
                <w:rFonts w:eastAsia="Calibri"/>
                <w:sz w:val="22"/>
                <w:szCs w:val="22"/>
              </w:rPr>
            </w:pPr>
            <w:r w:rsidRPr="00DB2665">
              <w:rPr>
                <w:rFonts w:eastAsia="Calibri"/>
                <w:sz w:val="22"/>
                <w:szCs w:val="22"/>
              </w:rPr>
              <w:t>2020. 12. 17.</w:t>
            </w:r>
          </w:p>
        </w:tc>
        <w:tc>
          <w:tcPr>
            <w:tcW w:w="758" w:type="pct"/>
            <w:tcBorders>
              <w:top w:val="single" w:sz="4" w:space="0" w:color="auto"/>
              <w:left w:val="nil"/>
              <w:bottom w:val="nil"/>
              <w:right w:val="nil"/>
            </w:tcBorders>
          </w:tcPr>
          <w:p w:rsidR="00000D6E" w:rsidRPr="00DB2665" w:rsidRDefault="00000D6E" w:rsidP="007958E9">
            <w:pPr>
              <w:widowControl w:val="0"/>
              <w:autoSpaceDE w:val="0"/>
              <w:autoSpaceDN w:val="0"/>
              <w:jc w:val="right"/>
              <w:rPr>
                <w:rFonts w:eastAsia="Calibri"/>
                <w:sz w:val="22"/>
                <w:szCs w:val="22"/>
              </w:rPr>
            </w:pPr>
            <w:r w:rsidRPr="00DB2665">
              <w:rPr>
                <w:rFonts w:eastAsia="Calibri"/>
                <w:sz w:val="22"/>
                <w:szCs w:val="22"/>
              </w:rPr>
              <w:t>2022. 01. 18.</w:t>
            </w:r>
          </w:p>
        </w:tc>
      </w:tr>
      <w:tr w:rsidR="00000D6E" w:rsidRPr="00DB2665" w:rsidTr="007D5A78">
        <w:trPr>
          <w:gridAfter w:val="1"/>
          <w:wAfter w:w="39" w:type="pct"/>
          <w:trHeight w:val="80"/>
        </w:trPr>
        <w:tc>
          <w:tcPr>
            <w:tcW w:w="1949" w:type="pct"/>
            <w:tcBorders>
              <w:top w:val="nil"/>
              <w:left w:val="nil"/>
              <w:bottom w:val="nil"/>
              <w:right w:val="nil"/>
            </w:tcBorders>
            <w:vAlign w:val="center"/>
            <w:hideMark/>
          </w:tcPr>
          <w:p w:rsidR="00000D6E" w:rsidRPr="00DB2665" w:rsidRDefault="00000D6E" w:rsidP="007958E9">
            <w:pPr>
              <w:widowControl w:val="0"/>
              <w:autoSpaceDE w:val="0"/>
              <w:autoSpaceDN w:val="0"/>
              <w:rPr>
                <w:rFonts w:eastAsia="Calibri"/>
                <w:sz w:val="22"/>
                <w:szCs w:val="22"/>
              </w:rPr>
            </w:pPr>
            <w:r w:rsidRPr="00DB2665">
              <w:rPr>
                <w:rFonts w:eastAsia="Calibri"/>
                <w:i/>
                <w:sz w:val="22"/>
                <w:szCs w:val="22"/>
              </w:rPr>
              <w:t>S005 Csepreg szennyvízelvezetési és -tisztítási rendszer</w:t>
            </w:r>
            <w:r w:rsidRPr="00DB2665">
              <w:rPr>
                <w:rFonts w:eastAsia="Calibri"/>
                <w:sz w:val="22"/>
                <w:szCs w:val="22"/>
              </w:rPr>
              <w:t xml:space="preserve"> 2019. évi rekonstrukciója </w:t>
            </w:r>
          </w:p>
        </w:tc>
        <w:tc>
          <w:tcPr>
            <w:tcW w:w="780" w:type="pct"/>
            <w:gridSpan w:val="2"/>
            <w:tcBorders>
              <w:top w:val="nil"/>
              <w:left w:val="nil"/>
              <w:bottom w:val="nil"/>
              <w:right w:val="nil"/>
            </w:tcBorders>
            <w:hideMark/>
          </w:tcPr>
          <w:p w:rsidR="00000D6E" w:rsidRPr="00DB2665" w:rsidRDefault="00000D6E" w:rsidP="007958E9">
            <w:pPr>
              <w:widowControl w:val="0"/>
              <w:autoSpaceDE w:val="0"/>
              <w:autoSpaceDN w:val="0"/>
              <w:jc w:val="right"/>
              <w:rPr>
                <w:rFonts w:eastAsia="Calibri"/>
                <w:sz w:val="22"/>
                <w:szCs w:val="22"/>
              </w:rPr>
            </w:pPr>
            <w:r w:rsidRPr="00DB2665">
              <w:rPr>
                <w:rFonts w:eastAsia="Calibri"/>
                <w:sz w:val="22"/>
                <w:szCs w:val="22"/>
              </w:rPr>
              <w:t>82 744 875</w:t>
            </w:r>
          </w:p>
        </w:tc>
        <w:tc>
          <w:tcPr>
            <w:tcW w:w="706" w:type="pct"/>
            <w:gridSpan w:val="2"/>
            <w:tcBorders>
              <w:top w:val="nil"/>
              <w:left w:val="nil"/>
              <w:bottom w:val="nil"/>
              <w:right w:val="nil"/>
            </w:tcBorders>
          </w:tcPr>
          <w:p w:rsidR="00000D6E" w:rsidRPr="00DB2665" w:rsidRDefault="00000D6E" w:rsidP="007958E9">
            <w:pPr>
              <w:widowControl w:val="0"/>
              <w:autoSpaceDE w:val="0"/>
              <w:autoSpaceDN w:val="0"/>
              <w:jc w:val="right"/>
              <w:rPr>
                <w:rFonts w:eastAsia="Calibri"/>
                <w:sz w:val="22"/>
                <w:szCs w:val="22"/>
              </w:rPr>
            </w:pPr>
            <w:r w:rsidRPr="00DB2665">
              <w:rPr>
                <w:rFonts w:eastAsia="Calibri"/>
                <w:sz w:val="22"/>
                <w:szCs w:val="22"/>
              </w:rPr>
              <w:t>2020. 06. 15.</w:t>
            </w:r>
          </w:p>
        </w:tc>
        <w:tc>
          <w:tcPr>
            <w:tcW w:w="768" w:type="pct"/>
            <w:gridSpan w:val="3"/>
            <w:tcBorders>
              <w:top w:val="nil"/>
              <w:left w:val="nil"/>
              <w:bottom w:val="nil"/>
              <w:right w:val="nil"/>
            </w:tcBorders>
          </w:tcPr>
          <w:p w:rsidR="00000D6E" w:rsidRPr="00DB2665" w:rsidRDefault="00000D6E" w:rsidP="007958E9">
            <w:pPr>
              <w:widowControl w:val="0"/>
              <w:autoSpaceDE w:val="0"/>
              <w:autoSpaceDN w:val="0"/>
              <w:jc w:val="right"/>
              <w:rPr>
                <w:rFonts w:eastAsia="Calibri"/>
                <w:sz w:val="22"/>
                <w:szCs w:val="22"/>
              </w:rPr>
            </w:pPr>
            <w:r w:rsidRPr="00DB2665">
              <w:rPr>
                <w:rFonts w:eastAsia="Calibri"/>
                <w:sz w:val="22"/>
                <w:szCs w:val="22"/>
              </w:rPr>
              <w:t>2020. 10. 16.</w:t>
            </w:r>
          </w:p>
          <w:p w:rsidR="00000D6E" w:rsidRPr="00DB2665" w:rsidRDefault="00000D6E" w:rsidP="007958E9">
            <w:pPr>
              <w:widowControl w:val="0"/>
              <w:autoSpaceDE w:val="0"/>
              <w:autoSpaceDN w:val="0"/>
              <w:jc w:val="right"/>
              <w:rPr>
                <w:rFonts w:eastAsia="Calibri"/>
                <w:sz w:val="22"/>
                <w:szCs w:val="22"/>
              </w:rPr>
            </w:pPr>
          </w:p>
        </w:tc>
        <w:tc>
          <w:tcPr>
            <w:tcW w:w="758" w:type="pct"/>
            <w:tcBorders>
              <w:top w:val="nil"/>
              <w:left w:val="nil"/>
              <w:bottom w:val="nil"/>
              <w:right w:val="nil"/>
            </w:tcBorders>
          </w:tcPr>
          <w:p w:rsidR="00000D6E" w:rsidRPr="00DB2665" w:rsidRDefault="00000D6E" w:rsidP="007958E9">
            <w:pPr>
              <w:widowControl w:val="0"/>
              <w:autoSpaceDE w:val="0"/>
              <w:autoSpaceDN w:val="0"/>
              <w:jc w:val="right"/>
              <w:rPr>
                <w:rFonts w:eastAsia="Calibri"/>
                <w:sz w:val="22"/>
                <w:szCs w:val="22"/>
              </w:rPr>
            </w:pPr>
            <w:r w:rsidRPr="00DB2665">
              <w:rPr>
                <w:rFonts w:eastAsia="Calibri"/>
                <w:sz w:val="22"/>
                <w:szCs w:val="22"/>
              </w:rPr>
              <w:t>2022. 03. 21.</w:t>
            </w:r>
          </w:p>
        </w:tc>
      </w:tr>
      <w:tr w:rsidR="00000D6E" w:rsidRPr="00DB2665" w:rsidTr="007D5A78">
        <w:trPr>
          <w:gridAfter w:val="1"/>
          <w:wAfter w:w="39" w:type="pct"/>
          <w:trHeight w:val="197"/>
        </w:trPr>
        <w:tc>
          <w:tcPr>
            <w:tcW w:w="1949" w:type="pct"/>
            <w:tcBorders>
              <w:top w:val="nil"/>
              <w:left w:val="nil"/>
              <w:bottom w:val="nil"/>
              <w:right w:val="nil"/>
            </w:tcBorders>
            <w:vAlign w:val="center"/>
            <w:hideMark/>
          </w:tcPr>
          <w:p w:rsidR="00000D6E" w:rsidRPr="00DB2665" w:rsidRDefault="00000D6E" w:rsidP="007958E9">
            <w:pPr>
              <w:widowControl w:val="0"/>
              <w:autoSpaceDE w:val="0"/>
              <w:autoSpaceDN w:val="0"/>
              <w:rPr>
                <w:rFonts w:eastAsia="Calibri"/>
                <w:sz w:val="22"/>
                <w:szCs w:val="22"/>
              </w:rPr>
            </w:pPr>
            <w:r w:rsidRPr="00DB2665">
              <w:rPr>
                <w:rFonts w:eastAsia="Calibri"/>
                <w:i/>
                <w:sz w:val="22"/>
                <w:szCs w:val="22"/>
              </w:rPr>
              <w:t>S015 Körmend szennyvízelvezetési és -tisztítási rendszer</w:t>
            </w:r>
            <w:r w:rsidRPr="00DB2665">
              <w:rPr>
                <w:rFonts w:eastAsia="Calibri"/>
                <w:sz w:val="22"/>
                <w:szCs w:val="22"/>
              </w:rPr>
              <w:t xml:space="preserve"> 2019. évi rekonstrukciója</w:t>
            </w:r>
          </w:p>
        </w:tc>
        <w:tc>
          <w:tcPr>
            <w:tcW w:w="780" w:type="pct"/>
            <w:gridSpan w:val="2"/>
            <w:tcBorders>
              <w:top w:val="nil"/>
              <w:left w:val="nil"/>
              <w:bottom w:val="nil"/>
              <w:right w:val="nil"/>
            </w:tcBorders>
            <w:hideMark/>
          </w:tcPr>
          <w:p w:rsidR="00000D6E" w:rsidRPr="00DB2665" w:rsidRDefault="00000D6E" w:rsidP="007958E9">
            <w:pPr>
              <w:widowControl w:val="0"/>
              <w:autoSpaceDE w:val="0"/>
              <w:autoSpaceDN w:val="0"/>
              <w:jc w:val="right"/>
              <w:rPr>
                <w:rFonts w:eastAsia="Calibri"/>
                <w:sz w:val="22"/>
                <w:szCs w:val="22"/>
              </w:rPr>
            </w:pPr>
            <w:r w:rsidRPr="00DB2665">
              <w:rPr>
                <w:rFonts w:eastAsia="Calibri"/>
                <w:sz w:val="22"/>
                <w:szCs w:val="22"/>
              </w:rPr>
              <w:t>101 572 300</w:t>
            </w:r>
          </w:p>
        </w:tc>
        <w:tc>
          <w:tcPr>
            <w:tcW w:w="706" w:type="pct"/>
            <w:gridSpan w:val="2"/>
            <w:tcBorders>
              <w:top w:val="nil"/>
              <w:left w:val="nil"/>
              <w:bottom w:val="nil"/>
              <w:right w:val="nil"/>
            </w:tcBorders>
          </w:tcPr>
          <w:p w:rsidR="00000D6E" w:rsidRPr="00DB2665" w:rsidRDefault="00000D6E" w:rsidP="007958E9">
            <w:pPr>
              <w:widowControl w:val="0"/>
              <w:autoSpaceDE w:val="0"/>
              <w:autoSpaceDN w:val="0"/>
              <w:jc w:val="right"/>
              <w:rPr>
                <w:rFonts w:eastAsia="Calibri"/>
                <w:sz w:val="22"/>
                <w:szCs w:val="22"/>
              </w:rPr>
            </w:pPr>
            <w:r w:rsidRPr="00DB2665">
              <w:rPr>
                <w:rFonts w:eastAsia="Calibri"/>
                <w:sz w:val="22"/>
                <w:szCs w:val="22"/>
              </w:rPr>
              <w:t>2020. 06. 25.</w:t>
            </w:r>
          </w:p>
        </w:tc>
        <w:tc>
          <w:tcPr>
            <w:tcW w:w="768" w:type="pct"/>
            <w:gridSpan w:val="3"/>
            <w:tcBorders>
              <w:top w:val="nil"/>
              <w:left w:val="nil"/>
              <w:bottom w:val="nil"/>
              <w:right w:val="nil"/>
            </w:tcBorders>
          </w:tcPr>
          <w:p w:rsidR="00000D6E" w:rsidRPr="00DB2665" w:rsidRDefault="00000D6E" w:rsidP="007958E9">
            <w:pPr>
              <w:widowControl w:val="0"/>
              <w:autoSpaceDE w:val="0"/>
              <w:autoSpaceDN w:val="0"/>
              <w:jc w:val="right"/>
              <w:rPr>
                <w:rFonts w:eastAsia="Calibri"/>
                <w:sz w:val="22"/>
                <w:szCs w:val="22"/>
              </w:rPr>
            </w:pPr>
            <w:r w:rsidRPr="00DB2665">
              <w:rPr>
                <w:rFonts w:eastAsia="Calibri"/>
                <w:sz w:val="22"/>
                <w:szCs w:val="22"/>
              </w:rPr>
              <w:t>2020. 12. 16.</w:t>
            </w:r>
          </w:p>
          <w:p w:rsidR="00000D6E" w:rsidRPr="00DB2665" w:rsidRDefault="00000D6E" w:rsidP="007958E9">
            <w:pPr>
              <w:widowControl w:val="0"/>
              <w:autoSpaceDE w:val="0"/>
              <w:autoSpaceDN w:val="0"/>
              <w:jc w:val="right"/>
              <w:rPr>
                <w:rFonts w:eastAsia="Calibri"/>
                <w:sz w:val="22"/>
                <w:szCs w:val="22"/>
              </w:rPr>
            </w:pPr>
          </w:p>
        </w:tc>
        <w:tc>
          <w:tcPr>
            <w:tcW w:w="758" w:type="pct"/>
            <w:tcBorders>
              <w:top w:val="nil"/>
              <w:left w:val="nil"/>
              <w:bottom w:val="nil"/>
              <w:right w:val="nil"/>
            </w:tcBorders>
          </w:tcPr>
          <w:p w:rsidR="00000D6E" w:rsidRPr="00DB2665" w:rsidRDefault="00000D6E" w:rsidP="007958E9">
            <w:pPr>
              <w:widowControl w:val="0"/>
              <w:autoSpaceDE w:val="0"/>
              <w:autoSpaceDN w:val="0"/>
              <w:jc w:val="right"/>
              <w:rPr>
                <w:rFonts w:eastAsia="Calibri"/>
                <w:sz w:val="22"/>
                <w:szCs w:val="22"/>
              </w:rPr>
            </w:pPr>
            <w:r w:rsidRPr="00DB2665">
              <w:rPr>
                <w:rFonts w:eastAsia="Calibri"/>
                <w:sz w:val="22"/>
                <w:szCs w:val="22"/>
              </w:rPr>
              <w:t>2022. 03. 25.</w:t>
            </w:r>
          </w:p>
        </w:tc>
      </w:tr>
      <w:tr w:rsidR="00000D6E" w:rsidRPr="00DB2665" w:rsidTr="007D5A78">
        <w:trPr>
          <w:gridAfter w:val="1"/>
          <w:wAfter w:w="39" w:type="pct"/>
          <w:trHeight w:val="266"/>
        </w:trPr>
        <w:tc>
          <w:tcPr>
            <w:tcW w:w="2007" w:type="pct"/>
            <w:gridSpan w:val="2"/>
            <w:tcBorders>
              <w:top w:val="nil"/>
              <w:left w:val="nil"/>
              <w:bottom w:val="nil"/>
              <w:right w:val="nil"/>
            </w:tcBorders>
            <w:vAlign w:val="center"/>
            <w:hideMark/>
          </w:tcPr>
          <w:p w:rsidR="00000D6E" w:rsidRPr="00DB2665" w:rsidRDefault="00000D6E" w:rsidP="007958E9">
            <w:pPr>
              <w:widowControl w:val="0"/>
              <w:autoSpaceDE w:val="0"/>
              <w:autoSpaceDN w:val="0"/>
              <w:ind w:right="317"/>
              <w:rPr>
                <w:rFonts w:eastAsia="Calibri"/>
                <w:sz w:val="22"/>
                <w:szCs w:val="22"/>
              </w:rPr>
            </w:pPr>
            <w:r w:rsidRPr="00DB2665">
              <w:rPr>
                <w:rFonts w:eastAsia="Calibri"/>
                <w:i/>
                <w:sz w:val="22"/>
                <w:szCs w:val="22"/>
              </w:rPr>
              <w:t>S041 Őriszentpéter szennyvízelvez. és –tiszt. rendszer</w:t>
            </w:r>
            <w:r w:rsidRPr="00DB2665">
              <w:rPr>
                <w:rFonts w:eastAsia="Calibri"/>
                <w:sz w:val="22"/>
                <w:szCs w:val="22"/>
              </w:rPr>
              <w:t xml:space="preserve"> 2019. évi rekonstrukciója</w:t>
            </w:r>
          </w:p>
        </w:tc>
        <w:tc>
          <w:tcPr>
            <w:tcW w:w="722" w:type="pct"/>
            <w:tcBorders>
              <w:top w:val="nil"/>
              <w:left w:val="nil"/>
              <w:bottom w:val="nil"/>
              <w:right w:val="nil"/>
            </w:tcBorders>
            <w:hideMark/>
          </w:tcPr>
          <w:p w:rsidR="00000D6E" w:rsidRPr="00DB2665" w:rsidRDefault="00000D6E" w:rsidP="007958E9">
            <w:pPr>
              <w:widowControl w:val="0"/>
              <w:autoSpaceDE w:val="0"/>
              <w:autoSpaceDN w:val="0"/>
              <w:jc w:val="right"/>
              <w:rPr>
                <w:rFonts w:eastAsia="Calibri"/>
                <w:sz w:val="22"/>
                <w:szCs w:val="22"/>
              </w:rPr>
            </w:pPr>
            <w:r w:rsidRPr="00DB2665">
              <w:rPr>
                <w:rFonts w:eastAsia="Calibri"/>
                <w:sz w:val="22"/>
                <w:szCs w:val="22"/>
              </w:rPr>
              <w:t>22 924 000</w:t>
            </w:r>
          </w:p>
        </w:tc>
        <w:tc>
          <w:tcPr>
            <w:tcW w:w="706" w:type="pct"/>
            <w:gridSpan w:val="2"/>
            <w:tcBorders>
              <w:top w:val="nil"/>
              <w:left w:val="nil"/>
              <w:bottom w:val="nil"/>
              <w:right w:val="nil"/>
            </w:tcBorders>
          </w:tcPr>
          <w:p w:rsidR="00000D6E" w:rsidRPr="00DB2665" w:rsidRDefault="00000D6E" w:rsidP="007958E9">
            <w:pPr>
              <w:widowControl w:val="0"/>
              <w:autoSpaceDE w:val="0"/>
              <w:autoSpaceDN w:val="0"/>
              <w:jc w:val="right"/>
              <w:rPr>
                <w:rFonts w:eastAsia="Calibri"/>
                <w:sz w:val="22"/>
                <w:szCs w:val="22"/>
              </w:rPr>
            </w:pPr>
            <w:r w:rsidRPr="00DB2665">
              <w:rPr>
                <w:rFonts w:eastAsia="Calibri"/>
                <w:sz w:val="22"/>
                <w:szCs w:val="22"/>
              </w:rPr>
              <w:t xml:space="preserve">2021. 05. 21. </w:t>
            </w:r>
          </w:p>
        </w:tc>
        <w:tc>
          <w:tcPr>
            <w:tcW w:w="768" w:type="pct"/>
            <w:gridSpan w:val="3"/>
            <w:tcBorders>
              <w:top w:val="nil"/>
              <w:left w:val="nil"/>
              <w:bottom w:val="nil"/>
              <w:right w:val="nil"/>
            </w:tcBorders>
          </w:tcPr>
          <w:p w:rsidR="00000D6E" w:rsidRPr="00DB2665" w:rsidRDefault="00000D6E" w:rsidP="007958E9">
            <w:pPr>
              <w:widowControl w:val="0"/>
              <w:autoSpaceDE w:val="0"/>
              <w:autoSpaceDN w:val="0"/>
              <w:jc w:val="right"/>
              <w:rPr>
                <w:rFonts w:eastAsia="Calibri"/>
                <w:sz w:val="22"/>
                <w:szCs w:val="22"/>
              </w:rPr>
            </w:pPr>
            <w:r w:rsidRPr="00DB2665">
              <w:rPr>
                <w:rFonts w:eastAsia="Calibri"/>
                <w:sz w:val="22"/>
                <w:szCs w:val="22"/>
              </w:rPr>
              <w:t xml:space="preserve">2021. 07. 26. </w:t>
            </w:r>
          </w:p>
        </w:tc>
        <w:tc>
          <w:tcPr>
            <w:tcW w:w="758" w:type="pct"/>
            <w:tcBorders>
              <w:top w:val="nil"/>
              <w:left w:val="nil"/>
              <w:bottom w:val="nil"/>
              <w:right w:val="nil"/>
            </w:tcBorders>
          </w:tcPr>
          <w:p w:rsidR="00000D6E" w:rsidRPr="00DB2665" w:rsidRDefault="00000D6E" w:rsidP="007958E9">
            <w:pPr>
              <w:widowControl w:val="0"/>
              <w:autoSpaceDE w:val="0"/>
              <w:autoSpaceDN w:val="0"/>
              <w:jc w:val="right"/>
              <w:rPr>
                <w:rFonts w:eastAsia="Calibri"/>
                <w:sz w:val="22"/>
                <w:szCs w:val="22"/>
              </w:rPr>
            </w:pPr>
            <w:r w:rsidRPr="00DB2665">
              <w:rPr>
                <w:rFonts w:eastAsia="Calibri"/>
                <w:sz w:val="22"/>
                <w:szCs w:val="22"/>
              </w:rPr>
              <w:t>2022. 03. 29.</w:t>
            </w:r>
          </w:p>
        </w:tc>
      </w:tr>
      <w:tr w:rsidR="00000D6E" w:rsidRPr="00DB2665" w:rsidTr="007D5A78">
        <w:trPr>
          <w:gridAfter w:val="1"/>
          <w:wAfter w:w="39" w:type="pct"/>
          <w:trHeight w:val="526"/>
        </w:trPr>
        <w:tc>
          <w:tcPr>
            <w:tcW w:w="1949" w:type="pct"/>
            <w:tcBorders>
              <w:top w:val="nil"/>
              <w:left w:val="nil"/>
              <w:bottom w:val="nil"/>
              <w:right w:val="nil"/>
            </w:tcBorders>
            <w:vAlign w:val="center"/>
            <w:hideMark/>
          </w:tcPr>
          <w:p w:rsidR="00000D6E" w:rsidRPr="00DB2665" w:rsidRDefault="00000D6E" w:rsidP="007958E9">
            <w:pPr>
              <w:widowControl w:val="0"/>
              <w:autoSpaceDE w:val="0"/>
              <w:autoSpaceDN w:val="0"/>
              <w:rPr>
                <w:rFonts w:eastAsia="Calibri"/>
                <w:i/>
                <w:sz w:val="22"/>
                <w:szCs w:val="22"/>
              </w:rPr>
            </w:pPr>
          </w:p>
          <w:p w:rsidR="00000D6E" w:rsidRPr="00DB2665" w:rsidRDefault="00000D6E" w:rsidP="007958E9">
            <w:pPr>
              <w:widowControl w:val="0"/>
              <w:autoSpaceDE w:val="0"/>
              <w:autoSpaceDN w:val="0"/>
              <w:rPr>
                <w:rFonts w:eastAsia="Calibri"/>
                <w:sz w:val="22"/>
                <w:szCs w:val="22"/>
              </w:rPr>
            </w:pPr>
            <w:r w:rsidRPr="00DB2665">
              <w:rPr>
                <w:rFonts w:eastAsia="Calibri"/>
                <w:i/>
                <w:sz w:val="22"/>
                <w:szCs w:val="22"/>
              </w:rPr>
              <w:t>V036 Körmend ivóvíz ellátási rendszer</w:t>
            </w:r>
            <w:r w:rsidRPr="00DB2665">
              <w:rPr>
                <w:rFonts w:eastAsia="Calibri"/>
                <w:sz w:val="22"/>
                <w:szCs w:val="22"/>
              </w:rPr>
              <w:t xml:space="preserve"> </w:t>
            </w:r>
          </w:p>
          <w:p w:rsidR="00000D6E" w:rsidRPr="00DB2665" w:rsidRDefault="00000D6E" w:rsidP="007958E9">
            <w:pPr>
              <w:widowControl w:val="0"/>
              <w:autoSpaceDE w:val="0"/>
              <w:autoSpaceDN w:val="0"/>
              <w:rPr>
                <w:rFonts w:eastAsia="Calibri"/>
                <w:sz w:val="22"/>
                <w:szCs w:val="22"/>
              </w:rPr>
            </w:pPr>
            <w:r w:rsidRPr="00DB2665">
              <w:rPr>
                <w:rFonts w:eastAsia="Calibri"/>
                <w:sz w:val="22"/>
                <w:szCs w:val="22"/>
              </w:rPr>
              <w:t>2019. évi rekonstrukciója</w:t>
            </w:r>
          </w:p>
        </w:tc>
        <w:tc>
          <w:tcPr>
            <w:tcW w:w="780" w:type="pct"/>
            <w:gridSpan w:val="2"/>
            <w:tcBorders>
              <w:top w:val="nil"/>
              <w:left w:val="nil"/>
              <w:bottom w:val="nil"/>
              <w:right w:val="nil"/>
            </w:tcBorders>
            <w:hideMark/>
          </w:tcPr>
          <w:p w:rsidR="00000D6E" w:rsidRPr="00DB2665" w:rsidRDefault="00000D6E" w:rsidP="007958E9">
            <w:pPr>
              <w:widowControl w:val="0"/>
              <w:autoSpaceDE w:val="0"/>
              <w:autoSpaceDN w:val="0"/>
              <w:jc w:val="right"/>
              <w:rPr>
                <w:rFonts w:eastAsia="Calibri"/>
                <w:sz w:val="22"/>
                <w:szCs w:val="22"/>
              </w:rPr>
            </w:pPr>
          </w:p>
          <w:p w:rsidR="00000D6E" w:rsidRPr="00DB2665" w:rsidRDefault="00000D6E" w:rsidP="007958E9">
            <w:pPr>
              <w:widowControl w:val="0"/>
              <w:autoSpaceDE w:val="0"/>
              <w:autoSpaceDN w:val="0"/>
              <w:jc w:val="right"/>
              <w:rPr>
                <w:rFonts w:eastAsia="Calibri"/>
                <w:sz w:val="22"/>
                <w:szCs w:val="22"/>
              </w:rPr>
            </w:pPr>
          </w:p>
          <w:p w:rsidR="00000D6E" w:rsidRPr="00DB2665" w:rsidRDefault="00000D6E" w:rsidP="007958E9">
            <w:pPr>
              <w:widowControl w:val="0"/>
              <w:autoSpaceDE w:val="0"/>
              <w:autoSpaceDN w:val="0"/>
              <w:jc w:val="right"/>
              <w:rPr>
                <w:rFonts w:eastAsia="Calibri"/>
                <w:sz w:val="22"/>
                <w:szCs w:val="22"/>
              </w:rPr>
            </w:pPr>
          </w:p>
          <w:p w:rsidR="00000D6E" w:rsidRPr="00DB2665" w:rsidRDefault="00000D6E" w:rsidP="007958E9">
            <w:pPr>
              <w:widowControl w:val="0"/>
              <w:autoSpaceDE w:val="0"/>
              <w:autoSpaceDN w:val="0"/>
              <w:jc w:val="right"/>
              <w:rPr>
                <w:rFonts w:eastAsia="Calibri"/>
                <w:sz w:val="22"/>
                <w:szCs w:val="22"/>
              </w:rPr>
            </w:pPr>
            <w:r w:rsidRPr="00DB2665">
              <w:rPr>
                <w:rFonts w:eastAsia="Calibri"/>
                <w:sz w:val="22"/>
                <w:szCs w:val="22"/>
              </w:rPr>
              <w:t>37 262 840</w:t>
            </w:r>
          </w:p>
        </w:tc>
        <w:tc>
          <w:tcPr>
            <w:tcW w:w="706" w:type="pct"/>
            <w:gridSpan w:val="2"/>
            <w:tcBorders>
              <w:top w:val="nil"/>
              <w:left w:val="nil"/>
              <w:bottom w:val="nil"/>
              <w:right w:val="nil"/>
            </w:tcBorders>
          </w:tcPr>
          <w:p w:rsidR="00000D6E" w:rsidRPr="00DB2665" w:rsidRDefault="00000D6E" w:rsidP="007958E9">
            <w:pPr>
              <w:widowControl w:val="0"/>
              <w:autoSpaceDE w:val="0"/>
              <w:autoSpaceDN w:val="0"/>
              <w:jc w:val="right"/>
              <w:rPr>
                <w:rFonts w:eastAsia="Calibri"/>
                <w:sz w:val="22"/>
                <w:szCs w:val="22"/>
              </w:rPr>
            </w:pPr>
          </w:p>
          <w:p w:rsidR="00000D6E" w:rsidRPr="00DB2665" w:rsidRDefault="00000D6E" w:rsidP="007958E9">
            <w:pPr>
              <w:widowControl w:val="0"/>
              <w:autoSpaceDE w:val="0"/>
              <w:autoSpaceDN w:val="0"/>
              <w:jc w:val="right"/>
              <w:rPr>
                <w:rFonts w:eastAsia="Calibri"/>
                <w:sz w:val="22"/>
                <w:szCs w:val="22"/>
              </w:rPr>
            </w:pPr>
          </w:p>
          <w:p w:rsidR="00000D6E" w:rsidRPr="00DB2665" w:rsidRDefault="00000D6E" w:rsidP="007958E9">
            <w:pPr>
              <w:widowControl w:val="0"/>
              <w:autoSpaceDE w:val="0"/>
              <w:autoSpaceDN w:val="0"/>
              <w:jc w:val="right"/>
              <w:rPr>
                <w:rFonts w:eastAsia="Calibri"/>
                <w:sz w:val="22"/>
                <w:szCs w:val="22"/>
              </w:rPr>
            </w:pPr>
          </w:p>
          <w:p w:rsidR="00000D6E" w:rsidRPr="00DB2665" w:rsidRDefault="00000D6E" w:rsidP="007958E9">
            <w:pPr>
              <w:widowControl w:val="0"/>
              <w:autoSpaceDE w:val="0"/>
              <w:autoSpaceDN w:val="0"/>
              <w:jc w:val="right"/>
              <w:rPr>
                <w:rFonts w:eastAsia="Calibri"/>
                <w:sz w:val="22"/>
                <w:szCs w:val="22"/>
              </w:rPr>
            </w:pPr>
            <w:r w:rsidRPr="00DB2665">
              <w:rPr>
                <w:rFonts w:eastAsia="Calibri"/>
                <w:sz w:val="22"/>
                <w:szCs w:val="22"/>
              </w:rPr>
              <w:t>2021. 06. 07.</w:t>
            </w:r>
          </w:p>
        </w:tc>
        <w:tc>
          <w:tcPr>
            <w:tcW w:w="768" w:type="pct"/>
            <w:gridSpan w:val="3"/>
            <w:tcBorders>
              <w:top w:val="nil"/>
              <w:left w:val="nil"/>
              <w:bottom w:val="nil"/>
              <w:right w:val="nil"/>
            </w:tcBorders>
          </w:tcPr>
          <w:p w:rsidR="00000D6E" w:rsidRPr="00DB2665" w:rsidRDefault="00000D6E" w:rsidP="007958E9">
            <w:pPr>
              <w:widowControl w:val="0"/>
              <w:autoSpaceDE w:val="0"/>
              <w:autoSpaceDN w:val="0"/>
              <w:jc w:val="right"/>
              <w:rPr>
                <w:rFonts w:eastAsia="Calibri"/>
                <w:sz w:val="22"/>
                <w:szCs w:val="22"/>
              </w:rPr>
            </w:pPr>
          </w:p>
          <w:p w:rsidR="00000D6E" w:rsidRPr="00DB2665" w:rsidRDefault="00000D6E" w:rsidP="007958E9">
            <w:pPr>
              <w:widowControl w:val="0"/>
              <w:autoSpaceDE w:val="0"/>
              <w:autoSpaceDN w:val="0"/>
              <w:jc w:val="right"/>
              <w:rPr>
                <w:rFonts w:eastAsia="Calibri"/>
                <w:sz w:val="22"/>
                <w:szCs w:val="22"/>
              </w:rPr>
            </w:pPr>
          </w:p>
          <w:p w:rsidR="00000D6E" w:rsidRPr="00DB2665" w:rsidRDefault="00000D6E" w:rsidP="007958E9">
            <w:pPr>
              <w:widowControl w:val="0"/>
              <w:autoSpaceDE w:val="0"/>
              <w:autoSpaceDN w:val="0"/>
              <w:jc w:val="right"/>
              <w:rPr>
                <w:rFonts w:eastAsia="Calibri"/>
                <w:sz w:val="22"/>
                <w:szCs w:val="22"/>
              </w:rPr>
            </w:pPr>
          </w:p>
          <w:p w:rsidR="00000D6E" w:rsidRPr="00DB2665" w:rsidRDefault="00000D6E" w:rsidP="007958E9">
            <w:pPr>
              <w:widowControl w:val="0"/>
              <w:autoSpaceDE w:val="0"/>
              <w:autoSpaceDN w:val="0"/>
              <w:jc w:val="right"/>
              <w:rPr>
                <w:rFonts w:eastAsia="Calibri"/>
                <w:sz w:val="22"/>
                <w:szCs w:val="22"/>
              </w:rPr>
            </w:pPr>
            <w:r w:rsidRPr="00DB2665">
              <w:rPr>
                <w:rFonts w:eastAsia="Calibri"/>
                <w:sz w:val="22"/>
                <w:szCs w:val="22"/>
              </w:rPr>
              <w:t>2021. 07. 30.</w:t>
            </w:r>
          </w:p>
        </w:tc>
        <w:tc>
          <w:tcPr>
            <w:tcW w:w="758" w:type="pct"/>
            <w:tcBorders>
              <w:top w:val="nil"/>
              <w:left w:val="nil"/>
              <w:bottom w:val="nil"/>
              <w:right w:val="nil"/>
            </w:tcBorders>
          </w:tcPr>
          <w:p w:rsidR="00000D6E" w:rsidRPr="00DB2665" w:rsidRDefault="00000D6E" w:rsidP="007958E9">
            <w:pPr>
              <w:widowControl w:val="0"/>
              <w:autoSpaceDE w:val="0"/>
              <w:autoSpaceDN w:val="0"/>
              <w:jc w:val="right"/>
              <w:rPr>
                <w:rFonts w:eastAsia="Calibri"/>
                <w:sz w:val="22"/>
                <w:szCs w:val="22"/>
              </w:rPr>
            </w:pPr>
          </w:p>
          <w:p w:rsidR="00000D6E" w:rsidRPr="00DB2665" w:rsidRDefault="00000D6E" w:rsidP="007958E9">
            <w:pPr>
              <w:widowControl w:val="0"/>
              <w:autoSpaceDE w:val="0"/>
              <w:autoSpaceDN w:val="0"/>
              <w:jc w:val="right"/>
              <w:rPr>
                <w:rFonts w:eastAsia="Calibri"/>
                <w:sz w:val="22"/>
                <w:szCs w:val="22"/>
              </w:rPr>
            </w:pPr>
          </w:p>
          <w:p w:rsidR="00000D6E" w:rsidRPr="00DB2665" w:rsidRDefault="00000D6E" w:rsidP="007958E9">
            <w:pPr>
              <w:widowControl w:val="0"/>
              <w:autoSpaceDE w:val="0"/>
              <w:autoSpaceDN w:val="0"/>
              <w:jc w:val="right"/>
              <w:rPr>
                <w:rFonts w:eastAsia="Calibri"/>
                <w:sz w:val="22"/>
                <w:szCs w:val="22"/>
              </w:rPr>
            </w:pPr>
          </w:p>
          <w:p w:rsidR="00000D6E" w:rsidRPr="00DB2665" w:rsidRDefault="00000D6E" w:rsidP="007958E9">
            <w:pPr>
              <w:widowControl w:val="0"/>
              <w:autoSpaceDE w:val="0"/>
              <w:autoSpaceDN w:val="0"/>
              <w:jc w:val="right"/>
              <w:rPr>
                <w:rFonts w:eastAsia="Calibri"/>
                <w:sz w:val="22"/>
                <w:szCs w:val="22"/>
              </w:rPr>
            </w:pPr>
            <w:r w:rsidRPr="00DB2665">
              <w:rPr>
                <w:rFonts w:eastAsia="Calibri"/>
                <w:sz w:val="22"/>
                <w:szCs w:val="22"/>
              </w:rPr>
              <w:t>2022. 04. 20.</w:t>
            </w:r>
          </w:p>
        </w:tc>
      </w:tr>
      <w:tr w:rsidR="00000D6E" w:rsidRPr="00DB2665" w:rsidTr="007D5A78">
        <w:trPr>
          <w:gridAfter w:val="1"/>
          <w:wAfter w:w="39" w:type="pct"/>
          <w:trHeight w:val="292"/>
        </w:trPr>
        <w:tc>
          <w:tcPr>
            <w:tcW w:w="1949" w:type="pct"/>
            <w:tcBorders>
              <w:top w:val="nil"/>
              <w:left w:val="nil"/>
              <w:bottom w:val="nil"/>
              <w:right w:val="nil"/>
            </w:tcBorders>
            <w:vAlign w:val="center"/>
            <w:hideMark/>
          </w:tcPr>
          <w:p w:rsidR="00000D6E" w:rsidRPr="00DB2665" w:rsidRDefault="00000D6E" w:rsidP="007958E9">
            <w:pPr>
              <w:widowControl w:val="0"/>
              <w:autoSpaceDE w:val="0"/>
              <w:autoSpaceDN w:val="0"/>
              <w:rPr>
                <w:rFonts w:eastAsia="Calibri"/>
                <w:sz w:val="22"/>
                <w:szCs w:val="22"/>
              </w:rPr>
            </w:pPr>
            <w:r w:rsidRPr="00DB2665">
              <w:rPr>
                <w:rFonts w:eastAsia="Calibri"/>
                <w:i/>
                <w:sz w:val="22"/>
                <w:szCs w:val="22"/>
              </w:rPr>
              <w:t>V043 Ivánc ivóvíz ellátási rendszer</w:t>
            </w:r>
            <w:r w:rsidRPr="00DB2665">
              <w:rPr>
                <w:rFonts w:eastAsia="Calibri"/>
                <w:sz w:val="22"/>
                <w:szCs w:val="22"/>
              </w:rPr>
              <w:t xml:space="preserve"> </w:t>
            </w:r>
          </w:p>
          <w:p w:rsidR="00000D6E" w:rsidRPr="00DB2665" w:rsidRDefault="00000D6E" w:rsidP="007958E9">
            <w:pPr>
              <w:widowControl w:val="0"/>
              <w:autoSpaceDE w:val="0"/>
              <w:autoSpaceDN w:val="0"/>
              <w:rPr>
                <w:rFonts w:eastAsia="Calibri"/>
                <w:sz w:val="22"/>
                <w:szCs w:val="22"/>
              </w:rPr>
            </w:pPr>
            <w:r w:rsidRPr="00DB2665">
              <w:rPr>
                <w:rFonts w:eastAsia="Calibri"/>
                <w:sz w:val="22"/>
                <w:szCs w:val="22"/>
              </w:rPr>
              <w:t>2019. évi rekonstrukciója</w:t>
            </w:r>
          </w:p>
        </w:tc>
        <w:tc>
          <w:tcPr>
            <w:tcW w:w="780" w:type="pct"/>
            <w:gridSpan w:val="2"/>
            <w:tcBorders>
              <w:top w:val="nil"/>
              <w:left w:val="nil"/>
              <w:bottom w:val="nil"/>
              <w:right w:val="nil"/>
            </w:tcBorders>
            <w:hideMark/>
          </w:tcPr>
          <w:p w:rsidR="00000D6E" w:rsidRPr="00DB2665" w:rsidRDefault="00000D6E" w:rsidP="007958E9">
            <w:pPr>
              <w:widowControl w:val="0"/>
              <w:autoSpaceDE w:val="0"/>
              <w:autoSpaceDN w:val="0"/>
              <w:jc w:val="right"/>
              <w:rPr>
                <w:rFonts w:eastAsia="Calibri"/>
                <w:sz w:val="22"/>
                <w:szCs w:val="22"/>
              </w:rPr>
            </w:pPr>
            <w:r w:rsidRPr="00DB2665">
              <w:rPr>
                <w:rFonts w:eastAsia="Calibri"/>
                <w:sz w:val="22"/>
                <w:szCs w:val="22"/>
              </w:rPr>
              <w:t>15 525 000</w:t>
            </w:r>
          </w:p>
        </w:tc>
        <w:tc>
          <w:tcPr>
            <w:tcW w:w="706" w:type="pct"/>
            <w:gridSpan w:val="2"/>
            <w:tcBorders>
              <w:top w:val="nil"/>
              <w:left w:val="nil"/>
              <w:bottom w:val="nil"/>
              <w:right w:val="nil"/>
            </w:tcBorders>
          </w:tcPr>
          <w:p w:rsidR="00000D6E" w:rsidRPr="00DB2665" w:rsidRDefault="00000D6E" w:rsidP="007958E9">
            <w:pPr>
              <w:widowControl w:val="0"/>
              <w:autoSpaceDE w:val="0"/>
              <w:autoSpaceDN w:val="0"/>
              <w:jc w:val="right"/>
              <w:rPr>
                <w:rFonts w:eastAsia="Calibri"/>
                <w:sz w:val="22"/>
                <w:szCs w:val="22"/>
              </w:rPr>
            </w:pPr>
            <w:r w:rsidRPr="00DB2665">
              <w:rPr>
                <w:rFonts w:eastAsia="Calibri"/>
                <w:sz w:val="22"/>
                <w:szCs w:val="22"/>
              </w:rPr>
              <w:t>2020. 12. 17.</w:t>
            </w:r>
          </w:p>
        </w:tc>
        <w:tc>
          <w:tcPr>
            <w:tcW w:w="768" w:type="pct"/>
            <w:gridSpan w:val="3"/>
            <w:tcBorders>
              <w:top w:val="nil"/>
              <w:left w:val="nil"/>
              <w:bottom w:val="nil"/>
              <w:right w:val="nil"/>
            </w:tcBorders>
          </w:tcPr>
          <w:p w:rsidR="00000D6E" w:rsidRPr="00DB2665" w:rsidRDefault="00000D6E" w:rsidP="007958E9">
            <w:pPr>
              <w:widowControl w:val="0"/>
              <w:autoSpaceDE w:val="0"/>
              <w:autoSpaceDN w:val="0"/>
              <w:jc w:val="right"/>
              <w:rPr>
                <w:rFonts w:eastAsia="Calibri"/>
                <w:sz w:val="22"/>
                <w:szCs w:val="22"/>
              </w:rPr>
            </w:pPr>
            <w:r w:rsidRPr="00DB2665">
              <w:rPr>
                <w:rFonts w:eastAsia="Calibri"/>
                <w:sz w:val="22"/>
                <w:szCs w:val="22"/>
              </w:rPr>
              <w:t>2021. 02. 26.</w:t>
            </w:r>
          </w:p>
        </w:tc>
        <w:tc>
          <w:tcPr>
            <w:tcW w:w="758" w:type="pct"/>
            <w:tcBorders>
              <w:top w:val="nil"/>
              <w:left w:val="nil"/>
              <w:bottom w:val="nil"/>
              <w:right w:val="nil"/>
            </w:tcBorders>
          </w:tcPr>
          <w:p w:rsidR="00000D6E" w:rsidRPr="00DB2665" w:rsidRDefault="00000D6E" w:rsidP="007958E9">
            <w:pPr>
              <w:widowControl w:val="0"/>
              <w:autoSpaceDE w:val="0"/>
              <w:autoSpaceDN w:val="0"/>
              <w:jc w:val="right"/>
              <w:rPr>
                <w:rFonts w:eastAsia="Calibri"/>
                <w:sz w:val="22"/>
                <w:szCs w:val="22"/>
              </w:rPr>
            </w:pPr>
            <w:r w:rsidRPr="00DB2665">
              <w:rPr>
                <w:rFonts w:eastAsia="Calibri"/>
                <w:sz w:val="22"/>
                <w:szCs w:val="22"/>
              </w:rPr>
              <w:t>2022. 03. 21.</w:t>
            </w:r>
          </w:p>
        </w:tc>
      </w:tr>
      <w:tr w:rsidR="00000D6E" w:rsidRPr="00DB2665" w:rsidTr="007D5A78">
        <w:trPr>
          <w:gridAfter w:val="1"/>
          <w:wAfter w:w="39" w:type="pct"/>
          <w:trHeight w:val="292"/>
        </w:trPr>
        <w:tc>
          <w:tcPr>
            <w:tcW w:w="1949" w:type="pct"/>
            <w:tcBorders>
              <w:top w:val="nil"/>
              <w:left w:val="nil"/>
              <w:bottom w:val="nil"/>
              <w:right w:val="nil"/>
            </w:tcBorders>
            <w:vAlign w:val="center"/>
            <w:hideMark/>
          </w:tcPr>
          <w:p w:rsidR="00000D6E" w:rsidRPr="00DB2665" w:rsidRDefault="00000D6E" w:rsidP="007958E9">
            <w:pPr>
              <w:widowControl w:val="0"/>
              <w:autoSpaceDE w:val="0"/>
              <w:autoSpaceDN w:val="0"/>
              <w:rPr>
                <w:rFonts w:eastAsia="Calibri"/>
                <w:i/>
                <w:sz w:val="22"/>
                <w:szCs w:val="22"/>
              </w:rPr>
            </w:pPr>
            <w:r w:rsidRPr="00DB2665">
              <w:rPr>
                <w:rFonts w:eastAsia="Calibri"/>
                <w:i/>
                <w:sz w:val="22"/>
                <w:szCs w:val="22"/>
              </w:rPr>
              <w:t xml:space="preserve">V059 Celldömölk ivóvíz ellátási rendszer </w:t>
            </w:r>
            <w:r w:rsidRPr="00DB2665">
              <w:rPr>
                <w:rFonts w:eastAsia="Calibri"/>
                <w:sz w:val="22"/>
                <w:szCs w:val="22"/>
              </w:rPr>
              <w:t>2019. évi rekonstrukciója</w:t>
            </w:r>
          </w:p>
        </w:tc>
        <w:tc>
          <w:tcPr>
            <w:tcW w:w="780" w:type="pct"/>
            <w:gridSpan w:val="2"/>
            <w:tcBorders>
              <w:top w:val="nil"/>
              <w:left w:val="nil"/>
              <w:bottom w:val="nil"/>
              <w:right w:val="nil"/>
            </w:tcBorders>
            <w:hideMark/>
          </w:tcPr>
          <w:p w:rsidR="00000D6E" w:rsidRPr="00DB2665" w:rsidRDefault="00000D6E" w:rsidP="007958E9">
            <w:pPr>
              <w:widowControl w:val="0"/>
              <w:autoSpaceDE w:val="0"/>
              <w:autoSpaceDN w:val="0"/>
              <w:jc w:val="right"/>
              <w:rPr>
                <w:rFonts w:eastAsia="Calibri"/>
                <w:sz w:val="22"/>
                <w:szCs w:val="22"/>
              </w:rPr>
            </w:pPr>
            <w:r w:rsidRPr="00DB2665">
              <w:rPr>
                <w:rFonts w:eastAsia="Calibri"/>
                <w:sz w:val="22"/>
                <w:szCs w:val="22"/>
              </w:rPr>
              <w:t>139 972 110</w:t>
            </w:r>
          </w:p>
        </w:tc>
        <w:tc>
          <w:tcPr>
            <w:tcW w:w="706" w:type="pct"/>
            <w:gridSpan w:val="2"/>
            <w:tcBorders>
              <w:top w:val="nil"/>
              <w:left w:val="nil"/>
              <w:bottom w:val="nil"/>
              <w:right w:val="nil"/>
            </w:tcBorders>
          </w:tcPr>
          <w:p w:rsidR="00000D6E" w:rsidRPr="00DB2665" w:rsidRDefault="00000D6E" w:rsidP="007958E9">
            <w:pPr>
              <w:widowControl w:val="0"/>
              <w:autoSpaceDE w:val="0"/>
              <w:autoSpaceDN w:val="0"/>
              <w:jc w:val="right"/>
              <w:rPr>
                <w:rFonts w:eastAsia="Calibri"/>
                <w:sz w:val="22"/>
                <w:szCs w:val="22"/>
              </w:rPr>
            </w:pPr>
            <w:r w:rsidRPr="00DB2665">
              <w:rPr>
                <w:rFonts w:eastAsia="Calibri"/>
                <w:sz w:val="22"/>
                <w:szCs w:val="22"/>
              </w:rPr>
              <w:t xml:space="preserve">2021. 06. 07. </w:t>
            </w:r>
          </w:p>
        </w:tc>
        <w:tc>
          <w:tcPr>
            <w:tcW w:w="768" w:type="pct"/>
            <w:gridSpan w:val="3"/>
            <w:tcBorders>
              <w:top w:val="nil"/>
              <w:left w:val="nil"/>
              <w:bottom w:val="nil"/>
              <w:right w:val="nil"/>
            </w:tcBorders>
          </w:tcPr>
          <w:p w:rsidR="00000D6E" w:rsidRPr="00DB2665" w:rsidRDefault="00000D6E" w:rsidP="007958E9">
            <w:pPr>
              <w:widowControl w:val="0"/>
              <w:autoSpaceDE w:val="0"/>
              <w:autoSpaceDN w:val="0"/>
              <w:jc w:val="right"/>
              <w:rPr>
                <w:rFonts w:eastAsia="Calibri"/>
                <w:sz w:val="22"/>
                <w:szCs w:val="22"/>
              </w:rPr>
            </w:pPr>
            <w:r w:rsidRPr="00DB2665">
              <w:rPr>
                <w:rFonts w:eastAsia="Calibri"/>
                <w:sz w:val="22"/>
                <w:szCs w:val="22"/>
              </w:rPr>
              <w:t xml:space="preserve">2021. 08. 26. </w:t>
            </w:r>
          </w:p>
        </w:tc>
        <w:tc>
          <w:tcPr>
            <w:tcW w:w="758" w:type="pct"/>
            <w:tcBorders>
              <w:top w:val="nil"/>
              <w:left w:val="nil"/>
              <w:bottom w:val="nil"/>
              <w:right w:val="nil"/>
            </w:tcBorders>
          </w:tcPr>
          <w:p w:rsidR="00000D6E" w:rsidRPr="00DB2665" w:rsidRDefault="00000D6E" w:rsidP="007958E9">
            <w:pPr>
              <w:widowControl w:val="0"/>
              <w:autoSpaceDE w:val="0"/>
              <w:autoSpaceDN w:val="0"/>
              <w:jc w:val="right"/>
              <w:rPr>
                <w:rFonts w:eastAsia="Calibri"/>
                <w:sz w:val="22"/>
                <w:szCs w:val="22"/>
              </w:rPr>
            </w:pPr>
            <w:r w:rsidRPr="00DB2665">
              <w:rPr>
                <w:rFonts w:eastAsia="Calibri"/>
                <w:sz w:val="22"/>
                <w:szCs w:val="22"/>
              </w:rPr>
              <w:t>2022. 05. 10.</w:t>
            </w:r>
          </w:p>
        </w:tc>
      </w:tr>
    </w:tbl>
    <w:p w:rsidR="00000D6E" w:rsidRPr="00DB2665" w:rsidRDefault="00000D6E" w:rsidP="00000D6E">
      <w:pPr>
        <w:rPr>
          <w:bCs/>
          <w:sz w:val="16"/>
          <w:szCs w:val="16"/>
        </w:rPr>
      </w:pPr>
    </w:p>
    <w:p w:rsidR="00000D6E" w:rsidRPr="00AF4206" w:rsidRDefault="00000D6E" w:rsidP="00AF4206">
      <w:pPr>
        <w:pStyle w:val="Szvegtrzs3"/>
        <w:tabs>
          <w:tab w:val="clear" w:pos="567"/>
          <w:tab w:val="clear" w:pos="7938"/>
        </w:tabs>
        <w:ind w:right="200"/>
        <w:rPr>
          <w:b/>
          <w:i/>
          <w:iCs/>
          <w:szCs w:val="24"/>
        </w:rPr>
      </w:pPr>
      <w:bookmarkStart w:id="44" w:name="_Toc112068762"/>
      <w:r w:rsidRPr="00AF4206">
        <w:rPr>
          <w:b/>
          <w:i/>
          <w:iCs/>
          <w:szCs w:val="24"/>
        </w:rPr>
        <w:t>Víziközművek Energiahatékonyságának Fejlesztése (VEF) pályázat</w:t>
      </w:r>
      <w:bookmarkEnd w:id="44"/>
    </w:p>
    <w:p w:rsidR="00000D6E" w:rsidRPr="00DB2665" w:rsidRDefault="00000D6E" w:rsidP="00000D6E">
      <w:pPr>
        <w:rPr>
          <w:bCs/>
          <w:szCs w:val="24"/>
        </w:rPr>
      </w:pPr>
      <w:r w:rsidRPr="00DB2665">
        <w:rPr>
          <w:bCs/>
          <w:i/>
          <w:szCs w:val="24"/>
        </w:rPr>
        <w:t>Energiahatékonyság fejlesztése a VASIVÍZ ZRt. szolgáltatási területén</w:t>
      </w:r>
      <w:r w:rsidRPr="00DB2665">
        <w:rPr>
          <w:bCs/>
          <w:szCs w:val="24"/>
        </w:rPr>
        <w:t xml:space="preserve"> pályázatunk nettó elszámolható költsége 499 665 eFt volt, amelynek 50 %-a támogatás, 50 %-a társaságunk és az önkormányzatok által biztosított önrész. A pályázat határidőre megvalósult. A 2022. augusztus 15-én benyújtott záró beszámolót</w:t>
      </w:r>
      <w:r w:rsidR="00CA36D0">
        <w:rPr>
          <w:bCs/>
          <w:szCs w:val="24"/>
        </w:rPr>
        <w:t xml:space="preserve"> és elszámolást 2023. február 9-én</w:t>
      </w:r>
      <w:r w:rsidRPr="00DB2665">
        <w:rPr>
          <w:bCs/>
          <w:szCs w:val="24"/>
        </w:rPr>
        <w:t xml:space="preserve"> jóváhagyták. A pályázat jelenleg a 3 éves fenntartási időszakban van. </w:t>
      </w:r>
    </w:p>
    <w:p w:rsidR="00000D6E" w:rsidRPr="002B7280" w:rsidRDefault="00000D6E" w:rsidP="00000D6E">
      <w:pPr>
        <w:pStyle w:val="llb"/>
        <w:tabs>
          <w:tab w:val="clear" w:pos="4536"/>
          <w:tab w:val="left" w:pos="3400"/>
          <w:tab w:val="center" w:pos="4253"/>
          <w:tab w:val="left" w:pos="6804"/>
          <w:tab w:val="center" w:pos="7230"/>
        </w:tabs>
        <w:ind w:right="-81"/>
        <w:rPr>
          <w:i/>
          <w:iCs/>
          <w:sz w:val="12"/>
          <w:szCs w:val="12"/>
        </w:rPr>
      </w:pPr>
    </w:p>
    <w:tbl>
      <w:tblPr>
        <w:tblW w:w="5000" w:type="pct"/>
        <w:tblLook w:val="04A0" w:firstRow="1" w:lastRow="0" w:firstColumn="1" w:lastColumn="0" w:noHBand="0" w:noVBand="1"/>
      </w:tblPr>
      <w:tblGrid>
        <w:gridCol w:w="5123"/>
        <w:gridCol w:w="4692"/>
      </w:tblGrid>
      <w:tr w:rsidR="00000D6E" w:rsidRPr="009B5141" w:rsidTr="007958E9">
        <w:trPr>
          <w:tblHeader/>
        </w:trPr>
        <w:tc>
          <w:tcPr>
            <w:tcW w:w="2610" w:type="pct"/>
            <w:tcBorders>
              <w:bottom w:val="single" w:sz="4" w:space="0" w:color="auto"/>
            </w:tcBorders>
            <w:shd w:val="clear" w:color="auto" w:fill="auto"/>
          </w:tcPr>
          <w:p w:rsidR="00000D6E" w:rsidRPr="009B5141" w:rsidRDefault="00000D6E" w:rsidP="007958E9">
            <w:pPr>
              <w:rPr>
                <w:rFonts w:eastAsia="Calibri"/>
                <w:i/>
                <w:sz w:val="22"/>
                <w:szCs w:val="22"/>
              </w:rPr>
            </w:pPr>
            <w:r w:rsidRPr="009B5141">
              <w:rPr>
                <w:rFonts w:eastAsia="Calibri"/>
                <w:i/>
                <w:sz w:val="22"/>
                <w:szCs w:val="22"/>
              </w:rPr>
              <w:t>Pályázatban támogatott műszaki tartalom</w:t>
            </w:r>
          </w:p>
        </w:tc>
        <w:tc>
          <w:tcPr>
            <w:tcW w:w="2390" w:type="pct"/>
            <w:tcBorders>
              <w:bottom w:val="single" w:sz="4" w:space="0" w:color="auto"/>
            </w:tcBorders>
            <w:shd w:val="clear" w:color="auto" w:fill="auto"/>
          </w:tcPr>
          <w:p w:rsidR="00000D6E" w:rsidRPr="009B5141" w:rsidRDefault="00000D6E" w:rsidP="007958E9">
            <w:pPr>
              <w:jc w:val="center"/>
              <w:rPr>
                <w:rFonts w:eastAsia="Calibri"/>
                <w:i/>
                <w:sz w:val="22"/>
                <w:szCs w:val="22"/>
              </w:rPr>
            </w:pPr>
            <w:r w:rsidRPr="009B5141">
              <w:rPr>
                <w:rFonts w:eastAsia="Calibri"/>
                <w:i/>
                <w:sz w:val="22"/>
                <w:szCs w:val="22"/>
              </w:rPr>
              <w:t>Megvalósulás</w:t>
            </w:r>
          </w:p>
        </w:tc>
      </w:tr>
      <w:tr w:rsidR="00000D6E" w:rsidRPr="009B5141" w:rsidTr="007958E9">
        <w:tc>
          <w:tcPr>
            <w:tcW w:w="2610" w:type="pct"/>
            <w:tcBorders>
              <w:top w:val="single" w:sz="4" w:space="0" w:color="auto"/>
            </w:tcBorders>
            <w:shd w:val="clear" w:color="auto" w:fill="auto"/>
          </w:tcPr>
          <w:p w:rsidR="00000D6E" w:rsidRPr="009B5141" w:rsidRDefault="00000D6E" w:rsidP="007958E9">
            <w:pPr>
              <w:rPr>
                <w:rFonts w:eastAsia="Calibri"/>
                <w:sz w:val="22"/>
                <w:szCs w:val="22"/>
              </w:rPr>
            </w:pPr>
            <w:r w:rsidRPr="009B5141">
              <w:rPr>
                <w:rFonts w:eastAsia="Calibri"/>
                <w:sz w:val="22"/>
                <w:szCs w:val="22"/>
              </w:rPr>
              <w:t>Napelemek kiépítése 9 helyszínen</w:t>
            </w:r>
          </w:p>
        </w:tc>
        <w:tc>
          <w:tcPr>
            <w:tcW w:w="2390" w:type="pct"/>
            <w:tcBorders>
              <w:top w:val="single" w:sz="4" w:space="0" w:color="auto"/>
            </w:tcBorders>
            <w:shd w:val="clear" w:color="auto" w:fill="auto"/>
          </w:tcPr>
          <w:p w:rsidR="00000D6E" w:rsidRPr="009B5141" w:rsidRDefault="00000D6E" w:rsidP="007958E9">
            <w:pPr>
              <w:jc w:val="center"/>
              <w:rPr>
                <w:rFonts w:eastAsia="Calibri"/>
                <w:sz w:val="22"/>
                <w:szCs w:val="22"/>
              </w:rPr>
            </w:pPr>
            <w:r w:rsidRPr="009B5141">
              <w:rPr>
                <w:rFonts w:eastAsia="Calibri"/>
                <w:sz w:val="22"/>
                <w:szCs w:val="22"/>
              </w:rPr>
              <w:t>üzembe helyezés 2022. 01. 22.</w:t>
            </w:r>
          </w:p>
        </w:tc>
      </w:tr>
      <w:tr w:rsidR="00000D6E" w:rsidRPr="009B5141" w:rsidTr="007958E9">
        <w:tc>
          <w:tcPr>
            <w:tcW w:w="2610" w:type="pct"/>
            <w:shd w:val="clear" w:color="auto" w:fill="auto"/>
          </w:tcPr>
          <w:p w:rsidR="00000D6E" w:rsidRPr="009B5141" w:rsidRDefault="00000D6E" w:rsidP="007958E9">
            <w:pPr>
              <w:rPr>
                <w:rFonts w:eastAsia="Calibri"/>
                <w:sz w:val="22"/>
                <w:szCs w:val="22"/>
              </w:rPr>
            </w:pPr>
            <w:r w:rsidRPr="009B5141">
              <w:rPr>
                <w:rFonts w:eastAsia="Calibri"/>
                <w:sz w:val="22"/>
                <w:szCs w:val="22"/>
              </w:rPr>
              <w:t>Iszap centrifugák beszerzése és cseréje (2 db)</w:t>
            </w:r>
          </w:p>
        </w:tc>
        <w:tc>
          <w:tcPr>
            <w:tcW w:w="2390" w:type="pct"/>
            <w:shd w:val="clear" w:color="auto" w:fill="auto"/>
          </w:tcPr>
          <w:p w:rsidR="00000D6E" w:rsidRPr="009B5141" w:rsidRDefault="00000D6E" w:rsidP="007958E9">
            <w:pPr>
              <w:jc w:val="center"/>
              <w:rPr>
                <w:rFonts w:eastAsia="Calibri"/>
                <w:sz w:val="22"/>
                <w:szCs w:val="22"/>
              </w:rPr>
            </w:pPr>
            <w:r w:rsidRPr="009B5141">
              <w:rPr>
                <w:rFonts w:eastAsia="Calibri"/>
                <w:sz w:val="22"/>
                <w:szCs w:val="22"/>
              </w:rPr>
              <w:t>üzembe helyezés 2022. 05. 30.</w:t>
            </w:r>
            <w:r w:rsidRPr="009B5141">
              <w:rPr>
                <w:sz w:val="22"/>
                <w:szCs w:val="22"/>
              </w:rPr>
              <w:t xml:space="preserve"> </w:t>
            </w:r>
          </w:p>
        </w:tc>
      </w:tr>
      <w:tr w:rsidR="00000D6E" w:rsidRPr="009B5141" w:rsidTr="007958E9">
        <w:tc>
          <w:tcPr>
            <w:tcW w:w="2610" w:type="pct"/>
            <w:shd w:val="clear" w:color="auto" w:fill="auto"/>
          </w:tcPr>
          <w:p w:rsidR="00000D6E" w:rsidRPr="009B5141" w:rsidRDefault="00000D6E" w:rsidP="007958E9">
            <w:pPr>
              <w:rPr>
                <w:rFonts w:eastAsia="Calibri"/>
                <w:sz w:val="22"/>
                <w:szCs w:val="22"/>
              </w:rPr>
            </w:pPr>
            <w:r w:rsidRPr="009B5141">
              <w:rPr>
                <w:rFonts w:eastAsia="Calibri"/>
                <w:sz w:val="22"/>
                <w:szCs w:val="22"/>
              </w:rPr>
              <w:t>Fúvók beszerzése és cseréje (30 db)</w:t>
            </w:r>
          </w:p>
        </w:tc>
        <w:tc>
          <w:tcPr>
            <w:tcW w:w="2390" w:type="pct"/>
            <w:shd w:val="clear" w:color="auto" w:fill="auto"/>
          </w:tcPr>
          <w:p w:rsidR="00000D6E" w:rsidRPr="009B5141" w:rsidRDefault="00000D6E" w:rsidP="00E51A1B">
            <w:pPr>
              <w:jc w:val="center"/>
              <w:rPr>
                <w:rFonts w:eastAsia="Calibri"/>
                <w:sz w:val="22"/>
                <w:szCs w:val="22"/>
              </w:rPr>
            </w:pPr>
            <w:r w:rsidRPr="009B5141">
              <w:rPr>
                <w:rFonts w:eastAsia="Calibri"/>
                <w:sz w:val="22"/>
                <w:szCs w:val="22"/>
              </w:rPr>
              <w:t xml:space="preserve">üzembe helyezések 2022. 03. 08-06. 22. </w:t>
            </w:r>
          </w:p>
        </w:tc>
      </w:tr>
      <w:tr w:rsidR="00000D6E" w:rsidRPr="009B5141" w:rsidTr="007958E9">
        <w:tc>
          <w:tcPr>
            <w:tcW w:w="2610" w:type="pct"/>
            <w:shd w:val="clear" w:color="auto" w:fill="auto"/>
          </w:tcPr>
          <w:p w:rsidR="00000D6E" w:rsidRPr="009B5141" w:rsidRDefault="00000D6E" w:rsidP="007958E9">
            <w:pPr>
              <w:rPr>
                <w:rFonts w:eastAsia="Calibri"/>
                <w:sz w:val="22"/>
                <w:szCs w:val="22"/>
              </w:rPr>
            </w:pPr>
            <w:r w:rsidRPr="009B5141">
              <w:rPr>
                <w:rFonts w:eastAsia="Calibri"/>
                <w:sz w:val="22"/>
                <w:szCs w:val="22"/>
              </w:rPr>
              <w:t>Ivóvízszivattyúk beszerzése és cseréje (67 db)</w:t>
            </w:r>
          </w:p>
        </w:tc>
        <w:tc>
          <w:tcPr>
            <w:tcW w:w="2390" w:type="pct"/>
            <w:shd w:val="clear" w:color="auto" w:fill="auto"/>
          </w:tcPr>
          <w:p w:rsidR="00000D6E" w:rsidRPr="009B5141" w:rsidRDefault="00000D6E" w:rsidP="007958E9">
            <w:pPr>
              <w:jc w:val="center"/>
              <w:rPr>
                <w:rFonts w:eastAsia="Calibri"/>
                <w:sz w:val="22"/>
                <w:szCs w:val="22"/>
              </w:rPr>
            </w:pPr>
            <w:r w:rsidRPr="009B5141">
              <w:rPr>
                <w:rFonts w:eastAsia="Calibri"/>
                <w:sz w:val="22"/>
                <w:szCs w:val="22"/>
              </w:rPr>
              <w:t>üzembe helyezések 2022. 03. 25-06. 04.</w:t>
            </w:r>
          </w:p>
        </w:tc>
      </w:tr>
      <w:tr w:rsidR="00000D6E" w:rsidRPr="009B5141" w:rsidTr="007958E9">
        <w:tc>
          <w:tcPr>
            <w:tcW w:w="2610" w:type="pct"/>
            <w:shd w:val="clear" w:color="auto" w:fill="auto"/>
          </w:tcPr>
          <w:p w:rsidR="00000D6E" w:rsidRPr="009B5141" w:rsidRDefault="00000D6E" w:rsidP="007958E9">
            <w:pPr>
              <w:rPr>
                <w:rFonts w:eastAsia="Calibri"/>
                <w:sz w:val="22"/>
                <w:szCs w:val="22"/>
              </w:rPr>
            </w:pPr>
            <w:r w:rsidRPr="009B5141">
              <w:rPr>
                <w:rFonts w:eastAsia="Calibri"/>
                <w:sz w:val="22"/>
                <w:szCs w:val="22"/>
              </w:rPr>
              <w:t>Szennyvíz szivattyúk beszerzés</w:t>
            </w:r>
            <w:r w:rsidR="007D5A78" w:rsidRPr="009B5141">
              <w:rPr>
                <w:rFonts w:eastAsia="Calibri"/>
                <w:sz w:val="22"/>
                <w:szCs w:val="22"/>
              </w:rPr>
              <w:t>e</w:t>
            </w:r>
            <w:r w:rsidRPr="009B5141">
              <w:rPr>
                <w:rFonts w:eastAsia="Calibri"/>
                <w:sz w:val="22"/>
                <w:szCs w:val="22"/>
              </w:rPr>
              <w:t xml:space="preserve"> és cseréje (76</w:t>
            </w:r>
            <w:r w:rsidR="00E51A1B">
              <w:rPr>
                <w:rFonts w:eastAsia="Calibri"/>
                <w:sz w:val="22"/>
                <w:szCs w:val="22"/>
              </w:rPr>
              <w:t xml:space="preserve"> </w:t>
            </w:r>
            <w:r w:rsidRPr="009B5141">
              <w:rPr>
                <w:rFonts w:eastAsia="Calibri"/>
                <w:sz w:val="22"/>
                <w:szCs w:val="22"/>
              </w:rPr>
              <w:t xml:space="preserve">db) </w:t>
            </w:r>
          </w:p>
        </w:tc>
        <w:tc>
          <w:tcPr>
            <w:tcW w:w="2390" w:type="pct"/>
            <w:shd w:val="clear" w:color="auto" w:fill="auto"/>
          </w:tcPr>
          <w:p w:rsidR="00000D6E" w:rsidRPr="009B5141" w:rsidRDefault="00000D6E" w:rsidP="007958E9">
            <w:pPr>
              <w:jc w:val="center"/>
              <w:rPr>
                <w:rFonts w:eastAsia="Calibri"/>
                <w:sz w:val="22"/>
                <w:szCs w:val="22"/>
              </w:rPr>
            </w:pPr>
            <w:r w:rsidRPr="009B5141">
              <w:rPr>
                <w:rFonts w:eastAsia="Calibri"/>
                <w:sz w:val="22"/>
                <w:szCs w:val="22"/>
              </w:rPr>
              <w:t>üzembe helyezések 2022. 03. 30-06. 22.</w:t>
            </w:r>
          </w:p>
        </w:tc>
      </w:tr>
      <w:bookmarkEnd w:id="40"/>
    </w:tbl>
    <w:p w:rsidR="00000D6E" w:rsidRPr="00DB2665" w:rsidRDefault="00000D6E" w:rsidP="00E924BB">
      <w:pPr>
        <w:pStyle w:val="Szvegtrzs"/>
        <w:rPr>
          <w:szCs w:val="24"/>
        </w:rPr>
      </w:pPr>
    </w:p>
    <w:p w:rsidR="00D51AA4" w:rsidRPr="009B5141" w:rsidRDefault="00D51AA4" w:rsidP="001807EA">
      <w:pPr>
        <w:pStyle w:val="Cmsor2"/>
        <w:rPr>
          <w:i w:val="0"/>
          <w:iCs w:val="0"/>
          <w:sz w:val="24"/>
          <w:szCs w:val="24"/>
        </w:rPr>
      </w:pPr>
      <w:bookmarkStart w:id="45" w:name="_Toc339007864"/>
      <w:bookmarkStart w:id="46" w:name="_Toc339008464"/>
      <w:bookmarkStart w:id="47" w:name="_Toc339374687"/>
      <w:bookmarkStart w:id="48" w:name="_Toc370128248"/>
      <w:bookmarkStart w:id="49" w:name="_Toc132629484"/>
      <w:r w:rsidRPr="009B5141">
        <w:rPr>
          <w:i w:val="0"/>
          <w:iCs w:val="0"/>
          <w:sz w:val="24"/>
          <w:szCs w:val="24"/>
        </w:rPr>
        <w:t>Szennyvíztisztító telepek üzemelési körülményei</w:t>
      </w:r>
      <w:bookmarkEnd w:id="45"/>
      <w:bookmarkEnd w:id="46"/>
      <w:bookmarkEnd w:id="47"/>
      <w:bookmarkEnd w:id="48"/>
      <w:bookmarkEnd w:id="49"/>
    </w:p>
    <w:p w:rsidR="002D28AB" w:rsidRPr="009B5141" w:rsidRDefault="002D28AB" w:rsidP="002D28AB">
      <w:pPr>
        <w:rPr>
          <w:color w:val="000000"/>
          <w:szCs w:val="24"/>
        </w:rPr>
      </w:pPr>
      <w:bookmarkStart w:id="50" w:name="_Toc311706814"/>
      <w:bookmarkStart w:id="51" w:name="_Toc311709905"/>
      <w:r w:rsidRPr="009B5141">
        <w:rPr>
          <w:color w:val="000000"/>
          <w:szCs w:val="24"/>
        </w:rPr>
        <w:t>A laboratóriumban a 2022. évben elvégzett önellenőrzési és üzemeltetést segítő technológiai vizsgálatok száma: kémiai 4115 db, bakteriológiai 169 db, biológiai 247 db volt.</w:t>
      </w:r>
    </w:p>
    <w:p w:rsidR="002B7280" w:rsidRPr="00722F7A" w:rsidRDefault="002B7280" w:rsidP="002D28AB">
      <w:pPr>
        <w:pStyle w:val="Szvegtrzs"/>
        <w:ind w:right="34"/>
        <w:rPr>
          <w:i/>
          <w:sz w:val="8"/>
          <w:szCs w:val="8"/>
        </w:rPr>
      </w:pPr>
    </w:p>
    <w:p w:rsidR="002D28AB" w:rsidRPr="009B5141" w:rsidRDefault="002D28AB" w:rsidP="002D28AB">
      <w:pPr>
        <w:pStyle w:val="Szvegtrzs"/>
        <w:ind w:right="34"/>
        <w:rPr>
          <w:sz w:val="24"/>
          <w:szCs w:val="24"/>
        </w:rPr>
      </w:pPr>
      <w:r w:rsidRPr="00722F7A">
        <w:rPr>
          <w:sz w:val="24"/>
          <w:szCs w:val="24"/>
        </w:rPr>
        <w:lastRenderedPageBreak/>
        <w:t>Társaságunk a szennyvíztisztító telepeket a rendelkezésére álló eszközökkel a lehető legkörültekintőb</w:t>
      </w:r>
      <w:r w:rsidRPr="009B5141">
        <w:rPr>
          <w:sz w:val="24"/>
          <w:szCs w:val="24"/>
        </w:rPr>
        <w:t xml:space="preserve">ben üzemelteti. </w:t>
      </w:r>
    </w:p>
    <w:p w:rsidR="002D28AB" w:rsidRPr="009B5141" w:rsidRDefault="002D28AB" w:rsidP="002D28AB">
      <w:pPr>
        <w:pStyle w:val="Szvegtrzs"/>
        <w:ind w:right="34"/>
        <w:rPr>
          <w:sz w:val="24"/>
          <w:szCs w:val="24"/>
        </w:rPr>
      </w:pPr>
      <w:r w:rsidRPr="009B5141">
        <w:rPr>
          <w:sz w:val="24"/>
          <w:szCs w:val="24"/>
        </w:rPr>
        <w:t>A tisztított szennyvizek minősége többnyire az elvárható értéknek megfelelő. Határérték túllépés elsősorban azokon a telepeken jelentkezett, ahol a megfelelő technológiai feltételek nem biztosítottak (fejletlen irányítástechnika, bejelzés hiánya, elégtelen fúvó- illetve iszapkezelési kapacitás, tápanyag eltávolító fokozat hiánya, túlterheltség, stb</w:t>
      </w:r>
      <w:r w:rsidR="003E5193">
        <w:rPr>
          <w:sz w:val="24"/>
          <w:szCs w:val="24"/>
        </w:rPr>
        <w:t>.</w:t>
      </w:r>
      <w:r w:rsidRPr="009B5141">
        <w:rPr>
          <w:sz w:val="24"/>
          <w:szCs w:val="24"/>
        </w:rPr>
        <w:t xml:space="preserve">). </w:t>
      </w:r>
    </w:p>
    <w:p w:rsidR="004069E4" w:rsidRDefault="00722F7A" w:rsidP="002D28AB">
      <w:pPr>
        <w:pStyle w:val="Szvegtrzs"/>
        <w:ind w:right="34"/>
        <w:rPr>
          <w:sz w:val="24"/>
          <w:szCs w:val="24"/>
        </w:rPr>
      </w:pPr>
      <w:r>
        <w:rPr>
          <w:sz w:val="24"/>
          <w:szCs w:val="24"/>
        </w:rPr>
        <w:t>A</w:t>
      </w:r>
      <w:r w:rsidRPr="009B5141">
        <w:rPr>
          <w:sz w:val="24"/>
          <w:szCs w:val="24"/>
        </w:rPr>
        <w:t xml:space="preserve"> szennyvíztisztító telepek rekonstrukcióját</w:t>
      </w:r>
      <w:r>
        <w:rPr>
          <w:sz w:val="24"/>
          <w:szCs w:val="24"/>
        </w:rPr>
        <w:t xml:space="preserve">, </w:t>
      </w:r>
      <w:r w:rsidRPr="009B5141">
        <w:rPr>
          <w:sz w:val="24"/>
          <w:szCs w:val="24"/>
        </w:rPr>
        <w:t xml:space="preserve">fejlesztését </w:t>
      </w:r>
      <w:r>
        <w:rPr>
          <w:sz w:val="24"/>
          <w:szCs w:val="24"/>
        </w:rPr>
        <w:t>a</w:t>
      </w:r>
      <w:r w:rsidR="002D28AB" w:rsidRPr="009B5141">
        <w:rPr>
          <w:sz w:val="24"/>
          <w:szCs w:val="24"/>
        </w:rPr>
        <w:t xml:space="preserve"> tárgyidőszakban</w:t>
      </w:r>
      <w:r>
        <w:rPr>
          <w:sz w:val="24"/>
          <w:szCs w:val="24"/>
        </w:rPr>
        <w:t xml:space="preserve"> is</w:t>
      </w:r>
      <w:r w:rsidR="002D28AB" w:rsidRPr="009B5141">
        <w:rPr>
          <w:sz w:val="24"/>
          <w:szCs w:val="24"/>
        </w:rPr>
        <w:t xml:space="preserve"> a szennyvízközmű-használati díj, az önkormányzatok által korábbi években fejlesztési támogatásként visszaadott használati díj</w:t>
      </w:r>
      <w:r>
        <w:rPr>
          <w:sz w:val="24"/>
          <w:szCs w:val="24"/>
        </w:rPr>
        <w:t>,</w:t>
      </w:r>
      <w:r w:rsidR="002D28AB" w:rsidRPr="009B5141">
        <w:rPr>
          <w:sz w:val="24"/>
          <w:szCs w:val="24"/>
        </w:rPr>
        <w:t xml:space="preserve"> az amortizáció </w:t>
      </w:r>
      <w:r w:rsidRPr="00E736F6">
        <w:rPr>
          <w:sz w:val="24"/>
          <w:szCs w:val="24"/>
        </w:rPr>
        <w:t xml:space="preserve">és pályázati források </w:t>
      </w:r>
      <w:r w:rsidR="002D28AB" w:rsidRPr="00E736F6">
        <w:rPr>
          <w:sz w:val="24"/>
          <w:szCs w:val="24"/>
        </w:rPr>
        <w:t>terhére</w:t>
      </w:r>
      <w:r w:rsidR="002D28AB" w:rsidRPr="009B5141">
        <w:rPr>
          <w:sz w:val="24"/>
          <w:szCs w:val="24"/>
        </w:rPr>
        <w:t xml:space="preserve"> folytatt</w:t>
      </w:r>
      <w:r>
        <w:rPr>
          <w:sz w:val="24"/>
          <w:szCs w:val="24"/>
        </w:rPr>
        <w:t>uk</w:t>
      </w:r>
      <w:r w:rsidR="002D28AB" w:rsidRPr="009B5141">
        <w:rPr>
          <w:sz w:val="24"/>
          <w:szCs w:val="24"/>
        </w:rPr>
        <w:t>, amelynek eredményeképpen nőtt az üzembiztonság. Ezek elsősorban gépészeti elemek felújítását, szivattyúk pótlását, műszer beszerelést, állagmegóvást tartalmaztak.</w:t>
      </w:r>
    </w:p>
    <w:p w:rsidR="004069E4" w:rsidRDefault="004069E4">
      <w:pPr>
        <w:jc w:val="left"/>
        <w:rPr>
          <w:szCs w:val="24"/>
        </w:rPr>
      </w:pPr>
      <w:r>
        <w:rPr>
          <w:szCs w:val="24"/>
        </w:rPr>
        <w:br w:type="page"/>
      </w:r>
    </w:p>
    <w:p w:rsidR="00A86A97" w:rsidRDefault="00A86A97" w:rsidP="002D28AB">
      <w:pPr>
        <w:pStyle w:val="Szvegtrzs"/>
        <w:ind w:right="34"/>
        <w:rPr>
          <w:sz w:val="24"/>
          <w:szCs w:val="24"/>
        </w:rPr>
      </w:pPr>
    </w:p>
    <w:p w:rsidR="002D28AB" w:rsidRPr="009B5141" w:rsidRDefault="002D28AB" w:rsidP="002D28AB">
      <w:pPr>
        <w:pStyle w:val="Szvegtrzs"/>
        <w:ind w:right="34"/>
        <w:rPr>
          <w:sz w:val="24"/>
          <w:szCs w:val="24"/>
        </w:rPr>
      </w:pPr>
      <w:r w:rsidRPr="009B5141">
        <w:rPr>
          <w:sz w:val="24"/>
          <w:szCs w:val="24"/>
        </w:rPr>
        <w:t>Súlyos üzemeltetési nehézséget okoz, hogy - bár a csatornahálózatok túlnyomó része elválasztó rendszerű - csapadékos időben a szennyvíztisztító telepekre érkező szennyvíz mennyisége jóval meghaladja a névleges terhelhetőségnek megfelelő értéket, ami a telepek rövidebb-hosszabb ideig tartó üzemzavarát okozza.</w:t>
      </w:r>
    </w:p>
    <w:p w:rsidR="002D28AB" w:rsidRPr="00D80322" w:rsidRDefault="002D28AB" w:rsidP="00CD0B75">
      <w:pPr>
        <w:pStyle w:val="Szvegtrzs"/>
        <w:ind w:right="34"/>
        <w:rPr>
          <w:sz w:val="16"/>
          <w:szCs w:val="16"/>
        </w:rPr>
      </w:pPr>
    </w:p>
    <w:p w:rsidR="00D51AA4" w:rsidRPr="009B5141" w:rsidRDefault="00D51AA4">
      <w:pPr>
        <w:pStyle w:val="Cmsor2"/>
        <w:rPr>
          <w:sz w:val="24"/>
          <w:szCs w:val="24"/>
        </w:rPr>
      </w:pPr>
      <w:bookmarkStart w:id="52" w:name="_Toc132629485"/>
      <w:bookmarkEnd w:id="50"/>
      <w:bookmarkEnd w:id="51"/>
      <w:r w:rsidRPr="009B5141">
        <w:rPr>
          <w:sz w:val="24"/>
          <w:szCs w:val="24"/>
        </w:rPr>
        <w:t>Szennyvíziszap elhelyezés</w:t>
      </w:r>
      <w:bookmarkEnd w:id="52"/>
      <w:r w:rsidRPr="009B5141">
        <w:rPr>
          <w:sz w:val="24"/>
          <w:szCs w:val="24"/>
        </w:rPr>
        <w:t xml:space="preserve">  </w:t>
      </w:r>
    </w:p>
    <w:p w:rsidR="003E5148" w:rsidRPr="009B5141" w:rsidRDefault="003E5148" w:rsidP="003E5148">
      <w:pPr>
        <w:pStyle w:val="Szvegtrzs"/>
        <w:spacing w:after="80"/>
        <w:rPr>
          <w:sz w:val="24"/>
          <w:szCs w:val="24"/>
        </w:rPr>
      </w:pPr>
      <w:r w:rsidRPr="009B5141">
        <w:rPr>
          <w:sz w:val="24"/>
          <w:szCs w:val="24"/>
        </w:rPr>
        <w:t>A társaság által üzemeltetett szennyvíztisztító telepeken keletkező szennyvíziszapok elhelyezése túlnyomórészt mezőgazdasági területekre történik – szalmával keverve</w:t>
      </w:r>
      <w:r w:rsidR="00722F7A">
        <w:rPr>
          <w:sz w:val="24"/>
          <w:szCs w:val="24"/>
        </w:rPr>
        <w:t>,</w:t>
      </w:r>
      <w:r w:rsidRPr="009B5141">
        <w:rPr>
          <w:sz w:val="24"/>
          <w:szCs w:val="24"/>
        </w:rPr>
        <w:t xml:space="preserve"> illetve injektálással, kisebb része komposztálás után. </w:t>
      </w:r>
    </w:p>
    <w:p w:rsidR="003E5148" w:rsidRPr="009B5141" w:rsidRDefault="003E5148" w:rsidP="003E5148">
      <w:pPr>
        <w:pStyle w:val="Szvegtrzs"/>
        <w:rPr>
          <w:sz w:val="24"/>
          <w:szCs w:val="24"/>
        </w:rPr>
      </w:pPr>
      <w:r w:rsidRPr="009B5141">
        <w:rPr>
          <w:sz w:val="24"/>
          <w:szCs w:val="24"/>
        </w:rPr>
        <w:t>Tárgyidőszakban a szennyvíziszap szállításért, elhelyezésért, engedélyezésért külső vállalkozóknak, hatóságnak fizetett összeg 106 261 eFt, ennek mintegy negyede a szállítással, fele a szennyvíziszap mezőgazdasági illetve negyede a nem mezőgazdasági elhelyezésével kapcsolatos.</w:t>
      </w:r>
    </w:p>
    <w:p w:rsidR="003E5148" w:rsidRPr="00ED553F" w:rsidRDefault="003E5148" w:rsidP="003E5148">
      <w:pPr>
        <w:pStyle w:val="Szvegtrzs"/>
        <w:rPr>
          <w:sz w:val="8"/>
          <w:szCs w:val="8"/>
        </w:rPr>
      </w:pPr>
    </w:p>
    <w:p w:rsidR="003E5148" w:rsidRPr="009B5141" w:rsidRDefault="003E5148" w:rsidP="003E5148">
      <w:pPr>
        <w:pStyle w:val="Szvegtrzs"/>
        <w:ind w:right="34"/>
        <w:rPr>
          <w:sz w:val="24"/>
          <w:szCs w:val="24"/>
        </w:rPr>
      </w:pPr>
      <w:r w:rsidRPr="00AC3F1D">
        <w:rPr>
          <w:sz w:val="24"/>
          <w:szCs w:val="24"/>
        </w:rPr>
        <w:t xml:space="preserve">A szennyvíziszap kihelyezések terén 2022. évben felülvizsgáltuk a meglévő szerződéseinket. </w:t>
      </w:r>
      <w:r w:rsidR="00722F7A" w:rsidRPr="00AC3F1D">
        <w:rPr>
          <w:sz w:val="24"/>
          <w:szCs w:val="24"/>
        </w:rPr>
        <w:t>A</w:t>
      </w:r>
      <w:r w:rsidRPr="00AC3F1D">
        <w:rPr>
          <w:sz w:val="24"/>
          <w:szCs w:val="24"/>
        </w:rPr>
        <w:t xml:space="preserve"> műtrágya árak</w:t>
      </w:r>
      <w:r w:rsidR="00722F7A" w:rsidRPr="00AC3F1D">
        <w:rPr>
          <w:sz w:val="24"/>
          <w:szCs w:val="24"/>
        </w:rPr>
        <w:t xml:space="preserve"> nagymértékű növekedése következtében</w:t>
      </w:r>
      <w:r w:rsidRPr="00AC3F1D">
        <w:rPr>
          <w:sz w:val="24"/>
          <w:szCs w:val="24"/>
        </w:rPr>
        <w:t xml:space="preserve"> a gazdák számára felértékelődött a tisztítás során</w:t>
      </w:r>
      <w:r w:rsidRPr="009B5141">
        <w:rPr>
          <w:sz w:val="24"/>
          <w:szCs w:val="24"/>
        </w:rPr>
        <w:t xml:space="preserve"> hátramaradó, víztelenített iszap.</w:t>
      </w:r>
    </w:p>
    <w:p w:rsidR="003E5148" w:rsidRPr="009B5141" w:rsidRDefault="003E5148" w:rsidP="003E5148">
      <w:pPr>
        <w:pStyle w:val="Szvegtrzs"/>
        <w:ind w:right="34"/>
        <w:rPr>
          <w:sz w:val="24"/>
          <w:szCs w:val="24"/>
        </w:rPr>
      </w:pPr>
      <w:r w:rsidRPr="009B5141">
        <w:rPr>
          <w:sz w:val="24"/>
          <w:szCs w:val="24"/>
        </w:rPr>
        <w:t>Több partnert is találtunk, aki az eddigi 2000-2500 Ft/tonna ár (amelyet társaságunk fizetett a kihelyező félnek) helyett térítésmentesen megoldja a kihelyezést. Ezen felül fokozatosan beépítettük, beépítjük a terület bevizsgálási díjak térítésének áthárítását is, amellyel szintén jelentős költséget takarítunk meg a jövőben.</w:t>
      </w:r>
    </w:p>
    <w:p w:rsidR="003E5148" w:rsidRPr="009B5141" w:rsidRDefault="003E5148" w:rsidP="003E5148">
      <w:pPr>
        <w:pStyle w:val="Szvegtrzs"/>
        <w:ind w:right="34"/>
        <w:rPr>
          <w:sz w:val="24"/>
          <w:szCs w:val="24"/>
        </w:rPr>
      </w:pPr>
      <w:r w:rsidRPr="009B5141">
        <w:rPr>
          <w:sz w:val="24"/>
          <w:szCs w:val="24"/>
        </w:rPr>
        <w:t>A sűrített iszap kihelyezés esetében új partner jelentkezett, szerződéskötésre még nem került sor.</w:t>
      </w:r>
    </w:p>
    <w:p w:rsidR="003E5148" w:rsidRPr="00D80322" w:rsidRDefault="003E5148" w:rsidP="003E5148">
      <w:pPr>
        <w:pStyle w:val="Szvegtrzs"/>
        <w:rPr>
          <w:sz w:val="16"/>
          <w:szCs w:val="16"/>
        </w:rPr>
      </w:pPr>
    </w:p>
    <w:p w:rsidR="00D51AA4" w:rsidRPr="009B5141" w:rsidRDefault="00D51AA4">
      <w:pPr>
        <w:pStyle w:val="Cmsor2"/>
        <w:rPr>
          <w:sz w:val="24"/>
          <w:szCs w:val="24"/>
        </w:rPr>
      </w:pPr>
      <w:bookmarkStart w:id="53" w:name="_Toc132629486"/>
      <w:r w:rsidRPr="009B5141">
        <w:rPr>
          <w:sz w:val="24"/>
          <w:szCs w:val="24"/>
        </w:rPr>
        <w:t>Üzemellenőrzés, csatornabírság</w:t>
      </w:r>
      <w:bookmarkEnd w:id="53"/>
    </w:p>
    <w:p w:rsidR="00C230EE" w:rsidRPr="009B5141" w:rsidRDefault="00C230EE" w:rsidP="00C230EE">
      <w:pPr>
        <w:pStyle w:val="Szvegtrzs33"/>
        <w:ind w:right="34"/>
        <w:jc w:val="both"/>
        <w:rPr>
          <w:sz w:val="24"/>
          <w:szCs w:val="24"/>
        </w:rPr>
      </w:pPr>
      <w:r w:rsidRPr="009B5141">
        <w:rPr>
          <w:sz w:val="24"/>
          <w:szCs w:val="24"/>
        </w:rPr>
        <w:t xml:space="preserve">2022. évben összesen 64 üzemellenőrzést tartottunk. A mintavételek és a vizsgálatok akkreditáltak, a szabványoknak megfelelnek, így az esetleges csatornabírságok alapjait képezhetik. Az ellenőrzésekre a felszíni vizek minősége védelmének szabályairól szóló 220/2004. (VII. 21.) Korm. rendelet valamint a használt és szennyvizek kibocsátásának ellenőrzésére vonatkozó részletes szabályokról szóló 27/2005. (XII. 06.) KvVM rendelet alapján került sor. </w:t>
      </w:r>
    </w:p>
    <w:p w:rsidR="00C230EE" w:rsidRPr="009B5141" w:rsidRDefault="00C230EE" w:rsidP="00ED553F">
      <w:pPr>
        <w:pStyle w:val="Szvegtrzs33"/>
        <w:spacing w:after="0"/>
        <w:ind w:right="34"/>
        <w:jc w:val="both"/>
        <w:rPr>
          <w:sz w:val="24"/>
          <w:szCs w:val="24"/>
        </w:rPr>
      </w:pPr>
      <w:r w:rsidRPr="009B5141">
        <w:rPr>
          <w:sz w:val="24"/>
          <w:szCs w:val="24"/>
        </w:rPr>
        <w:t xml:space="preserve">A 2021. évben történt üzemellenőrzések és önkontroll mérések eredménye alapján csatornabírság javaslatokat terjesztettünk fel az alábbi kibocsátók esetében. A hatóság kiszabta a bírságokat, fellebbezés nem várható, a határozatok jogerősek. A bírság 97 %-át kell a VASIVÍZ </w:t>
      </w:r>
      <w:r w:rsidRPr="009B5141">
        <w:rPr>
          <w:sz w:val="24"/>
          <w:szCs w:val="24"/>
        </w:rPr>
        <w:lastRenderedPageBreak/>
        <w:t xml:space="preserve">ZRt. részére megfizetni. </w:t>
      </w:r>
    </w:p>
    <w:p w:rsidR="00C230EE" w:rsidRPr="00DB2665" w:rsidRDefault="00C230EE" w:rsidP="00C230EE">
      <w:pPr>
        <w:pStyle w:val="Szvegtrzs33"/>
        <w:pBdr>
          <w:bottom w:val="single" w:sz="4" w:space="1" w:color="auto"/>
        </w:pBdr>
        <w:tabs>
          <w:tab w:val="center" w:pos="5103"/>
          <w:tab w:val="center" w:pos="7371"/>
        </w:tabs>
        <w:spacing w:after="0"/>
        <w:ind w:left="284" w:right="851"/>
        <w:rPr>
          <w:sz w:val="24"/>
          <w:szCs w:val="24"/>
        </w:rPr>
      </w:pPr>
      <w:r w:rsidRPr="00DB2665">
        <w:rPr>
          <w:sz w:val="24"/>
          <w:szCs w:val="24"/>
        </w:rPr>
        <w:tab/>
        <w:t>Felterjesztett</w:t>
      </w:r>
      <w:r w:rsidRPr="00DB2665">
        <w:rPr>
          <w:sz w:val="24"/>
          <w:szCs w:val="24"/>
        </w:rPr>
        <w:tab/>
        <w:t>Kiszabott</w:t>
      </w:r>
    </w:p>
    <w:p w:rsidR="00C230EE" w:rsidRPr="00DB2665" w:rsidRDefault="00C230EE" w:rsidP="00C230EE">
      <w:pPr>
        <w:pStyle w:val="Szvegtrzs33"/>
        <w:pBdr>
          <w:bottom w:val="single" w:sz="4" w:space="1" w:color="auto"/>
        </w:pBdr>
        <w:tabs>
          <w:tab w:val="center" w:pos="5103"/>
          <w:tab w:val="center" w:pos="7371"/>
        </w:tabs>
        <w:spacing w:after="0"/>
        <w:ind w:left="284" w:right="851"/>
        <w:jc w:val="both"/>
        <w:rPr>
          <w:sz w:val="24"/>
          <w:szCs w:val="24"/>
        </w:rPr>
      </w:pPr>
      <w:r w:rsidRPr="00DB2665">
        <w:rPr>
          <w:sz w:val="24"/>
          <w:szCs w:val="24"/>
        </w:rPr>
        <w:tab/>
        <w:t>összeg</w:t>
      </w:r>
      <w:r w:rsidRPr="00DB2665">
        <w:rPr>
          <w:sz w:val="24"/>
          <w:szCs w:val="24"/>
        </w:rPr>
        <w:tab/>
        <w:t>bírság összege</w:t>
      </w:r>
    </w:p>
    <w:p w:rsidR="00C230EE" w:rsidRPr="00DB2665" w:rsidRDefault="00C230EE" w:rsidP="00C230EE">
      <w:pPr>
        <w:widowControl w:val="0"/>
        <w:tabs>
          <w:tab w:val="left" w:pos="567"/>
          <w:tab w:val="right" w:pos="5529"/>
          <w:tab w:val="right" w:pos="7938"/>
        </w:tabs>
        <w:suppressAutoHyphens/>
        <w:autoSpaceDE w:val="0"/>
        <w:spacing w:after="40"/>
        <w:ind w:left="357" w:right="142"/>
        <w:rPr>
          <w:szCs w:val="24"/>
        </w:rPr>
      </w:pPr>
      <w:r w:rsidRPr="00DB2665">
        <w:rPr>
          <w:szCs w:val="24"/>
        </w:rPr>
        <w:t xml:space="preserve">Kemenes Food Kft. Celldömölk </w:t>
      </w:r>
      <w:r w:rsidRPr="00DB2665">
        <w:rPr>
          <w:szCs w:val="24"/>
        </w:rPr>
        <w:tab/>
        <w:t xml:space="preserve">59 eFt </w:t>
      </w:r>
      <w:r w:rsidRPr="00DB2665">
        <w:rPr>
          <w:szCs w:val="24"/>
        </w:rPr>
        <w:tab/>
        <w:t xml:space="preserve">nem bírságolt </w:t>
      </w:r>
    </w:p>
    <w:p w:rsidR="00C230EE" w:rsidRPr="00DB2665" w:rsidRDefault="00C230EE" w:rsidP="00C230EE">
      <w:pPr>
        <w:widowControl w:val="0"/>
        <w:tabs>
          <w:tab w:val="left" w:pos="567"/>
          <w:tab w:val="right" w:pos="5529"/>
          <w:tab w:val="right" w:pos="7938"/>
        </w:tabs>
        <w:suppressAutoHyphens/>
        <w:autoSpaceDE w:val="0"/>
        <w:spacing w:after="40"/>
        <w:ind w:left="357" w:right="142"/>
        <w:rPr>
          <w:szCs w:val="24"/>
        </w:rPr>
      </w:pPr>
      <w:r w:rsidRPr="00DB2665">
        <w:rPr>
          <w:szCs w:val="24"/>
        </w:rPr>
        <w:t xml:space="preserve">Rail Cargo Hungária Zrt., Celldömölk </w:t>
      </w:r>
      <w:r w:rsidRPr="00DB2665">
        <w:rPr>
          <w:szCs w:val="24"/>
        </w:rPr>
        <w:tab/>
        <w:t xml:space="preserve">142 eFt </w:t>
      </w:r>
      <w:r w:rsidRPr="00DB2665">
        <w:rPr>
          <w:szCs w:val="24"/>
        </w:rPr>
        <w:tab/>
        <w:t xml:space="preserve">869 eFt </w:t>
      </w:r>
    </w:p>
    <w:p w:rsidR="00C230EE" w:rsidRPr="00DB2665" w:rsidRDefault="00C230EE" w:rsidP="00C230EE">
      <w:pPr>
        <w:widowControl w:val="0"/>
        <w:tabs>
          <w:tab w:val="left" w:pos="567"/>
          <w:tab w:val="right" w:pos="5529"/>
          <w:tab w:val="right" w:pos="7938"/>
        </w:tabs>
        <w:suppressAutoHyphens/>
        <w:autoSpaceDE w:val="0"/>
        <w:spacing w:after="40"/>
        <w:ind w:left="357" w:right="142"/>
        <w:rPr>
          <w:szCs w:val="24"/>
        </w:rPr>
      </w:pPr>
      <w:r w:rsidRPr="00DB2665">
        <w:rPr>
          <w:szCs w:val="24"/>
        </w:rPr>
        <w:t xml:space="preserve">Sárvári HUKE Kft., Sárvár </w:t>
      </w:r>
      <w:r w:rsidRPr="00DB2665">
        <w:rPr>
          <w:szCs w:val="24"/>
        </w:rPr>
        <w:tab/>
        <w:t xml:space="preserve">554 eFt </w:t>
      </w:r>
      <w:r w:rsidRPr="00DB2665">
        <w:rPr>
          <w:szCs w:val="24"/>
        </w:rPr>
        <w:tab/>
        <w:t xml:space="preserve">627 eFt </w:t>
      </w:r>
    </w:p>
    <w:p w:rsidR="00C230EE" w:rsidRPr="00DB2665" w:rsidRDefault="00C230EE" w:rsidP="00C230EE">
      <w:pPr>
        <w:widowControl w:val="0"/>
        <w:tabs>
          <w:tab w:val="left" w:pos="567"/>
          <w:tab w:val="right" w:pos="5529"/>
          <w:tab w:val="right" w:pos="7938"/>
        </w:tabs>
        <w:suppressAutoHyphens/>
        <w:autoSpaceDE w:val="0"/>
        <w:spacing w:after="40"/>
        <w:ind w:left="357" w:right="142"/>
        <w:rPr>
          <w:szCs w:val="24"/>
        </w:rPr>
      </w:pPr>
      <w:r w:rsidRPr="00DB2665">
        <w:rPr>
          <w:szCs w:val="24"/>
        </w:rPr>
        <w:t xml:space="preserve">Schaeffler Savaria Kft., Szombathely </w:t>
      </w:r>
      <w:r w:rsidRPr="00DB2665">
        <w:rPr>
          <w:szCs w:val="24"/>
        </w:rPr>
        <w:tab/>
        <w:t xml:space="preserve">534 eFt </w:t>
      </w:r>
      <w:r w:rsidRPr="00DB2665">
        <w:rPr>
          <w:szCs w:val="24"/>
        </w:rPr>
        <w:tab/>
        <w:t xml:space="preserve">330 eFt </w:t>
      </w:r>
    </w:p>
    <w:p w:rsidR="00C230EE" w:rsidRPr="00DB2665" w:rsidRDefault="00C230EE" w:rsidP="00C230EE">
      <w:pPr>
        <w:widowControl w:val="0"/>
        <w:tabs>
          <w:tab w:val="left" w:pos="567"/>
          <w:tab w:val="right" w:pos="5529"/>
          <w:tab w:val="right" w:pos="7938"/>
        </w:tabs>
        <w:suppressAutoHyphens/>
        <w:autoSpaceDE w:val="0"/>
        <w:spacing w:after="40"/>
        <w:ind w:left="357" w:right="142"/>
        <w:rPr>
          <w:szCs w:val="24"/>
        </w:rPr>
      </w:pPr>
      <w:r w:rsidRPr="00DB2665">
        <w:rPr>
          <w:szCs w:val="24"/>
        </w:rPr>
        <w:t xml:space="preserve">Wewalka Kft., Celldömölk </w:t>
      </w:r>
      <w:r w:rsidRPr="00DB2665">
        <w:rPr>
          <w:szCs w:val="24"/>
        </w:rPr>
        <w:tab/>
        <w:t xml:space="preserve">270 eFt </w:t>
      </w:r>
      <w:r w:rsidRPr="00DB2665">
        <w:rPr>
          <w:szCs w:val="24"/>
        </w:rPr>
        <w:tab/>
        <w:t xml:space="preserve">287 eFt </w:t>
      </w:r>
    </w:p>
    <w:p w:rsidR="00C230EE" w:rsidRDefault="00C230EE" w:rsidP="00C230EE">
      <w:pPr>
        <w:autoSpaceDE w:val="0"/>
        <w:autoSpaceDN w:val="0"/>
        <w:adjustRightInd w:val="0"/>
        <w:rPr>
          <w:color w:val="000000"/>
          <w:szCs w:val="24"/>
        </w:rPr>
      </w:pPr>
      <w:r w:rsidRPr="00DB2665">
        <w:rPr>
          <w:szCs w:val="24"/>
        </w:rPr>
        <w:t>A Kemenes Food Kft. helyszíni ellenőrzés küszöbérték túllépése a hatóság szerint nem mutatja az ön</w:t>
      </w:r>
      <w:r w:rsidRPr="00DB2665">
        <w:rPr>
          <w:color w:val="000000"/>
          <w:szCs w:val="24"/>
        </w:rPr>
        <w:t xml:space="preserve">ellenőrzés nem megfelelőségét, így ezt nem szankcionálták. </w:t>
      </w:r>
    </w:p>
    <w:p w:rsidR="009B5141" w:rsidRPr="00DB2665" w:rsidRDefault="009B5141" w:rsidP="00C230EE">
      <w:pPr>
        <w:autoSpaceDE w:val="0"/>
        <w:autoSpaceDN w:val="0"/>
        <w:adjustRightInd w:val="0"/>
        <w:rPr>
          <w:color w:val="000000"/>
          <w:szCs w:val="24"/>
        </w:rPr>
      </w:pPr>
    </w:p>
    <w:p w:rsidR="00C44094" w:rsidRPr="009B5141" w:rsidRDefault="00C44094" w:rsidP="00C44094">
      <w:pPr>
        <w:pStyle w:val="Cmsor2"/>
        <w:ind w:right="142"/>
        <w:rPr>
          <w:sz w:val="24"/>
          <w:szCs w:val="24"/>
        </w:rPr>
      </w:pPr>
      <w:bookmarkStart w:id="54" w:name="_Toc510018803"/>
      <w:bookmarkStart w:id="55" w:name="_Toc520814882"/>
      <w:bookmarkStart w:id="56" w:name="_Toc132629487"/>
      <w:r w:rsidRPr="009B5141">
        <w:rPr>
          <w:sz w:val="24"/>
          <w:szCs w:val="24"/>
        </w:rPr>
        <w:t>Hatósági ellenőrzés, szennyvízbírság</w:t>
      </w:r>
      <w:bookmarkEnd w:id="54"/>
      <w:bookmarkEnd w:id="55"/>
      <w:bookmarkEnd w:id="56"/>
    </w:p>
    <w:p w:rsidR="00246D0E" w:rsidRPr="009B5141" w:rsidRDefault="00246D0E" w:rsidP="00D80322">
      <w:pPr>
        <w:pStyle w:val="Szvegtrzs32"/>
        <w:spacing w:after="0"/>
        <w:jc w:val="both"/>
        <w:rPr>
          <w:color w:val="auto"/>
          <w:kern w:val="0"/>
          <w:szCs w:val="24"/>
        </w:rPr>
      </w:pPr>
      <w:r w:rsidRPr="009B5141">
        <w:rPr>
          <w:color w:val="000000"/>
          <w:szCs w:val="24"/>
        </w:rPr>
        <w:t xml:space="preserve">2022. évben </w:t>
      </w:r>
      <w:r w:rsidRPr="009B5141">
        <w:rPr>
          <w:color w:val="auto"/>
          <w:kern w:val="0"/>
          <w:szCs w:val="24"/>
        </w:rPr>
        <w:t>a vízügyi hatóság helyszíni ellenőrzést Bajánsenye, Egyházashetye, Egyházasrádóc, Hegyhátszentjakab, Ivánc, Jánosháza, Kemenesmihályfa, Kemenessömjén, Kemenesszentmárton, Kenyeri, Körmend, Külsővat, Magyarszombatfa, Nádasd, Őriszentpéter, Pornóapáti, Rádóckölked, Vasvár, szennyvíztisztító telepeken végzett. Mintavétel Jánosházán történt, kifogást, elmarasztalást nem kaptunk.</w:t>
      </w:r>
    </w:p>
    <w:p w:rsidR="004069E4" w:rsidRDefault="00246D0E" w:rsidP="00246D0E">
      <w:pPr>
        <w:suppressAutoHyphens/>
        <w:rPr>
          <w:color w:val="000000"/>
          <w:szCs w:val="24"/>
        </w:rPr>
      </w:pPr>
      <w:r w:rsidRPr="009B5141">
        <w:rPr>
          <w:szCs w:val="24"/>
          <w:lang w:eastAsia="zh-CN"/>
        </w:rPr>
        <w:t>A 2021. évi szennyvízkibocsátás alapján 733 eFt szennyvízbírságot fizettünk (</w:t>
      </w:r>
      <w:r w:rsidRPr="009B5141">
        <w:rPr>
          <w:color w:val="000000"/>
          <w:szCs w:val="24"/>
        </w:rPr>
        <w:t>Felsőcsatár 120 eFt, Kám 188 eFt, Kemenesmihályfa 58 eFt, Kemenessömjén 121 eFt, Peresznye 95 eFt, Rádóckölked 150 eFt).</w:t>
      </w:r>
    </w:p>
    <w:p w:rsidR="004069E4" w:rsidRDefault="004069E4">
      <w:pPr>
        <w:jc w:val="left"/>
        <w:rPr>
          <w:color w:val="000000"/>
          <w:szCs w:val="24"/>
        </w:rPr>
      </w:pPr>
      <w:r>
        <w:rPr>
          <w:color w:val="000000"/>
          <w:szCs w:val="24"/>
        </w:rPr>
        <w:br w:type="page"/>
      </w:r>
    </w:p>
    <w:p w:rsidR="00D80322" w:rsidRDefault="00D80322" w:rsidP="00246D0E">
      <w:pPr>
        <w:pStyle w:val="Szvegtrzs32"/>
        <w:suppressAutoHyphens w:val="0"/>
        <w:spacing w:after="0"/>
        <w:jc w:val="both"/>
        <w:rPr>
          <w:color w:val="auto"/>
          <w:kern w:val="0"/>
          <w:szCs w:val="24"/>
        </w:rPr>
      </w:pPr>
    </w:p>
    <w:p w:rsidR="00246D0E" w:rsidRPr="009B5141" w:rsidRDefault="00246D0E" w:rsidP="00246D0E">
      <w:pPr>
        <w:pStyle w:val="Szvegtrzs32"/>
        <w:suppressAutoHyphens w:val="0"/>
        <w:spacing w:after="0"/>
        <w:jc w:val="both"/>
        <w:rPr>
          <w:color w:val="auto"/>
          <w:kern w:val="0"/>
          <w:szCs w:val="24"/>
        </w:rPr>
      </w:pPr>
      <w:r w:rsidRPr="009B5141">
        <w:rPr>
          <w:color w:val="auto"/>
          <w:kern w:val="0"/>
          <w:szCs w:val="24"/>
        </w:rPr>
        <w:t>A tisztított szennyvíz határértékek túllépésének nem egyedüli következménye a szennyvízbírság: a Katasztrófavédelmi Igazgatóság bizonyos esetekben előírja, hogy az önkormányzat (a tulajdonos) szennyezés-csökkentési ütemtervet nyújtson be. Ennek az ütemtervnek konkrét beavatkozásokat - fejlesztéseket, beruházásokat - kell tartalmaznia.</w:t>
      </w:r>
    </w:p>
    <w:p w:rsidR="00246D0E" w:rsidRPr="00ED553F" w:rsidRDefault="00246D0E" w:rsidP="00246D0E">
      <w:pPr>
        <w:pStyle w:val="Szvegtrzs32"/>
        <w:suppressAutoHyphens w:val="0"/>
        <w:spacing w:after="0"/>
        <w:jc w:val="both"/>
        <w:rPr>
          <w:color w:val="auto"/>
          <w:kern w:val="0"/>
          <w:sz w:val="12"/>
          <w:szCs w:val="12"/>
        </w:rPr>
      </w:pPr>
    </w:p>
    <w:p w:rsidR="00246D0E" w:rsidRPr="009B5141" w:rsidRDefault="00246D0E" w:rsidP="00246D0E">
      <w:pPr>
        <w:pStyle w:val="Szvegtrzs32"/>
        <w:suppressAutoHyphens w:val="0"/>
        <w:spacing w:after="0"/>
        <w:jc w:val="both"/>
        <w:rPr>
          <w:color w:val="auto"/>
          <w:kern w:val="0"/>
          <w:szCs w:val="24"/>
        </w:rPr>
      </w:pPr>
      <w:r w:rsidRPr="009B5141">
        <w:rPr>
          <w:color w:val="auto"/>
          <w:kern w:val="0"/>
          <w:szCs w:val="24"/>
        </w:rPr>
        <w:t xml:space="preserve">A 2021. évi kibocsátások után Bajánsenye, Csepreg, Kemenesmihályfa, Oszkó, Őriszentpéter, Rádóckölked szennyvíztisztító telepek tulajdonos önkormányzatait kötelezte a hatóság szennyezés-csökkentési ütemterv benyújtására, amelynek elkészítéséhez segítséget nyújtottunk az önkormányzatoknak. </w:t>
      </w:r>
    </w:p>
    <w:p w:rsidR="00246D0E" w:rsidRPr="009B5141" w:rsidRDefault="00246D0E" w:rsidP="00246D0E">
      <w:pPr>
        <w:pStyle w:val="Szvegtrzs32"/>
        <w:suppressAutoHyphens w:val="0"/>
        <w:spacing w:after="0"/>
        <w:jc w:val="both"/>
        <w:rPr>
          <w:iCs/>
          <w:snapToGrid w:val="0"/>
          <w:szCs w:val="24"/>
        </w:rPr>
      </w:pPr>
      <w:r w:rsidRPr="009B5141">
        <w:rPr>
          <w:color w:val="auto"/>
          <w:kern w:val="0"/>
          <w:szCs w:val="24"/>
        </w:rPr>
        <w:t>Bögöte, Felsőcsatár, Gersekarát, Hegyhátszentjakab, Ják, Kám, Kemenessömjén, Kemenesszentmárton, Oszkó, Rádóckölked, Sitke, Tokorcs, szennyvíztisztító telepek esetében folyamatban van a korábban benyújtott és elfogadott szennyezés-csökkentési ütemterv végrehajtása.</w:t>
      </w:r>
    </w:p>
    <w:p w:rsidR="00246D0E" w:rsidRPr="009B5141" w:rsidRDefault="00246D0E" w:rsidP="00A94EAB">
      <w:pPr>
        <w:pStyle w:val="Szvegtrzs32"/>
        <w:suppressAutoHyphens w:val="0"/>
        <w:spacing w:after="0"/>
        <w:jc w:val="both"/>
        <w:rPr>
          <w:color w:val="auto"/>
          <w:kern w:val="0"/>
          <w:szCs w:val="24"/>
        </w:rPr>
      </w:pPr>
    </w:p>
    <w:p w:rsidR="00D51AA4" w:rsidRPr="009B5141" w:rsidRDefault="00D51AA4" w:rsidP="00DA7CEF">
      <w:pPr>
        <w:pStyle w:val="Cmsor2"/>
        <w:ind w:right="142"/>
        <w:rPr>
          <w:sz w:val="24"/>
          <w:szCs w:val="24"/>
        </w:rPr>
      </w:pPr>
      <w:bookmarkStart w:id="57" w:name="_Toc132629488"/>
      <w:r w:rsidRPr="009B5141">
        <w:rPr>
          <w:sz w:val="24"/>
          <w:szCs w:val="24"/>
        </w:rPr>
        <w:t>Környezetvédelemhez kapcsolódó kötelezettségek, azok teljesítése</w:t>
      </w:r>
      <w:bookmarkEnd w:id="57"/>
    </w:p>
    <w:p w:rsidR="00FC63D5" w:rsidRPr="00D80322" w:rsidRDefault="00FC63D5" w:rsidP="00832284">
      <w:pPr>
        <w:pStyle w:val="Szvegtrzs"/>
        <w:ind w:right="34"/>
        <w:rPr>
          <w:sz w:val="12"/>
          <w:szCs w:val="12"/>
        </w:rPr>
      </w:pPr>
    </w:p>
    <w:p w:rsidR="009C411D" w:rsidRPr="009B5141" w:rsidRDefault="009C411D" w:rsidP="009C411D">
      <w:pPr>
        <w:pStyle w:val="Szvegtrzs33"/>
        <w:ind w:right="34"/>
        <w:jc w:val="both"/>
        <w:rPr>
          <w:sz w:val="24"/>
          <w:szCs w:val="24"/>
        </w:rPr>
      </w:pPr>
      <w:r w:rsidRPr="009B5141">
        <w:rPr>
          <w:sz w:val="24"/>
          <w:szCs w:val="24"/>
        </w:rPr>
        <w:t xml:space="preserve">Társaságunk a szennyvízelvezetési és -tisztítási tevékenységével környezetvédelmi szolgáltatást nyújtó szervezetnek minősül, működésével jelentősen hozzájárul a térség környezeti helyzetének javításához azáltal, hogy a közcsatornán elvezetett szennyvizeket, valamint a települési folyékony hulladékokat szakszerűen, a legszigorúbban ellenőrzött körülmények között gyűjti és ártalmatlanítja. </w:t>
      </w:r>
    </w:p>
    <w:p w:rsidR="009C411D" w:rsidRPr="009B5141" w:rsidRDefault="009C411D" w:rsidP="009C411D">
      <w:pPr>
        <w:pStyle w:val="Szvegtrzs33"/>
        <w:ind w:right="34"/>
        <w:jc w:val="both"/>
        <w:rPr>
          <w:sz w:val="24"/>
          <w:szCs w:val="24"/>
        </w:rPr>
      </w:pPr>
      <w:r w:rsidRPr="009B5141">
        <w:rPr>
          <w:sz w:val="24"/>
          <w:szCs w:val="24"/>
        </w:rPr>
        <w:t>Ezáltal az egészséget és a környezetet súlyosan károsító anyagokat, mint veszélyforrásokat megszünteti. A szakszerű ártalmatlanítás által biztosítja, hogy káros szennyezőanyag ne kerülhessen a környezetbe.</w:t>
      </w:r>
    </w:p>
    <w:p w:rsidR="009C411D" w:rsidRPr="009B5141" w:rsidRDefault="009C411D" w:rsidP="009C411D">
      <w:pPr>
        <w:pStyle w:val="Szvegtrzs33"/>
        <w:ind w:right="34"/>
        <w:jc w:val="both"/>
        <w:rPr>
          <w:sz w:val="24"/>
          <w:szCs w:val="24"/>
        </w:rPr>
      </w:pPr>
      <w:r w:rsidRPr="009B5141">
        <w:rPr>
          <w:sz w:val="24"/>
          <w:szCs w:val="24"/>
        </w:rPr>
        <w:t>Környezetvédelmi politikánk alapja, hogy környezeti teljesítményünk folyamatos javításával teljes mértékben megfeleljünk az egyre szigorodó előírásoknak. A kitűzött környezetvédelmi célok teljesítését folyamatosan figyelemmel kísérjük és értékeljük, az illetékes környezetvédelmi hivatalokkal teljes mértékben együttműködünk.</w:t>
      </w:r>
    </w:p>
    <w:p w:rsidR="009C411D" w:rsidRPr="009B5141" w:rsidRDefault="009C411D" w:rsidP="009C411D">
      <w:pPr>
        <w:pStyle w:val="Szvegtrzs33"/>
        <w:ind w:right="34"/>
        <w:jc w:val="both"/>
        <w:rPr>
          <w:sz w:val="24"/>
          <w:szCs w:val="24"/>
        </w:rPr>
      </w:pPr>
      <w:r w:rsidRPr="009B5141">
        <w:rPr>
          <w:sz w:val="24"/>
          <w:szCs w:val="24"/>
        </w:rPr>
        <w:t>A környezetvédelmi jogi előírások teljesítése mellett környezetvédelmi tevékenységünket folyamatosan továbbfejlesztjük. Ennek biztosítására 2003. decemberében minőség- és környezetközpontú irányítási rendszert (KIR) vezettünk be. 2018 októberében az ISO 14001:2015 szabványra való átállás sikeresen megvalósult.</w:t>
      </w:r>
    </w:p>
    <w:p w:rsidR="009C411D" w:rsidRPr="009B5141" w:rsidRDefault="009C411D" w:rsidP="009C411D">
      <w:pPr>
        <w:pStyle w:val="Szvegtrzs33"/>
        <w:ind w:right="34"/>
        <w:jc w:val="both"/>
        <w:rPr>
          <w:sz w:val="24"/>
          <w:szCs w:val="24"/>
        </w:rPr>
      </w:pPr>
      <w:r w:rsidRPr="009B5141">
        <w:rPr>
          <w:sz w:val="24"/>
          <w:szCs w:val="24"/>
        </w:rPr>
        <w:t xml:space="preserve">Különös figyelmet fordítunk a környezetvédelemmel, illetve a környezetközpontú irányítással </w:t>
      </w:r>
      <w:r w:rsidRPr="009B5141">
        <w:rPr>
          <w:sz w:val="24"/>
          <w:szCs w:val="24"/>
        </w:rPr>
        <w:lastRenderedPageBreak/>
        <w:t>kapcsolatos információáramlás megszervezésére, a hatóságok és a közvélemény tájékoztatására szolgáló rendszerek hatékony működtetésére.</w:t>
      </w:r>
    </w:p>
    <w:p w:rsidR="009C411D" w:rsidRPr="009B5141" w:rsidRDefault="009C411D" w:rsidP="00ED553F">
      <w:pPr>
        <w:pStyle w:val="Szvegtrzs33"/>
        <w:spacing w:after="0"/>
        <w:ind w:right="34"/>
        <w:jc w:val="both"/>
        <w:rPr>
          <w:sz w:val="24"/>
          <w:szCs w:val="24"/>
        </w:rPr>
      </w:pPr>
      <w:r w:rsidRPr="009B5141">
        <w:rPr>
          <w:sz w:val="24"/>
          <w:szCs w:val="24"/>
        </w:rPr>
        <w:t>Új beruházások, fejlesztések tervezésekor a környezetvédelmi szempontokat a lehető legnagyobb mértékben figyelembe vesszük, a környezetszennyezés megelőzésének elvét valljuk. Tevékenységeink tervezése, fejlesztése során előnyben részesítjük a környezetkímélő megoldásokat.</w:t>
      </w:r>
    </w:p>
    <w:p w:rsidR="009C411D" w:rsidRPr="009B5141" w:rsidRDefault="009C411D" w:rsidP="009C411D">
      <w:pPr>
        <w:pStyle w:val="Szvegtrzs"/>
        <w:ind w:right="34"/>
        <w:rPr>
          <w:sz w:val="24"/>
          <w:szCs w:val="24"/>
        </w:rPr>
      </w:pPr>
    </w:p>
    <w:p w:rsidR="009C411D" w:rsidRPr="009B5141" w:rsidRDefault="009C411D" w:rsidP="00ED553F">
      <w:pPr>
        <w:pStyle w:val="Szvegtrzs33"/>
        <w:spacing w:after="0"/>
        <w:ind w:right="34"/>
        <w:jc w:val="both"/>
        <w:rPr>
          <w:sz w:val="24"/>
          <w:szCs w:val="24"/>
        </w:rPr>
      </w:pPr>
      <w:r w:rsidRPr="009B5141">
        <w:rPr>
          <w:sz w:val="24"/>
          <w:szCs w:val="24"/>
        </w:rPr>
        <w:t>2022-ben 910 kg veszélyes hulladék elszállítása történt összesen 169 eFt költséggel.</w:t>
      </w:r>
    </w:p>
    <w:p w:rsidR="009C411D" w:rsidRPr="009B5141" w:rsidRDefault="009C411D" w:rsidP="00ED553F">
      <w:pPr>
        <w:pStyle w:val="Szvegtrzs33"/>
        <w:spacing w:after="0"/>
        <w:ind w:right="34"/>
        <w:jc w:val="both"/>
        <w:rPr>
          <w:sz w:val="24"/>
          <w:szCs w:val="24"/>
        </w:rPr>
      </w:pPr>
      <w:r w:rsidRPr="009B5141">
        <w:rPr>
          <w:sz w:val="24"/>
          <w:szCs w:val="24"/>
        </w:rPr>
        <w:t>Tárgyidőszakban teljesített környezetvédelmi kötelezettségeink: levegőtisztaság védelmi vizsgálatok 146 eFt, levegőterhelési díj 380 eFt, vízterhelési díj 40 607 eFt, összesen 41 133 eFt.</w:t>
      </w:r>
    </w:p>
    <w:p w:rsidR="009C411D" w:rsidRPr="00ED553F" w:rsidRDefault="009C411D" w:rsidP="00ED553F">
      <w:pPr>
        <w:pStyle w:val="Szvegtrzs33"/>
        <w:spacing w:after="0"/>
        <w:ind w:right="34"/>
        <w:jc w:val="both"/>
        <w:rPr>
          <w:sz w:val="24"/>
          <w:szCs w:val="24"/>
        </w:rPr>
      </w:pPr>
      <w:r w:rsidRPr="00ED553F">
        <w:rPr>
          <w:sz w:val="24"/>
          <w:szCs w:val="24"/>
        </w:rPr>
        <w:t xml:space="preserve">Hulladékkezelési tevékenységből (nem csatornázott településeken összegyűjtött szennyvíz </w:t>
      </w:r>
      <w:r w:rsidR="005D0AC9" w:rsidRPr="00ED553F">
        <w:rPr>
          <w:sz w:val="24"/>
          <w:szCs w:val="24"/>
        </w:rPr>
        <w:t>19 094</w:t>
      </w:r>
      <w:r w:rsidRPr="00ED553F">
        <w:rPr>
          <w:sz w:val="24"/>
          <w:szCs w:val="24"/>
        </w:rPr>
        <w:t xml:space="preserve"> eFt, illetve folyékony, nem veszélyes hulladékok fogadása és kezelése </w:t>
      </w:r>
      <w:r w:rsidR="005D0AC9" w:rsidRPr="00ED553F">
        <w:rPr>
          <w:sz w:val="24"/>
          <w:szCs w:val="24"/>
        </w:rPr>
        <w:t>10 908</w:t>
      </w:r>
      <w:r w:rsidRPr="00ED553F">
        <w:rPr>
          <w:sz w:val="24"/>
          <w:szCs w:val="24"/>
        </w:rPr>
        <w:t xml:space="preserve"> eFt) származó bevétel </w:t>
      </w:r>
      <w:r w:rsidR="00ED553F">
        <w:rPr>
          <w:sz w:val="24"/>
          <w:szCs w:val="24"/>
        </w:rPr>
        <w:br/>
      </w:r>
      <w:r w:rsidRPr="00ED553F">
        <w:rPr>
          <w:sz w:val="24"/>
          <w:szCs w:val="24"/>
        </w:rPr>
        <w:t>3</w:t>
      </w:r>
      <w:r w:rsidR="005D0AC9" w:rsidRPr="00ED553F">
        <w:rPr>
          <w:sz w:val="24"/>
          <w:szCs w:val="24"/>
        </w:rPr>
        <w:t>0 002</w:t>
      </w:r>
      <w:r w:rsidR="00ED553F">
        <w:rPr>
          <w:sz w:val="24"/>
          <w:szCs w:val="24"/>
        </w:rPr>
        <w:t xml:space="preserve"> eFt.</w:t>
      </w:r>
    </w:p>
    <w:p w:rsidR="009C411D" w:rsidRPr="009B5141" w:rsidRDefault="009C411D" w:rsidP="00832284">
      <w:pPr>
        <w:pStyle w:val="Szvegtrzs"/>
        <w:ind w:right="34"/>
        <w:rPr>
          <w:sz w:val="24"/>
          <w:szCs w:val="24"/>
        </w:rPr>
      </w:pPr>
    </w:p>
    <w:p w:rsidR="00832585" w:rsidRPr="009B5141" w:rsidRDefault="00832585" w:rsidP="00BB4681">
      <w:pPr>
        <w:pStyle w:val="Cmsor2"/>
        <w:ind w:right="142"/>
        <w:rPr>
          <w:sz w:val="24"/>
          <w:szCs w:val="24"/>
        </w:rPr>
      </w:pPr>
      <w:bookmarkStart w:id="58" w:name="_Toc132629489"/>
      <w:r w:rsidRPr="009B5141">
        <w:rPr>
          <w:sz w:val="24"/>
          <w:szCs w:val="24"/>
        </w:rPr>
        <w:t>Környezetvédelmi intézkedések</w:t>
      </w:r>
      <w:bookmarkEnd w:id="58"/>
    </w:p>
    <w:p w:rsidR="00FC63D5" w:rsidRPr="00D80322" w:rsidRDefault="00FC63D5" w:rsidP="00001BEE">
      <w:pPr>
        <w:pStyle w:val="Szvegtrzs2"/>
        <w:ind w:right="34"/>
        <w:rPr>
          <w:sz w:val="12"/>
          <w:szCs w:val="12"/>
        </w:rPr>
      </w:pPr>
    </w:p>
    <w:p w:rsidR="004069E4" w:rsidRDefault="005D0AC9" w:rsidP="00ED553F">
      <w:pPr>
        <w:pStyle w:val="Szvegtrzs2"/>
        <w:ind w:right="176"/>
        <w:rPr>
          <w:szCs w:val="24"/>
        </w:rPr>
      </w:pPr>
      <w:r w:rsidRPr="009B5141">
        <w:rPr>
          <w:szCs w:val="24"/>
        </w:rPr>
        <w:t>Folyamatosan végezzük a kutak, gépházak, kiszolgáló épületek építészeti (tetőcsere, tetőszigetelés, nyílászáró-csere, fűtéskorszerűsítés), gépészeti és villamos rekonstrukcióit a jobb energiagazdálkodás érdekében. Szennyvíz átemelők szaghatásából eredő környezetterhelés csökkentése vegyszerek és biofilterek alkalmazásával.</w:t>
      </w:r>
    </w:p>
    <w:p w:rsidR="004069E4" w:rsidRDefault="004069E4">
      <w:pPr>
        <w:jc w:val="left"/>
        <w:rPr>
          <w:szCs w:val="24"/>
        </w:rPr>
      </w:pPr>
      <w:r>
        <w:rPr>
          <w:szCs w:val="24"/>
        </w:rPr>
        <w:br w:type="page"/>
      </w:r>
    </w:p>
    <w:p w:rsidR="00D80322" w:rsidRPr="004069E4" w:rsidRDefault="00D80322" w:rsidP="00ED553F">
      <w:pPr>
        <w:pStyle w:val="Szvegtrzs2"/>
        <w:ind w:right="176"/>
        <w:rPr>
          <w:sz w:val="16"/>
          <w:szCs w:val="16"/>
        </w:rPr>
      </w:pPr>
    </w:p>
    <w:p w:rsidR="00D80322" w:rsidRPr="004069E4" w:rsidRDefault="00D80322" w:rsidP="00ED553F">
      <w:pPr>
        <w:pStyle w:val="Szvegtrzs2"/>
        <w:ind w:right="176"/>
        <w:rPr>
          <w:sz w:val="16"/>
          <w:szCs w:val="16"/>
        </w:rPr>
      </w:pPr>
    </w:p>
    <w:p w:rsidR="005D0AC9" w:rsidRPr="009B5141" w:rsidRDefault="005D0AC9" w:rsidP="00ED553F">
      <w:pPr>
        <w:pStyle w:val="Szvegtrzs2"/>
        <w:ind w:right="176"/>
        <w:rPr>
          <w:szCs w:val="24"/>
        </w:rPr>
      </w:pPr>
      <w:r w:rsidRPr="009B5141">
        <w:rPr>
          <w:szCs w:val="24"/>
        </w:rPr>
        <w:t>A környezetre káros gépjárműveket folyamatosan cseréljük.</w:t>
      </w:r>
    </w:p>
    <w:p w:rsidR="005D0AC9" w:rsidRPr="009B5141" w:rsidRDefault="005D0AC9" w:rsidP="00ED553F">
      <w:pPr>
        <w:pStyle w:val="Szvegtrzs2"/>
        <w:ind w:right="176"/>
        <w:rPr>
          <w:szCs w:val="24"/>
        </w:rPr>
      </w:pPr>
      <w:r w:rsidRPr="009B5141">
        <w:rPr>
          <w:szCs w:val="24"/>
        </w:rPr>
        <w:t>Környezeti értékeink megóvása érdekében az éves fajlagos gáz- és villamos energia felhasználást folyamatosan szándékozunk csökkenteni a berendezések optimalizálásával, takarékos üzemeltetéssel.</w:t>
      </w:r>
    </w:p>
    <w:p w:rsidR="005D0AC9" w:rsidRPr="009B5141" w:rsidRDefault="005D0AC9" w:rsidP="00ED553F">
      <w:pPr>
        <w:pStyle w:val="Szvegtrzs2"/>
        <w:ind w:right="176"/>
        <w:rPr>
          <w:szCs w:val="24"/>
        </w:rPr>
      </w:pPr>
      <w:r w:rsidRPr="009B5141">
        <w:rPr>
          <w:szCs w:val="24"/>
        </w:rPr>
        <w:t>Az elektronikai hulladékokat bontóüzembe szállítjuk a minél nagyobb arányú újrahasznosítás érdekében. A kimerült elemek és akkumulátorok visszavételére megállapodást kötöttünk egy erre szakosodott céggel.</w:t>
      </w:r>
    </w:p>
    <w:p w:rsidR="005D0AC9" w:rsidRPr="009B5141" w:rsidRDefault="005D0AC9" w:rsidP="00ED553F">
      <w:pPr>
        <w:pStyle w:val="Szvegtrzs2"/>
        <w:ind w:right="176"/>
        <w:rPr>
          <w:szCs w:val="24"/>
        </w:rPr>
      </w:pPr>
      <w:r w:rsidRPr="009B5141">
        <w:rPr>
          <w:szCs w:val="24"/>
        </w:rPr>
        <w:t>Az építési-bontási hulladékokat – a helyszíni felhasználás mellett – lerakás helyett hasznosító cégnek adjuk át.</w:t>
      </w:r>
    </w:p>
    <w:p w:rsidR="005D0AC9" w:rsidRPr="009B5141" w:rsidRDefault="005D0AC9" w:rsidP="00ED553F">
      <w:pPr>
        <w:pStyle w:val="Szvegtrzs2"/>
        <w:tabs>
          <w:tab w:val="left" w:pos="708"/>
        </w:tabs>
        <w:ind w:right="176"/>
        <w:rPr>
          <w:szCs w:val="24"/>
        </w:rPr>
      </w:pPr>
      <w:r w:rsidRPr="009B5141">
        <w:rPr>
          <w:szCs w:val="24"/>
        </w:rPr>
        <w:t xml:space="preserve">A munkák során hulladékká vált vasat szelektíven </w:t>
      </w:r>
      <w:r w:rsidR="00CA36D0" w:rsidRPr="009B5141">
        <w:rPr>
          <w:szCs w:val="24"/>
        </w:rPr>
        <w:t>gyűjtjük,</w:t>
      </w:r>
      <w:r w:rsidRPr="009B5141">
        <w:rPr>
          <w:szCs w:val="24"/>
        </w:rPr>
        <w:t xml:space="preserve"> és szerződéses partnernek adjuk át további hasznosítás céljára. </w:t>
      </w:r>
    </w:p>
    <w:p w:rsidR="005D0AC9" w:rsidRPr="009B5141" w:rsidRDefault="005D0AC9" w:rsidP="00ED553F">
      <w:pPr>
        <w:pStyle w:val="Szvegtrzs2"/>
        <w:tabs>
          <w:tab w:val="left" w:pos="708"/>
        </w:tabs>
        <w:ind w:right="176"/>
        <w:rPr>
          <w:szCs w:val="24"/>
        </w:rPr>
      </w:pPr>
      <w:r w:rsidRPr="009B5141">
        <w:rPr>
          <w:szCs w:val="24"/>
        </w:rPr>
        <w:t>Az irodai papír hulladék elkülönített gyűjtése, hasznosítása: belső felhasználásra újrahasznosított papírt használunk.</w:t>
      </w:r>
    </w:p>
    <w:p w:rsidR="005D0AC9" w:rsidRPr="009B5141" w:rsidRDefault="005D0AC9" w:rsidP="00ED553F">
      <w:pPr>
        <w:pStyle w:val="Szvegtrzs3"/>
        <w:ind w:right="176"/>
        <w:rPr>
          <w:szCs w:val="24"/>
        </w:rPr>
      </w:pPr>
    </w:p>
    <w:p w:rsidR="005D0AC9" w:rsidRPr="009B5141" w:rsidRDefault="005D0AC9" w:rsidP="00ED553F">
      <w:pPr>
        <w:pStyle w:val="Szvegtrzs2"/>
        <w:tabs>
          <w:tab w:val="left" w:pos="708"/>
        </w:tabs>
        <w:ind w:right="176" w:firstLine="11"/>
        <w:rPr>
          <w:szCs w:val="24"/>
        </w:rPr>
      </w:pPr>
      <w:r w:rsidRPr="009B5141">
        <w:rPr>
          <w:szCs w:val="24"/>
        </w:rPr>
        <w:t>Pályázaton nyert közel 100 mFt-ból megvalósult a napelemes kiserőművek telepítése Hosszúpereszteg, Kenéz, Körmend és Szombathely-Sárdér vízmű gépházakban, illetve Ják, Sárvár, Körmend, Szentpéterfa és Szombathely szennyvíztisztító telepeken.</w:t>
      </w:r>
    </w:p>
    <w:p w:rsidR="005D0AC9" w:rsidRPr="00DB2665" w:rsidRDefault="005D0AC9" w:rsidP="00802998">
      <w:pPr>
        <w:pStyle w:val="Szvegtrzs2"/>
        <w:ind w:right="317"/>
        <w:rPr>
          <w:szCs w:val="24"/>
        </w:rPr>
      </w:pPr>
    </w:p>
    <w:p w:rsidR="00D51AA4" w:rsidRPr="00DB2665" w:rsidRDefault="00D51AA4" w:rsidP="00651DB3">
      <w:pPr>
        <w:pStyle w:val="Cmsor1"/>
        <w:rPr>
          <w:sz w:val="28"/>
          <w:szCs w:val="28"/>
        </w:rPr>
      </w:pPr>
      <w:bookmarkStart w:id="59" w:name="_Toc132629490"/>
      <w:r w:rsidRPr="00DB2665">
        <w:rPr>
          <w:sz w:val="28"/>
          <w:szCs w:val="28"/>
        </w:rPr>
        <w:t>VI. Fejlesztési-beruházási tevékenység</w:t>
      </w:r>
      <w:bookmarkEnd w:id="59"/>
    </w:p>
    <w:p w:rsidR="00E4612E" w:rsidRPr="00DB2665" w:rsidRDefault="00E4612E" w:rsidP="00E4612E">
      <w:pPr>
        <w:rPr>
          <w:sz w:val="16"/>
          <w:szCs w:val="16"/>
        </w:rPr>
      </w:pPr>
    </w:p>
    <w:p w:rsidR="00E4612E" w:rsidRPr="00DB2665" w:rsidRDefault="00E4612E" w:rsidP="00E4612E">
      <w:pPr>
        <w:pStyle w:val="Nincstrkz"/>
        <w:ind w:right="-108"/>
        <w:jc w:val="both"/>
        <w:rPr>
          <w:sz w:val="20"/>
          <w:szCs w:val="20"/>
        </w:rPr>
      </w:pPr>
    </w:p>
    <w:p w:rsidR="00C739AA" w:rsidRPr="00DB2665" w:rsidRDefault="00C739AA" w:rsidP="009B5141">
      <w:pPr>
        <w:pStyle w:val="Nincstrkz"/>
        <w:ind w:right="34"/>
        <w:jc w:val="center"/>
        <w:rPr>
          <w:sz w:val="24"/>
          <w:szCs w:val="24"/>
        </w:rPr>
      </w:pPr>
      <w:r w:rsidRPr="00DB2665">
        <w:rPr>
          <w:noProof/>
          <w:lang w:eastAsia="hu-HU"/>
        </w:rPr>
        <w:lastRenderedPageBreak/>
        <w:drawing>
          <wp:inline distT="0" distB="0" distL="0" distR="0" wp14:anchorId="153A602E" wp14:editId="6A1660AA">
            <wp:extent cx="6195974" cy="3182112"/>
            <wp:effectExtent l="0" t="0" r="14605" b="18415"/>
            <wp:docPr id="17" name="Diagram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C739AA" w:rsidRPr="00DB2665" w:rsidRDefault="00C739AA" w:rsidP="00E4612E">
      <w:pPr>
        <w:pStyle w:val="Nincstrkz"/>
        <w:ind w:right="34"/>
        <w:jc w:val="both"/>
        <w:rPr>
          <w:sz w:val="24"/>
          <w:szCs w:val="24"/>
        </w:rPr>
      </w:pPr>
    </w:p>
    <w:p w:rsidR="002B7280" w:rsidRDefault="002B7280" w:rsidP="00E4612E">
      <w:pPr>
        <w:pStyle w:val="Nincstrkz"/>
        <w:ind w:right="34"/>
        <w:jc w:val="both"/>
        <w:rPr>
          <w:sz w:val="24"/>
          <w:szCs w:val="24"/>
        </w:rPr>
      </w:pPr>
    </w:p>
    <w:p w:rsidR="00E4612E" w:rsidRPr="00DB2665" w:rsidRDefault="00E4612E" w:rsidP="00E4612E">
      <w:pPr>
        <w:pStyle w:val="Nincstrkz"/>
        <w:ind w:right="34"/>
        <w:jc w:val="both"/>
        <w:rPr>
          <w:sz w:val="24"/>
          <w:szCs w:val="24"/>
        </w:rPr>
      </w:pPr>
      <w:r w:rsidRPr="00DB2665">
        <w:rPr>
          <w:sz w:val="24"/>
          <w:szCs w:val="24"/>
        </w:rPr>
        <w:t>Társaságunk 202</w:t>
      </w:r>
      <w:r w:rsidR="00843FEB" w:rsidRPr="00DB2665">
        <w:rPr>
          <w:sz w:val="24"/>
          <w:szCs w:val="24"/>
        </w:rPr>
        <w:t>2</w:t>
      </w:r>
      <w:r w:rsidRPr="00DB2665">
        <w:rPr>
          <w:sz w:val="24"/>
          <w:szCs w:val="24"/>
        </w:rPr>
        <w:t>. évre a működtető vagyon és rendszerfüggetlen vízi</w:t>
      </w:r>
      <w:r w:rsidR="00376D45" w:rsidRPr="00DB2665">
        <w:rPr>
          <w:sz w:val="24"/>
          <w:szCs w:val="24"/>
        </w:rPr>
        <w:t>közmű vagyon 2022. évi amortizációjából (357 437</w:t>
      </w:r>
      <w:r w:rsidRPr="00DB2665">
        <w:rPr>
          <w:sz w:val="24"/>
          <w:szCs w:val="24"/>
        </w:rPr>
        <w:t xml:space="preserve"> e</w:t>
      </w:r>
      <w:r w:rsidR="00376D45" w:rsidRPr="00DB2665">
        <w:rPr>
          <w:sz w:val="24"/>
          <w:szCs w:val="24"/>
        </w:rPr>
        <w:t>Ft) az előző évről áthúzódó 94 000</w:t>
      </w:r>
      <w:r w:rsidRPr="00DB2665">
        <w:rPr>
          <w:sz w:val="24"/>
          <w:szCs w:val="24"/>
        </w:rPr>
        <w:t xml:space="preserve"> eFt beruházással együtt 4</w:t>
      </w:r>
      <w:r w:rsidR="00376D45" w:rsidRPr="00DB2665">
        <w:rPr>
          <w:sz w:val="24"/>
          <w:szCs w:val="24"/>
        </w:rPr>
        <w:t>49 000</w:t>
      </w:r>
      <w:r w:rsidRPr="00DB2665">
        <w:rPr>
          <w:sz w:val="24"/>
          <w:szCs w:val="24"/>
        </w:rPr>
        <w:t xml:space="preserve"> eFt értékű beruházást tervezett.</w:t>
      </w:r>
    </w:p>
    <w:p w:rsidR="00E4612E" w:rsidRPr="00DB2665" w:rsidRDefault="005D4FBF" w:rsidP="00E4612E">
      <w:pPr>
        <w:ind w:right="34"/>
      </w:pPr>
      <w:r w:rsidRPr="00DB2665">
        <w:t>További beruházásokat terveztünk lekötött tartalékból, VEF pályázati támogatásból és k</w:t>
      </w:r>
      <w:r w:rsidR="00E4612E" w:rsidRPr="00DB2665">
        <w:t xml:space="preserve">özműfejlesztési hozzájárulásból </w:t>
      </w:r>
      <w:r w:rsidRPr="00DB2665">
        <w:t>összesen 200 910</w:t>
      </w:r>
      <w:r w:rsidR="00E4612E" w:rsidRPr="00DB2665">
        <w:t xml:space="preserve"> eFt </w:t>
      </w:r>
      <w:r w:rsidRPr="00DB2665">
        <w:t xml:space="preserve">értékben, amelyből </w:t>
      </w:r>
      <w:r w:rsidR="0091310C" w:rsidRPr="00DB2665">
        <w:t xml:space="preserve">2021. évről húzódott át </w:t>
      </w:r>
      <w:r w:rsidRPr="00DB2665">
        <w:t xml:space="preserve">a 94 000 eFt értékű VEF pályázat </w:t>
      </w:r>
      <w:r w:rsidR="0091310C" w:rsidRPr="00DB2665">
        <w:t>megvalósítása.</w:t>
      </w:r>
    </w:p>
    <w:p w:rsidR="005D4FBF" w:rsidRPr="00DB2665" w:rsidRDefault="005D4FBF" w:rsidP="005D4FBF">
      <w:pPr>
        <w:pStyle w:val="Szvegtrzs"/>
        <w:ind w:right="34"/>
        <w:rPr>
          <w:sz w:val="24"/>
        </w:rPr>
      </w:pPr>
      <w:r w:rsidRPr="00DB2665">
        <w:rPr>
          <w:sz w:val="24"/>
        </w:rPr>
        <w:t xml:space="preserve">Az év során </w:t>
      </w:r>
      <w:r w:rsidR="0091310C" w:rsidRPr="00DB2665">
        <w:rPr>
          <w:sz w:val="24"/>
        </w:rPr>
        <w:t>454 926</w:t>
      </w:r>
      <w:r w:rsidRPr="00DB2665">
        <w:rPr>
          <w:sz w:val="24"/>
        </w:rPr>
        <w:t xml:space="preserve"> eFt értékben történt megrendelés illetve szerződéskötés, ez a tervezettől</w:t>
      </w:r>
      <w:r w:rsidRPr="00DB2665">
        <w:rPr>
          <w:sz w:val="24"/>
        </w:rPr>
        <w:br/>
      </w:r>
      <w:r w:rsidR="0091310C" w:rsidRPr="00DB2665">
        <w:rPr>
          <w:sz w:val="24"/>
        </w:rPr>
        <w:t>30</w:t>
      </w:r>
      <w:r w:rsidRPr="00DB2665">
        <w:rPr>
          <w:sz w:val="24"/>
        </w:rPr>
        <w:t xml:space="preserve"> %-kal marad</w:t>
      </w:r>
      <w:r w:rsidR="00A34242">
        <w:rPr>
          <w:sz w:val="24"/>
        </w:rPr>
        <w:t>t</w:t>
      </w:r>
      <w:r w:rsidRPr="00DB2665">
        <w:rPr>
          <w:sz w:val="24"/>
        </w:rPr>
        <w:t xml:space="preserve"> el. 202</w:t>
      </w:r>
      <w:r w:rsidR="0091310C" w:rsidRPr="00DB2665">
        <w:rPr>
          <w:sz w:val="24"/>
        </w:rPr>
        <w:t>3</w:t>
      </w:r>
      <w:r w:rsidRPr="00DB2665">
        <w:rPr>
          <w:sz w:val="24"/>
        </w:rPr>
        <w:t>. évre áthúzódó beruházás az amortizáció</w:t>
      </w:r>
      <w:r w:rsidR="0091310C" w:rsidRPr="00DB2665">
        <w:rPr>
          <w:sz w:val="24"/>
        </w:rPr>
        <w:t>s forrás</w:t>
      </w:r>
      <w:r w:rsidRPr="00DB2665">
        <w:rPr>
          <w:sz w:val="24"/>
        </w:rPr>
        <w:t>ból 1</w:t>
      </w:r>
      <w:r w:rsidR="0091310C" w:rsidRPr="00DB2665">
        <w:rPr>
          <w:sz w:val="24"/>
        </w:rPr>
        <w:t xml:space="preserve"> 628</w:t>
      </w:r>
      <w:r w:rsidRPr="00DB2665">
        <w:rPr>
          <w:sz w:val="24"/>
        </w:rPr>
        <w:t xml:space="preserve"> eFt, a ténylegesen kifizetett összeg </w:t>
      </w:r>
      <w:r w:rsidR="0091310C" w:rsidRPr="00DB2665">
        <w:rPr>
          <w:sz w:val="24"/>
        </w:rPr>
        <w:t>433 797</w:t>
      </w:r>
      <w:r w:rsidRPr="00DB2665">
        <w:rPr>
          <w:sz w:val="24"/>
        </w:rPr>
        <w:t xml:space="preserve"> eFt.</w:t>
      </w:r>
    </w:p>
    <w:p w:rsidR="004069E4" w:rsidRDefault="0091310C" w:rsidP="0091310C">
      <w:pPr>
        <w:ind w:right="34"/>
      </w:pPr>
      <w:r w:rsidRPr="00DB2665">
        <w:t>Saját kivitelezésben végzett beruházások aktivált értéke 60 913 eFt.</w:t>
      </w:r>
    </w:p>
    <w:p w:rsidR="004069E4" w:rsidRDefault="004069E4">
      <w:pPr>
        <w:jc w:val="left"/>
      </w:pPr>
      <w:r>
        <w:br w:type="page"/>
      </w:r>
    </w:p>
    <w:p w:rsidR="00E736F6" w:rsidRDefault="00E736F6" w:rsidP="00A86A97">
      <w:pPr>
        <w:pStyle w:val="Szvegtrzs2"/>
        <w:ind w:right="34"/>
        <w:rPr>
          <w:szCs w:val="24"/>
        </w:rPr>
      </w:pPr>
    </w:p>
    <w:p w:rsidR="00D51AA4" w:rsidRDefault="00D51AA4">
      <w:pPr>
        <w:pStyle w:val="Cmsor2"/>
        <w:rPr>
          <w:sz w:val="24"/>
          <w:szCs w:val="24"/>
        </w:rPr>
      </w:pPr>
      <w:bookmarkStart w:id="60" w:name="_Toc132629491"/>
      <w:r w:rsidRPr="009B5141">
        <w:rPr>
          <w:sz w:val="24"/>
          <w:szCs w:val="24"/>
        </w:rPr>
        <w:t>Beruházási pénzeszközök források szerinti felhasználása</w:t>
      </w:r>
      <w:bookmarkEnd w:id="60"/>
    </w:p>
    <w:p w:rsidR="000A0A11" w:rsidRPr="004069E4" w:rsidRDefault="000A0A11" w:rsidP="000A0A11">
      <w:pPr>
        <w:rPr>
          <w:sz w:val="16"/>
          <w:szCs w:val="16"/>
        </w:rPr>
      </w:pPr>
    </w:p>
    <w:p w:rsidR="000A0A11" w:rsidRPr="00DB2665" w:rsidRDefault="000A0A11" w:rsidP="000A0A11">
      <w:pPr>
        <w:ind w:left="-142" w:right="200"/>
        <w:jc w:val="right"/>
        <w:rPr>
          <w:sz w:val="16"/>
          <w:szCs w:val="16"/>
        </w:rPr>
      </w:pPr>
      <w:r w:rsidRPr="00DB2665">
        <w:rPr>
          <w:sz w:val="16"/>
          <w:szCs w:val="16"/>
        </w:rPr>
        <w:t>eFt</w:t>
      </w:r>
    </w:p>
    <w:tbl>
      <w:tblPr>
        <w:tblW w:w="12352" w:type="dxa"/>
        <w:tblLayout w:type="fixed"/>
        <w:tblCellMar>
          <w:left w:w="0" w:type="dxa"/>
          <w:right w:w="0" w:type="dxa"/>
        </w:tblCellMar>
        <w:tblLook w:val="0000" w:firstRow="0" w:lastRow="0" w:firstColumn="0" w:lastColumn="0" w:noHBand="0" w:noVBand="0"/>
      </w:tblPr>
      <w:tblGrid>
        <w:gridCol w:w="2977"/>
        <w:gridCol w:w="979"/>
        <w:gridCol w:w="152"/>
        <w:gridCol w:w="995"/>
        <w:gridCol w:w="142"/>
        <w:gridCol w:w="147"/>
        <w:gridCol w:w="987"/>
        <w:gridCol w:w="284"/>
        <w:gridCol w:w="225"/>
        <w:gridCol w:w="687"/>
        <w:gridCol w:w="80"/>
        <w:gridCol w:w="729"/>
        <w:gridCol w:w="263"/>
        <w:gridCol w:w="142"/>
        <w:gridCol w:w="791"/>
        <w:gridCol w:w="201"/>
        <w:gridCol w:w="142"/>
        <w:gridCol w:w="913"/>
        <w:gridCol w:w="1516"/>
      </w:tblGrid>
      <w:tr w:rsidR="000A0A11" w:rsidRPr="00DB2665" w:rsidTr="004069E4">
        <w:trPr>
          <w:gridAfter w:val="2"/>
          <w:wAfter w:w="2429" w:type="dxa"/>
          <w:trHeight w:val="749"/>
        </w:trPr>
        <w:tc>
          <w:tcPr>
            <w:tcW w:w="2977" w:type="dxa"/>
            <w:tcBorders>
              <w:top w:val="single" w:sz="4" w:space="0" w:color="auto"/>
              <w:left w:val="nil"/>
              <w:bottom w:val="single" w:sz="4" w:space="0" w:color="auto"/>
              <w:right w:val="nil"/>
            </w:tcBorders>
            <w:vAlign w:val="center"/>
          </w:tcPr>
          <w:p w:rsidR="000A0A11" w:rsidRPr="00DB2665" w:rsidRDefault="000A0A11" w:rsidP="00557E5C">
            <w:pPr>
              <w:rPr>
                <w:i/>
                <w:iCs/>
                <w:sz w:val="22"/>
                <w:szCs w:val="22"/>
              </w:rPr>
            </w:pPr>
            <w:r w:rsidRPr="00DB2665">
              <w:rPr>
                <w:i/>
                <w:iCs/>
                <w:sz w:val="22"/>
                <w:szCs w:val="22"/>
              </w:rPr>
              <w:t>Beruh</w:t>
            </w:r>
            <w:r w:rsidRPr="00DB2665">
              <w:rPr>
                <w:rFonts w:hint="eastAsia"/>
                <w:i/>
                <w:iCs/>
                <w:sz w:val="22"/>
                <w:szCs w:val="22"/>
              </w:rPr>
              <w:t>á</w:t>
            </w:r>
            <w:r w:rsidRPr="00DB2665">
              <w:rPr>
                <w:i/>
                <w:iCs/>
                <w:sz w:val="22"/>
                <w:szCs w:val="22"/>
              </w:rPr>
              <w:t>z</w:t>
            </w:r>
            <w:r w:rsidRPr="00DB2665">
              <w:rPr>
                <w:rFonts w:hint="eastAsia"/>
                <w:i/>
                <w:iCs/>
                <w:sz w:val="22"/>
                <w:szCs w:val="22"/>
              </w:rPr>
              <w:t>á</w:t>
            </w:r>
            <w:r w:rsidRPr="00DB2665">
              <w:rPr>
                <w:i/>
                <w:iCs/>
                <w:sz w:val="22"/>
                <w:szCs w:val="22"/>
              </w:rPr>
              <w:t>s forr</w:t>
            </w:r>
            <w:r w:rsidRPr="00DB2665">
              <w:rPr>
                <w:rFonts w:hint="eastAsia"/>
                <w:i/>
                <w:iCs/>
                <w:sz w:val="22"/>
                <w:szCs w:val="22"/>
              </w:rPr>
              <w:t>á</w:t>
            </w:r>
            <w:r w:rsidRPr="00DB2665">
              <w:rPr>
                <w:i/>
                <w:iCs/>
                <w:sz w:val="22"/>
                <w:szCs w:val="22"/>
              </w:rPr>
              <w:t>sa</w:t>
            </w:r>
          </w:p>
        </w:tc>
        <w:tc>
          <w:tcPr>
            <w:tcW w:w="1131" w:type="dxa"/>
            <w:gridSpan w:val="2"/>
            <w:tcBorders>
              <w:top w:val="single" w:sz="4" w:space="0" w:color="auto"/>
              <w:left w:val="nil"/>
              <w:bottom w:val="single" w:sz="4" w:space="0" w:color="auto"/>
              <w:right w:val="nil"/>
            </w:tcBorders>
            <w:vAlign w:val="center"/>
          </w:tcPr>
          <w:p w:rsidR="000A0A11" w:rsidRPr="00DB2665" w:rsidRDefault="000A0A11" w:rsidP="00557E5C">
            <w:pPr>
              <w:jc w:val="center"/>
              <w:rPr>
                <w:i/>
                <w:iCs/>
                <w:sz w:val="20"/>
                <w:szCs w:val="21"/>
              </w:rPr>
            </w:pPr>
            <w:r w:rsidRPr="00DB2665">
              <w:rPr>
                <w:i/>
                <w:iCs/>
                <w:sz w:val="20"/>
                <w:szCs w:val="21"/>
              </w:rPr>
              <w:t xml:space="preserve">2022. </w:t>
            </w:r>
            <w:r w:rsidRPr="00DB2665">
              <w:rPr>
                <w:rFonts w:hint="eastAsia"/>
                <w:i/>
                <w:iCs/>
                <w:sz w:val="20"/>
                <w:szCs w:val="21"/>
              </w:rPr>
              <w:t>é</w:t>
            </w:r>
            <w:r w:rsidRPr="00DB2665">
              <w:rPr>
                <w:i/>
                <w:iCs/>
                <w:sz w:val="20"/>
                <w:szCs w:val="21"/>
              </w:rPr>
              <w:t>v</w:t>
            </w:r>
            <w:r w:rsidRPr="00DB2665">
              <w:rPr>
                <w:i/>
                <w:iCs/>
                <w:sz w:val="20"/>
                <w:szCs w:val="21"/>
              </w:rPr>
              <w:br/>
              <w:t>terv*</w:t>
            </w:r>
          </w:p>
        </w:tc>
        <w:tc>
          <w:tcPr>
            <w:tcW w:w="1137" w:type="dxa"/>
            <w:gridSpan w:val="2"/>
            <w:tcBorders>
              <w:top w:val="single" w:sz="4" w:space="0" w:color="auto"/>
              <w:left w:val="nil"/>
              <w:bottom w:val="single" w:sz="4" w:space="0" w:color="auto"/>
              <w:right w:val="nil"/>
            </w:tcBorders>
            <w:vAlign w:val="center"/>
          </w:tcPr>
          <w:p w:rsidR="000A0A11" w:rsidRPr="00DB2665" w:rsidRDefault="000A0A11" w:rsidP="00557E5C">
            <w:pPr>
              <w:jc w:val="center"/>
              <w:rPr>
                <w:i/>
                <w:iCs/>
                <w:sz w:val="20"/>
                <w:szCs w:val="22"/>
              </w:rPr>
            </w:pPr>
            <w:r w:rsidRPr="00DB2665">
              <w:rPr>
                <w:i/>
                <w:iCs/>
                <w:sz w:val="20"/>
                <w:szCs w:val="22"/>
              </w:rPr>
              <w:t>T</w:t>
            </w:r>
            <w:r w:rsidRPr="00DB2665">
              <w:rPr>
                <w:rFonts w:hint="eastAsia"/>
                <w:i/>
                <w:iCs/>
                <w:sz w:val="20"/>
                <w:szCs w:val="22"/>
              </w:rPr>
              <w:t>é</w:t>
            </w:r>
            <w:r w:rsidRPr="00DB2665">
              <w:rPr>
                <w:i/>
                <w:iCs/>
                <w:sz w:val="20"/>
                <w:szCs w:val="22"/>
              </w:rPr>
              <w:t>nylegesen</w:t>
            </w:r>
            <w:r w:rsidRPr="00DB2665">
              <w:rPr>
                <w:i/>
                <w:iCs/>
                <w:sz w:val="20"/>
                <w:szCs w:val="22"/>
              </w:rPr>
              <w:br/>
              <w:t>rendelkez</w:t>
            </w:r>
            <w:r w:rsidRPr="00DB2665">
              <w:rPr>
                <w:rFonts w:hint="eastAsia"/>
                <w:i/>
                <w:iCs/>
                <w:sz w:val="20"/>
                <w:szCs w:val="22"/>
              </w:rPr>
              <w:t>é</w:t>
            </w:r>
            <w:r w:rsidRPr="00DB2665">
              <w:rPr>
                <w:i/>
                <w:iCs/>
                <w:sz w:val="20"/>
                <w:szCs w:val="22"/>
              </w:rPr>
              <w:t>sre</w:t>
            </w:r>
            <w:r w:rsidRPr="00DB2665">
              <w:rPr>
                <w:i/>
                <w:iCs/>
                <w:sz w:val="20"/>
                <w:szCs w:val="22"/>
              </w:rPr>
              <w:br/>
            </w:r>
            <w:r w:rsidRPr="00DB2665">
              <w:rPr>
                <w:rFonts w:hint="eastAsia"/>
                <w:i/>
                <w:iCs/>
                <w:sz w:val="20"/>
                <w:szCs w:val="22"/>
              </w:rPr>
              <w:t>á</w:t>
            </w:r>
            <w:r w:rsidRPr="00DB2665">
              <w:rPr>
                <w:i/>
                <w:iCs/>
                <w:sz w:val="20"/>
                <w:szCs w:val="22"/>
              </w:rPr>
              <w:t>ll</w:t>
            </w:r>
            <w:r w:rsidRPr="00DB2665">
              <w:rPr>
                <w:rFonts w:hint="eastAsia"/>
                <w:i/>
                <w:iCs/>
                <w:sz w:val="20"/>
                <w:szCs w:val="22"/>
              </w:rPr>
              <w:t>ó</w:t>
            </w:r>
            <w:r w:rsidRPr="00DB2665">
              <w:rPr>
                <w:i/>
                <w:iCs/>
                <w:sz w:val="20"/>
                <w:szCs w:val="22"/>
              </w:rPr>
              <w:t xml:space="preserve"> forr</w:t>
            </w:r>
            <w:r w:rsidRPr="00DB2665">
              <w:rPr>
                <w:rFonts w:hint="eastAsia"/>
                <w:i/>
                <w:iCs/>
                <w:sz w:val="20"/>
                <w:szCs w:val="22"/>
              </w:rPr>
              <w:t>á</w:t>
            </w:r>
            <w:r w:rsidRPr="00DB2665">
              <w:rPr>
                <w:i/>
                <w:iCs/>
                <w:sz w:val="20"/>
                <w:szCs w:val="22"/>
              </w:rPr>
              <w:t>s*</w:t>
            </w:r>
          </w:p>
        </w:tc>
        <w:tc>
          <w:tcPr>
            <w:tcW w:w="1418" w:type="dxa"/>
            <w:gridSpan w:val="3"/>
            <w:tcBorders>
              <w:top w:val="single" w:sz="4" w:space="0" w:color="auto"/>
              <w:left w:val="nil"/>
              <w:bottom w:val="single" w:sz="4" w:space="0" w:color="auto"/>
              <w:right w:val="nil"/>
            </w:tcBorders>
            <w:vAlign w:val="center"/>
          </w:tcPr>
          <w:p w:rsidR="000A0A11" w:rsidRPr="00DB2665" w:rsidRDefault="000A0A11" w:rsidP="00557E5C">
            <w:pPr>
              <w:jc w:val="center"/>
              <w:rPr>
                <w:i/>
                <w:iCs/>
                <w:sz w:val="20"/>
                <w:szCs w:val="21"/>
              </w:rPr>
            </w:pPr>
            <w:r w:rsidRPr="00DB2665">
              <w:rPr>
                <w:i/>
                <w:iCs/>
                <w:sz w:val="20"/>
                <w:szCs w:val="21"/>
              </w:rPr>
              <w:t>Felhaszn</w:t>
            </w:r>
            <w:r w:rsidRPr="00DB2665">
              <w:rPr>
                <w:rFonts w:hint="eastAsia"/>
                <w:i/>
                <w:iCs/>
                <w:sz w:val="20"/>
                <w:szCs w:val="21"/>
              </w:rPr>
              <w:t>á</w:t>
            </w:r>
            <w:r w:rsidRPr="00DB2665">
              <w:rPr>
                <w:i/>
                <w:iCs/>
                <w:sz w:val="20"/>
                <w:szCs w:val="21"/>
              </w:rPr>
              <w:t>l</w:t>
            </w:r>
            <w:r w:rsidRPr="00DB2665">
              <w:rPr>
                <w:rFonts w:hint="eastAsia"/>
                <w:i/>
                <w:iCs/>
                <w:sz w:val="20"/>
                <w:szCs w:val="21"/>
              </w:rPr>
              <w:t>á</w:t>
            </w:r>
            <w:r w:rsidRPr="00DB2665">
              <w:rPr>
                <w:i/>
                <w:iCs/>
                <w:sz w:val="20"/>
                <w:szCs w:val="21"/>
              </w:rPr>
              <w:t>s**</w:t>
            </w:r>
          </w:p>
          <w:p w:rsidR="000A0A11" w:rsidRPr="00DB2665" w:rsidRDefault="000A0A11" w:rsidP="00557E5C">
            <w:pPr>
              <w:jc w:val="center"/>
              <w:rPr>
                <w:i/>
                <w:iCs/>
                <w:sz w:val="20"/>
                <w:szCs w:val="21"/>
              </w:rPr>
            </w:pPr>
            <w:r w:rsidRPr="00DB2665">
              <w:rPr>
                <w:i/>
                <w:iCs/>
                <w:sz w:val="20"/>
                <w:szCs w:val="21"/>
              </w:rPr>
              <w:t xml:space="preserve">Lekötött </w:t>
            </w:r>
          </w:p>
          <w:p w:rsidR="000A0A11" w:rsidRPr="00DB2665" w:rsidRDefault="000A0A11" w:rsidP="00557E5C">
            <w:pPr>
              <w:jc w:val="center"/>
              <w:rPr>
                <w:i/>
                <w:iCs/>
                <w:sz w:val="20"/>
                <w:szCs w:val="21"/>
              </w:rPr>
            </w:pPr>
            <w:r w:rsidRPr="00DB2665">
              <w:rPr>
                <w:i/>
                <w:iCs/>
                <w:sz w:val="20"/>
                <w:szCs w:val="21"/>
              </w:rPr>
              <w:t>összeg</w:t>
            </w:r>
          </w:p>
        </w:tc>
        <w:tc>
          <w:tcPr>
            <w:tcW w:w="992" w:type="dxa"/>
            <w:gridSpan w:val="3"/>
            <w:tcBorders>
              <w:top w:val="single" w:sz="4" w:space="0" w:color="auto"/>
              <w:left w:val="nil"/>
              <w:bottom w:val="single" w:sz="4" w:space="0" w:color="auto"/>
              <w:right w:val="nil"/>
            </w:tcBorders>
            <w:vAlign w:val="center"/>
          </w:tcPr>
          <w:p w:rsidR="000A0A11" w:rsidRPr="00DB2665" w:rsidRDefault="000A0A11" w:rsidP="00557E5C">
            <w:pPr>
              <w:jc w:val="center"/>
              <w:rPr>
                <w:i/>
                <w:iCs/>
                <w:sz w:val="20"/>
                <w:szCs w:val="22"/>
              </w:rPr>
            </w:pPr>
            <w:r w:rsidRPr="00DB2665">
              <w:rPr>
                <w:i/>
                <w:iCs/>
                <w:sz w:val="20"/>
                <w:szCs w:val="22"/>
              </w:rPr>
              <w:t>Kifizetett</w:t>
            </w:r>
            <w:r w:rsidRPr="00DB2665">
              <w:rPr>
                <w:i/>
                <w:iCs/>
                <w:sz w:val="20"/>
                <w:szCs w:val="22"/>
              </w:rPr>
              <w:br/>
            </w:r>
            <w:r w:rsidRPr="00DB2665">
              <w:rPr>
                <w:rFonts w:hint="eastAsia"/>
                <w:i/>
                <w:iCs/>
                <w:sz w:val="20"/>
                <w:szCs w:val="22"/>
              </w:rPr>
              <w:t>ö</w:t>
            </w:r>
            <w:r w:rsidRPr="00DB2665">
              <w:rPr>
                <w:i/>
                <w:iCs/>
                <w:sz w:val="20"/>
                <w:szCs w:val="22"/>
              </w:rPr>
              <w:t>sszeg</w:t>
            </w:r>
          </w:p>
        </w:tc>
        <w:tc>
          <w:tcPr>
            <w:tcW w:w="1134" w:type="dxa"/>
            <w:gridSpan w:val="3"/>
            <w:tcBorders>
              <w:top w:val="single" w:sz="4" w:space="0" w:color="auto"/>
              <w:left w:val="nil"/>
              <w:bottom w:val="single" w:sz="4" w:space="0" w:color="auto"/>
              <w:right w:val="nil"/>
            </w:tcBorders>
            <w:shd w:val="clear" w:color="auto" w:fill="auto"/>
            <w:vAlign w:val="center"/>
          </w:tcPr>
          <w:p w:rsidR="000A0A11" w:rsidRPr="00DB2665" w:rsidRDefault="000A0A11" w:rsidP="00557E5C">
            <w:pPr>
              <w:jc w:val="center"/>
              <w:rPr>
                <w:i/>
                <w:iCs/>
                <w:sz w:val="20"/>
                <w:szCs w:val="21"/>
              </w:rPr>
            </w:pPr>
            <w:r w:rsidRPr="00DB2665">
              <w:rPr>
                <w:i/>
                <w:iCs/>
                <w:sz w:val="20"/>
                <w:szCs w:val="21"/>
              </w:rPr>
              <w:t xml:space="preserve"> </w:t>
            </w:r>
            <w:r w:rsidRPr="00DB2665">
              <w:rPr>
                <w:rFonts w:hint="eastAsia"/>
                <w:i/>
                <w:iCs/>
                <w:sz w:val="20"/>
                <w:szCs w:val="21"/>
              </w:rPr>
              <w:t>Á</w:t>
            </w:r>
            <w:r w:rsidRPr="00DB2665">
              <w:rPr>
                <w:i/>
                <w:iCs/>
                <w:sz w:val="20"/>
                <w:szCs w:val="21"/>
              </w:rPr>
              <w:t>th</w:t>
            </w:r>
            <w:r w:rsidRPr="00DB2665">
              <w:rPr>
                <w:rFonts w:hint="eastAsia"/>
                <w:i/>
                <w:iCs/>
                <w:sz w:val="20"/>
                <w:szCs w:val="21"/>
              </w:rPr>
              <w:t>ú</w:t>
            </w:r>
            <w:r w:rsidRPr="00DB2665">
              <w:rPr>
                <w:i/>
                <w:iCs/>
                <w:sz w:val="20"/>
                <w:szCs w:val="21"/>
              </w:rPr>
              <w:t>z</w:t>
            </w:r>
            <w:r w:rsidRPr="00DB2665">
              <w:rPr>
                <w:rFonts w:hint="eastAsia"/>
                <w:i/>
                <w:iCs/>
                <w:sz w:val="20"/>
                <w:szCs w:val="21"/>
              </w:rPr>
              <w:t>ó</w:t>
            </w:r>
            <w:r w:rsidRPr="00DB2665">
              <w:rPr>
                <w:i/>
                <w:iCs/>
                <w:sz w:val="20"/>
                <w:szCs w:val="21"/>
              </w:rPr>
              <w:t>d</w:t>
            </w:r>
            <w:r w:rsidRPr="00DB2665">
              <w:rPr>
                <w:rFonts w:hint="eastAsia"/>
                <w:i/>
                <w:iCs/>
                <w:sz w:val="20"/>
                <w:szCs w:val="21"/>
              </w:rPr>
              <w:t>ó</w:t>
            </w:r>
            <w:r w:rsidRPr="00DB2665">
              <w:rPr>
                <w:i/>
                <w:iCs/>
                <w:sz w:val="20"/>
                <w:szCs w:val="21"/>
              </w:rPr>
              <w:t xml:space="preserve"> beruh</w:t>
            </w:r>
            <w:r w:rsidRPr="00DB2665">
              <w:rPr>
                <w:rFonts w:hint="eastAsia"/>
                <w:i/>
                <w:iCs/>
                <w:sz w:val="20"/>
                <w:szCs w:val="21"/>
              </w:rPr>
              <w:t>á</w:t>
            </w:r>
            <w:r w:rsidRPr="00DB2665">
              <w:rPr>
                <w:i/>
                <w:iCs/>
                <w:sz w:val="20"/>
                <w:szCs w:val="21"/>
              </w:rPr>
              <w:t>z</w:t>
            </w:r>
            <w:r w:rsidRPr="00DB2665">
              <w:rPr>
                <w:rFonts w:hint="eastAsia"/>
                <w:i/>
                <w:iCs/>
                <w:sz w:val="20"/>
                <w:szCs w:val="21"/>
              </w:rPr>
              <w:t>á</w:t>
            </w:r>
            <w:r w:rsidRPr="00DB2665">
              <w:rPr>
                <w:i/>
                <w:iCs/>
                <w:sz w:val="20"/>
                <w:szCs w:val="21"/>
              </w:rPr>
              <w:t xml:space="preserve">sok </w:t>
            </w:r>
            <w:r w:rsidRPr="00DB2665">
              <w:rPr>
                <w:i/>
                <w:iCs/>
                <w:sz w:val="20"/>
                <w:szCs w:val="21"/>
              </w:rPr>
              <w:br/>
              <w:t xml:space="preserve">2022. </w:t>
            </w:r>
            <w:r w:rsidRPr="00DB2665">
              <w:rPr>
                <w:rFonts w:hint="eastAsia"/>
                <w:i/>
                <w:iCs/>
                <w:sz w:val="20"/>
                <w:szCs w:val="21"/>
              </w:rPr>
              <w:t>é</w:t>
            </w:r>
            <w:r w:rsidRPr="00DB2665">
              <w:rPr>
                <w:i/>
                <w:iCs/>
                <w:sz w:val="20"/>
                <w:szCs w:val="21"/>
              </w:rPr>
              <w:t>vre</w:t>
            </w:r>
          </w:p>
        </w:tc>
        <w:tc>
          <w:tcPr>
            <w:tcW w:w="1134" w:type="dxa"/>
            <w:gridSpan w:val="3"/>
            <w:tcBorders>
              <w:top w:val="single" w:sz="4" w:space="0" w:color="auto"/>
              <w:left w:val="nil"/>
              <w:bottom w:val="single" w:sz="4" w:space="0" w:color="auto"/>
              <w:right w:val="nil"/>
            </w:tcBorders>
            <w:vAlign w:val="center"/>
          </w:tcPr>
          <w:p w:rsidR="000A0A11" w:rsidRPr="00DB2665" w:rsidRDefault="000A0A11" w:rsidP="00557E5C">
            <w:pPr>
              <w:jc w:val="center"/>
              <w:rPr>
                <w:i/>
                <w:iCs/>
                <w:sz w:val="20"/>
                <w:szCs w:val="22"/>
              </w:rPr>
            </w:pPr>
            <w:r w:rsidRPr="00DB2665">
              <w:rPr>
                <w:i/>
                <w:iCs/>
                <w:sz w:val="20"/>
                <w:szCs w:val="22"/>
              </w:rPr>
              <w:t>Felhasz-nálás/</w:t>
            </w:r>
            <w:r w:rsidRPr="00DB2665">
              <w:rPr>
                <w:i/>
                <w:iCs/>
                <w:sz w:val="20"/>
                <w:szCs w:val="22"/>
              </w:rPr>
              <w:br/>
              <w:t>terv</w:t>
            </w:r>
          </w:p>
        </w:tc>
      </w:tr>
      <w:tr w:rsidR="000A0A11" w:rsidRPr="000A0A11" w:rsidTr="004069E4">
        <w:tblPrEx>
          <w:tblCellMar>
            <w:left w:w="70" w:type="dxa"/>
            <w:right w:w="70" w:type="dxa"/>
          </w:tblCellMar>
          <w:tblLook w:val="04A0" w:firstRow="1" w:lastRow="0" w:firstColumn="1" w:lastColumn="0" w:noHBand="0" w:noVBand="1"/>
        </w:tblPrEx>
        <w:trPr>
          <w:gridAfter w:val="3"/>
          <w:wAfter w:w="2571" w:type="dxa"/>
          <w:trHeight w:val="285"/>
        </w:trPr>
        <w:tc>
          <w:tcPr>
            <w:tcW w:w="2977" w:type="dxa"/>
            <w:tcBorders>
              <w:top w:val="nil"/>
              <w:left w:val="nil"/>
              <w:bottom w:val="nil"/>
              <w:right w:val="nil"/>
            </w:tcBorders>
            <w:shd w:val="clear" w:color="auto" w:fill="auto"/>
            <w:noWrap/>
            <w:vAlign w:val="bottom"/>
            <w:hideMark/>
          </w:tcPr>
          <w:p w:rsidR="000A0A11" w:rsidRPr="000A0A11" w:rsidRDefault="000A0A11" w:rsidP="000A0A11">
            <w:pPr>
              <w:jc w:val="left"/>
              <w:rPr>
                <w:rFonts w:ascii="Times New Roman CE" w:hAnsi="Times New Roman CE" w:cs="Times New Roman CE"/>
                <w:sz w:val="21"/>
                <w:szCs w:val="21"/>
              </w:rPr>
            </w:pPr>
            <w:r w:rsidRPr="000A0A11">
              <w:rPr>
                <w:rFonts w:ascii="Times New Roman CE" w:hAnsi="Times New Roman CE" w:cs="Times New Roman CE"/>
                <w:sz w:val="21"/>
                <w:szCs w:val="21"/>
              </w:rPr>
              <w:t>Amortizáció</w:t>
            </w:r>
          </w:p>
        </w:tc>
        <w:tc>
          <w:tcPr>
            <w:tcW w:w="979" w:type="dxa"/>
            <w:tcBorders>
              <w:top w:val="nil"/>
              <w:left w:val="nil"/>
              <w:bottom w:val="nil"/>
              <w:right w:val="nil"/>
            </w:tcBorders>
            <w:shd w:val="clear" w:color="auto" w:fill="auto"/>
            <w:noWrap/>
            <w:vAlign w:val="bottom"/>
            <w:hideMark/>
          </w:tcPr>
          <w:p w:rsidR="000A0A11" w:rsidRPr="000A0A11" w:rsidRDefault="000A0A11" w:rsidP="000A0A11">
            <w:pPr>
              <w:jc w:val="right"/>
              <w:rPr>
                <w:rFonts w:ascii="Times New Roman CE" w:hAnsi="Times New Roman CE" w:cs="Times New Roman CE"/>
                <w:sz w:val="21"/>
                <w:szCs w:val="21"/>
              </w:rPr>
            </w:pPr>
            <w:r w:rsidRPr="000A0A11">
              <w:rPr>
                <w:rFonts w:ascii="Times New Roman CE" w:hAnsi="Times New Roman CE" w:cs="Times New Roman CE"/>
                <w:sz w:val="21"/>
                <w:szCs w:val="21"/>
              </w:rPr>
              <w:t>449 000</w:t>
            </w:r>
          </w:p>
        </w:tc>
        <w:tc>
          <w:tcPr>
            <w:tcW w:w="1147" w:type="dxa"/>
            <w:gridSpan w:val="2"/>
            <w:tcBorders>
              <w:top w:val="nil"/>
              <w:left w:val="nil"/>
              <w:bottom w:val="nil"/>
              <w:right w:val="nil"/>
            </w:tcBorders>
            <w:shd w:val="clear" w:color="auto" w:fill="auto"/>
            <w:noWrap/>
            <w:vAlign w:val="bottom"/>
            <w:hideMark/>
          </w:tcPr>
          <w:p w:rsidR="000A0A11" w:rsidRPr="000A0A11" w:rsidRDefault="000A0A11" w:rsidP="000A0A11">
            <w:pPr>
              <w:jc w:val="right"/>
              <w:rPr>
                <w:rFonts w:ascii="Times New Roman CE" w:hAnsi="Times New Roman CE" w:cs="Times New Roman CE"/>
                <w:sz w:val="21"/>
                <w:szCs w:val="21"/>
              </w:rPr>
            </w:pPr>
            <w:r w:rsidRPr="000A0A11">
              <w:rPr>
                <w:rFonts w:ascii="Times New Roman CE" w:hAnsi="Times New Roman CE" w:cs="Times New Roman CE"/>
                <w:sz w:val="21"/>
                <w:szCs w:val="21"/>
              </w:rPr>
              <w:t>451 437</w:t>
            </w:r>
          </w:p>
        </w:tc>
        <w:tc>
          <w:tcPr>
            <w:tcW w:w="1276" w:type="dxa"/>
            <w:gridSpan w:val="3"/>
            <w:tcBorders>
              <w:top w:val="nil"/>
              <w:left w:val="nil"/>
              <w:bottom w:val="nil"/>
              <w:right w:val="nil"/>
            </w:tcBorders>
            <w:shd w:val="clear" w:color="auto" w:fill="auto"/>
            <w:noWrap/>
            <w:vAlign w:val="bottom"/>
            <w:hideMark/>
          </w:tcPr>
          <w:p w:rsidR="000A0A11" w:rsidRPr="000A0A11" w:rsidRDefault="000A0A11" w:rsidP="000A0A11">
            <w:pPr>
              <w:jc w:val="right"/>
              <w:rPr>
                <w:rFonts w:ascii="Times New Roman CE" w:hAnsi="Times New Roman CE" w:cs="Times New Roman CE"/>
                <w:sz w:val="21"/>
                <w:szCs w:val="21"/>
              </w:rPr>
            </w:pPr>
            <w:r w:rsidRPr="000A0A11">
              <w:rPr>
                <w:rFonts w:ascii="Times New Roman CE" w:hAnsi="Times New Roman CE" w:cs="Times New Roman CE"/>
                <w:sz w:val="21"/>
                <w:szCs w:val="21"/>
              </w:rPr>
              <w:t>296 539</w:t>
            </w:r>
          </w:p>
        </w:tc>
        <w:tc>
          <w:tcPr>
            <w:tcW w:w="1196" w:type="dxa"/>
            <w:gridSpan w:val="3"/>
            <w:tcBorders>
              <w:top w:val="nil"/>
              <w:left w:val="nil"/>
              <w:bottom w:val="nil"/>
              <w:right w:val="nil"/>
            </w:tcBorders>
            <w:shd w:val="clear" w:color="auto" w:fill="auto"/>
            <w:noWrap/>
            <w:vAlign w:val="bottom"/>
            <w:hideMark/>
          </w:tcPr>
          <w:p w:rsidR="000A0A11" w:rsidRPr="000A0A11" w:rsidRDefault="000A0A11" w:rsidP="000A0A11">
            <w:pPr>
              <w:jc w:val="right"/>
              <w:rPr>
                <w:rFonts w:ascii="Times New Roman CE" w:hAnsi="Times New Roman CE" w:cs="Times New Roman CE"/>
                <w:sz w:val="21"/>
                <w:szCs w:val="21"/>
              </w:rPr>
            </w:pPr>
            <w:r w:rsidRPr="000A0A11">
              <w:rPr>
                <w:rFonts w:ascii="Times New Roman CE" w:hAnsi="Times New Roman CE" w:cs="Times New Roman CE"/>
                <w:sz w:val="21"/>
                <w:szCs w:val="21"/>
              </w:rPr>
              <w:t>275 410</w:t>
            </w:r>
          </w:p>
        </w:tc>
        <w:tc>
          <w:tcPr>
            <w:tcW w:w="1072" w:type="dxa"/>
            <w:gridSpan w:val="3"/>
            <w:tcBorders>
              <w:top w:val="nil"/>
              <w:left w:val="nil"/>
              <w:bottom w:val="nil"/>
              <w:right w:val="nil"/>
            </w:tcBorders>
            <w:shd w:val="clear" w:color="auto" w:fill="auto"/>
            <w:noWrap/>
            <w:vAlign w:val="bottom"/>
            <w:hideMark/>
          </w:tcPr>
          <w:p w:rsidR="000A0A11" w:rsidRPr="000A0A11" w:rsidRDefault="000A0A11" w:rsidP="000A0A11">
            <w:pPr>
              <w:jc w:val="right"/>
              <w:rPr>
                <w:rFonts w:ascii="Times New Roman CE" w:hAnsi="Times New Roman CE" w:cs="Times New Roman CE"/>
                <w:sz w:val="21"/>
                <w:szCs w:val="21"/>
              </w:rPr>
            </w:pPr>
            <w:r w:rsidRPr="000A0A11">
              <w:rPr>
                <w:rFonts w:ascii="Times New Roman CE" w:hAnsi="Times New Roman CE" w:cs="Times New Roman CE"/>
                <w:sz w:val="21"/>
                <w:szCs w:val="21"/>
              </w:rPr>
              <w:t>94 000</w:t>
            </w:r>
          </w:p>
        </w:tc>
        <w:tc>
          <w:tcPr>
            <w:tcW w:w="1134" w:type="dxa"/>
            <w:gridSpan w:val="3"/>
            <w:tcBorders>
              <w:top w:val="nil"/>
              <w:left w:val="nil"/>
              <w:bottom w:val="nil"/>
              <w:right w:val="nil"/>
            </w:tcBorders>
            <w:shd w:val="clear" w:color="auto" w:fill="auto"/>
            <w:noWrap/>
            <w:vAlign w:val="bottom"/>
            <w:hideMark/>
          </w:tcPr>
          <w:p w:rsidR="000A0A11" w:rsidRPr="000A0A11" w:rsidRDefault="000A0A11" w:rsidP="000A0A11">
            <w:pPr>
              <w:jc w:val="right"/>
              <w:rPr>
                <w:rFonts w:ascii="Times New Roman CE" w:hAnsi="Times New Roman CE" w:cs="Times New Roman CE"/>
                <w:sz w:val="21"/>
                <w:szCs w:val="21"/>
              </w:rPr>
            </w:pPr>
            <w:r w:rsidRPr="000A0A11">
              <w:rPr>
                <w:rFonts w:ascii="Times New Roman CE" w:hAnsi="Times New Roman CE" w:cs="Times New Roman CE"/>
                <w:sz w:val="21"/>
                <w:szCs w:val="21"/>
              </w:rPr>
              <w:t>66,0%</w:t>
            </w:r>
          </w:p>
        </w:tc>
      </w:tr>
      <w:tr w:rsidR="000A0A11" w:rsidRPr="000A0A11" w:rsidTr="004069E4">
        <w:tblPrEx>
          <w:tblCellMar>
            <w:left w:w="70" w:type="dxa"/>
            <w:right w:w="70" w:type="dxa"/>
          </w:tblCellMar>
          <w:tblLook w:val="04A0" w:firstRow="1" w:lastRow="0" w:firstColumn="1" w:lastColumn="0" w:noHBand="0" w:noVBand="1"/>
        </w:tblPrEx>
        <w:trPr>
          <w:gridAfter w:val="3"/>
          <w:wAfter w:w="2571" w:type="dxa"/>
          <w:trHeight w:val="300"/>
        </w:trPr>
        <w:tc>
          <w:tcPr>
            <w:tcW w:w="2977" w:type="dxa"/>
            <w:tcBorders>
              <w:top w:val="nil"/>
              <w:left w:val="nil"/>
              <w:bottom w:val="nil"/>
              <w:right w:val="nil"/>
            </w:tcBorders>
            <w:shd w:val="clear" w:color="auto" w:fill="auto"/>
            <w:noWrap/>
            <w:vAlign w:val="bottom"/>
            <w:hideMark/>
          </w:tcPr>
          <w:p w:rsidR="000A0A11" w:rsidRPr="000A0A11" w:rsidRDefault="000A0A11" w:rsidP="000A0A11">
            <w:pPr>
              <w:jc w:val="left"/>
              <w:rPr>
                <w:rFonts w:ascii="Times New Roman CE" w:hAnsi="Times New Roman CE" w:cs="Times New Roman CE"/>
                <w:sz w:val="21"/>
                <w:szCs w:val="21"/>
              </w:rPr>
            </w:pPr>
            <w:r w:rsidRPr="000A0A11">
              <w:rPr>
                <w:rFonts w:ascii="Times New Roman CE" w:hAnsi="Times New Roman CE" w:cs="Times New Roman CE"/>
                <w:sz w:val="21"/>
                <w:szCs w:val="21"/>
              </w:rPr>
              <w:t>Lekötött tartalék</w:t>
            </w:r>
          </w:p>
        </w:tc>
        <w:tc>
          <w:tcPr>
            <w:tcW w:w="979" w:type="dxa"/>
            <w:tcBorders>
              <w:top w:val="nil"/>
              <w:left w:val="nil"/>
              <w:bottom w:val="nil"/>
              <w:right w:val="nil"/>
            </w:tcBorders>
            <w:shd w:val="clear" w:color="auto" w:fill="auto"/>
            <w:noWrap/>
            <w:vAlign w:val="bottom"/>
            <w:hideMark/>
          </w:tcPr>
          <w:p w:rsidR="000A0A11" w:rsidRPr="000A0A11" w:rsidRDefault="000A0A11" w:rsidP="000A0A11">
            <w:pPr>
              <w:jc w:val="right"/>
              <w:rPr>
                <w:rFonts w:ascii="Times New Roman CE" w:hAnsi="Times New Roman CE" w:cs="Times New Roman CE"/>
                <w:sz w:val="21"/>
                <w:szCs w:val="21"/>
              </w:rPr>
            </w:pPr>
            <w:r w:rsidRPr="000A0A11">
              <w:rPr>
                <w:rFonts w:ascii="Times New Roman CE" w:hAnsi="Times New Roman CE" w:cs="Times New Roman CE"/>
                <w:sz w:val="21"/>
                <w:szCs w:val="21"/>
              </w:rPr>
              <w:t>15 810</w:t>
            </w:r>
          </w:p>
        </w:tc>
        <w:tc>
          <w:tcPr>
            <w:tcW w:w="1147" w:type="dxa"/>
            <w:gridSpan w:val="2"/>
            <w:tcBorders>
              <w:top w:val="nil"/>
              <w:left w:val="nil"/>
              <w:bottom w:val="nil"/>
              <w:right w:val="nil"/>
            </w:tcBorders>
            <w:shd w:val="clear" w:color="auto" w:fill="auto"/>
            <w:noWrap/>
            <w:vAlign w:val="bottom"/>
            <w:hideMark/>
          </w:tcPr>
          <w:p w:rsidR="000A0A11" w:rsidRPr="000A0A11" w:rsidRDefault="000A0A11" w:rsidP="000A0A11">
            <w:pPr>
              <w:jc w:val="right"/>
              <w:rPr>
                <w:rFonts w:ascii="Times New Roman CE" w:hAnsi="Times New Roman CE" w:cs="Times New Roman CE"/>
                <w:sz w:val="22"/>
                <w:szCs w:val="22"/>
              </w:rPr>
            </w:pPr>
            <w:r w:rsidRPr="000A0A11">
              <w:rPr>
                <w:rFonts w:ascii="Times New Roman CE" w:hAnsi="Times New Roman CE" w:cs="Times New Roman CE"/>
                <w:sz w:val="22"/>
                <w:szCs w:val="22"/>
              </w:rPr>
              <w:t>15 810</w:t>
            </w:r>
          </w:p>
        </w:tc>
        <w:tc>
          <w:tcPr>
            <w:tcW w:w="1276" w:type="dxa"/>
            <w:gridSpan w:val="3"/>
            <w:tcBorders>
              <w:top w:val="nil"/>
              <w:left w:val="nil"/>
              <w:bottom w:val="nil"/>
              <w:right w:val="nil"/>
            </w:tcBorders>
            <w:shd w:val="clear" w:color="auto" w:fill="auto"/>
            <w:noWrap/>
            <w:vAlign w:val="bottom"/>
            <w:hideMark/>
          </w:tcPr>
          <w:p w:rsidR="000A0A11" w:rsidRPr="000A0A11" w:rsidRDefault="000A0A11" w:rsidP="000A0A11">
            <w:pPr>
              <w:jc w:val="right"/>
              <w:rPr>
                <w:rFonts w:ascii="Times New Roman CE" w:hAnsi="Times New Roman CE" w:cs="Times New Roman CE"/>
                <w:sz w:val="21"/>
                <w:szCs w:val="21"/>
              </w:rPr>
            </w:pPr>
            <w:r w:rsidRPr="000A0A11">
              <w:rPr>
                <w:rFonts w:ascii="Times New Roman CE" w:hAnsi="Times New Roman CE" w:cs="Times New Roman CE"/>
                <w:sz w:val="21"/>
                <w:szCs w:val="21"/>
              </w:rPr>
              <w:t>15 163</w:t>
            </w:r>
          </w:p>
        </w:tc>
        <w:tc>
          <w:tcPr>
            <w:tcW w:w="1196" w:type="dxa"/>
            <w:gridSpan w:val="3"/>
            <w:tcBorders>
              <w:top w:val="nil"/>
              <w:left w:val="nil"/>
              <w:bottom w:val="nil"/>
              <w:right w:val="nil"/>
            </w:tcBorders>
            <w:shd w:val="clear" w:color="auto" w:fill="auto"/>
            <w:noWrap/>
            <w:vAlign w:val="bottom"/>
            <w:hideMark/>
          </w:tcPr>
          <w:p w:rsidR="000A0A11" w:rsidRPr="000A0A11" w:rsidRDefault="000A0A11" w:rsidP="000A0A11">
            <w:pPr>
              <w:jc w:val="right"/>
              <w:rPr>
                <w:rFonts w:ascii="Times New Roman CE" w:hAnsi="Times New Roman CE" w:cs="Times New Roman CE"/>
                <w:sz w:val="21"/>
                <w:szCs w:val="21"/>
              </w:rPr>
            </w:pPr>
            <w:r w:rsidRPr="000A0A11">
              <w:rPr>
                <w:rFonts w:ascii="Times New Roman CE" w:hAnsi="Times New Roman CE" w:cs="Times New Roman CE"/>
                <w:sz w:val="21"/>
                <w:szCs w:val="21"/>
              </w:rPr>
              <w:t>15 163</w:t>
            </w:r>
          </w:p>
        </w:tc>
        <w:tc>
          <w:tcPr>
            <w:tcW w:w="1072" w:type="dxa"/>
            <w:gridSpan w:val="3"/>
            <w:tcBorders>
              <w:top w:val="nil"/>
              <w:left w:val="nil"/>
              <w:bottom w:val="nil"/>
              <w:right w:val="nil"/>
            </w:tcBorders>
            <w:shd w:val="clear" w:color="auto" w:fill="auto"/>
            <w:noWrap/>
            <w:vAlign w:val="bottom"/>
            <w:hideMark/>
          </w:tcPr>
          <w:p w:rsidR="000A0A11" w:rsidRPr="000A0A11" w:rsidRDefault="000A0A11" w:rsidP="000A0A11">
            <w:pPr>
              <w:jc w:val="right"/>
              <w:rPr>
                <w:rFonts w:ascii="Times New Roman CE" w:hAnsi="Times New Roman CE" w:cs="Times New Roman CE"/>
                <w:sz w:val="21"/>
                <w:szCs w:val="21"/>
              </w:rPr>
            </w:pPr>
          </w:p>
        </w:tc>
        <w:tc>
          <w:tcPr>
            <w:tcW w:w="1134" w:type="dxa"/>
            <w:gridSpan w:val="3"/>
            <w:tcBorders>
              <w:top w:val="nil"/>
              <w:left w:val="nil"/>
              <w:bottom w:val="nil"/>
              <w:right w:val="nil"/>
            </w:tcBorders>
            <w:shd w:val="clear" w:color="auto" w:fill="auto"/>
            <w:noWrap/>
            <w:vAlign w:val="bottom"/>
            <w:hideMark/>
          </w:tcPr>
          <w:p w:rsidR="000A0A11" w:rsidRPr="000A0A11" w:rsidRDefault="000A0A11" w:rsidP="000A0A11">
            <w:pPr>
              <w:jc w:val="right"/>
              <w:rPr>
                <w:rFonts w:ascii="Times New Roman CE" w:hAnsi="Times New Roman CE" w:cs="Times New Roman CE"/>
                <w:sz w:val="21"/>
                <w:szCs w:val="21"/>
              </w:rPr>
            </w:pPr>
            <w:r w:rsidRPr="000A0A11">
              <w:rPr>
                <w:rFonts w:ascii="Times New Roman CE" w:hAnsi="Times New Roman CE" w:cs="Times New Roman CE"/>
                <w:sz w:val="21"/>
                <w:szCs w:val="21"/>
              </w:rPr>
              <w:t>95,9%</w:t>
            </w:r>
          </w:p>
        </w:tc>
      </w:tr>
      <w:tr w:rsidR="000A0A11" w:rsidRPr="000A0A11" w:rsidTr="004069E4">
        <w:tblPrEx>
          <w:tblCellMar>
            <w:left w:w="70" w:type="dxa"/>
            <w:right w:w="70" w:type="dxa"/>
          </w:tblCellMar>
          <w:tblLook w:val="04A0" w:firstRow="1" w:lastRow="0" w:firstColumn="1" w:lastColumn="0" w:noHBand="0" w:noVBand="1"/>
        </w:tblPrEx>
        <w:trPr>
          <w:gridAfter w:val="3"/>
          <w:wAfter w:w="2571" w:type="dxa"/>
          <w:trHeight w:val="300"/>
        </w:trPr>
        <w:tc>
          <w:tcPr>
            <w:tcW w:w="2977" w:type="dxa"/>
            <w:tcBorders>
              <w:top w:val="nil"/>
              <w:left w:val="nil"/>
              <w:bottom w:val="nil"/>
              <w:right w:val="nil"/>
            </w:tcBorders>
            <w:shd w:val="clear" w:color="auto" w:fill="auto"/>
            <w:noWrap/>
            <w:vAlign w:val="bottom"/>
            <w:hideMark/>
          </w:tcPr>
          <w:p w:rsidR="000A0A11" w:rsidRPr="000A0A11" w:rsidRDefault="000A0A11" w:rsidP="000A0A11">
            <w:pPr>
              <w:jc w:val="left"/>
              <w:rPr>
                <w:rFonts w:ascii="Times New Roman CE" w:hAnsi="Times New Roman CE" w:cs="Times New Roman CE"/>
                <w:sz w:val="21"/>
                <w:szCs w:val="21"/>
              </w:rPr>
            </w:pPr>
            <w:r w:rsidRPr="000A0A11">
              <w:rPr>
                <w:rFonts w:ascii="Times New Roman CE" w:hAnsi="Times New Roman CE" w:cs="Times New Roman CE"/>
                <w:sz w:val="21"/>
                <w:szCs w:val="21"/>
              </w:rPr>
              <w:t>VEF pályázati támogatás</w:t>
            </w:r>
          </w:p>
        </w:tc>
        <w:tc>
          <w:tcPr>
            <w:tcW w:w="979" w:type="dxa"/>
            <w:tcBorders>
              <w:top w:val="nil"/>
              <w:left w:val="nil"/>
              <w:bottom w:val="nil"/>
              <w:right w:val="nil"/>
            </w:tcBorders>
            <w:shd w:val="clear" w:color="auto" w:fill="auto"/>
            <w:noWrap/>
            <w:vAlign w:val="bottom"/>
            <w:hideMark/>
          </w:tcPr>
          <w:p w:rsidR="000A0A11" w:rsidRPr="000A0A11" w:rsidRDefault="000A0A11" w:rsidP="000A0A11">
            <w:pPr>
              <w:jc w:val="right"/>
              <w:rPr>
                <w:rFonts w:ascii="Times New Roman CE" w:hAnsi="Times New Roman CE" w:cs="Times New Roman CE"/>
                <w:sz w:val="21"/>
                <w:szCs w:val="21"/>
              </w:rPr>
            </w:pPr>
            <w:r w:rsidRPr="000A0A11">
              <w:rPr>
                <w:rFonts w:ascii="Times New Roman CE" w:hAnsi="Times New Roman CE" w:cs="Times New Roman CE"/>
                <w:sz w:val="21"/>
                <w:szCs w:val="21"/>
              </w:rPr>
              <w:t>94 000</w:t>
            </w:r>
          </w:p>
        </w:tc>
        <w:tc>
          <w:tcPr>
            <w:tcW w:w="1147" w:type="dxa"/>
            <w:gridSpan w:val="2"/>
            <w:tcBorders>
              <w:top w:val="nil"/>
              <w:left w:val="nil"/>
              <w:bottom w:val="nil"/>
              <w:right w:val="nil"/>
            </w:tcBorders>
            <w:shd w:val="clear" w:color="auto" w:fill="auto"/>
            <w:noWrap/>
            <w:vAlign w:val="bottom"/>
            <w:hideMark/>
          </w:tcPr>
          <w:p w:rsidR="000A0A11" w:rsidRPr="000A0A11" w:rsidRDefault="000A0A11" w:rsidP="000A0A11">
            <w:pPr>
              <w:jc w:val="right"/>
              <w:rPr>
                <w:rFonts w:ascii="Times New Roman CE" w:hAnsi="Times New Roman CE" w:cs="Times New Roman CE"/>
                <w:sz w:val="22"/>
                <w:szCs w:val="22"/>
              </w:rPr>
            </w:pPr>
            <w:r w:rsidRPr="000A0A11">
              <w:rPr>
                <w:rFonts w:ascii="Times New Roman CE" w:hAnsi="Times New Roman CE" w:cs="Times New Roman CE"/>
                <w:sz w:val="22"/>
                <w:szCs w:val="22"/>
              </w:rPr>
              <w:t>94 000</w:t>
            </w:r>
          </w:p>
        </w:tc>
        <w:tc>
          <w:tcPr>
            <w:tcW w:w="1276" w:type="dxa"/>
            <w:gridSpan w:val="3"/>
            <w:tcBorders>
              <w:top w:val="nil"/>
              <w:left w:val="nil"/>
              <w:bottom w:val="nil"/>
              <w:right w:val="nil"/>
            </w:tcBorders>
            <w:shd w:val="clear" w:color="auto" w:fill="auto"/>
            <w:noWrap/>
            <w:vAlign w:val="bottom"/>
            <w:hideMark/>
          </w:tcPr>
          <w:p w:rsidR="000A0A11" w:rsidRPr="000A0A11" w:rsidRDefault="000A0A11" w:rsidP="000A0A11">
            <w:pPr>
              <w:jc w:val="right"/>
              <w:rPr>
                <w:rFonts w:ascii="Times New Roman CE" w:hAnsi="Times New Roman CE" w:cs="Times New Roman CE"/>
                <w:sz w:val="21"/>
                <w:szCs w:val="21"/>
              </w:rPr>
            </w:pPr>
            <w:r w:rsidRPr="000A0A11">
              <w:rPr>
                <w:rFonts w:ascii="Times New Roman CE" w:hAnsi="Times New Roman CE" w:cs="Times New Roman CE"/>
                <w:sz w:val="21"/>
                <w:szCs w:val="21"/>
              </w:rPr>
              <w:t>93 946</w:t>
            </w:r>
          </w:p>
        </w:tc>
        <w:tc>
          <w:tcPr>
            <w:tcW w:w="1196" w:type="dxa"/>
            <w:gridSpan w:val="3"/>
            <w:tcBorders>
              <w:top w:val="nil"/>
              <w:left w:val="nil"/>
              <w:bottom w:val="nil"/>
              <w:right w:val="nil"/>
            </w:tcBorders>
            <w:shd w:val="clear" w:color="auto" w:fill="auto"/>
            <w:noWrap/>
            <w:vAlign w:val="bottom"/>
            <w:hideMark/>
          </w:tcPr>
          <w:p w:rsidR="000A0A11" w:rsidRPr="000A0A11" w:rsidRDefault="000A0A11" w:rsidP="000A0A11">
            <w:pPr>
              <w:jc w:val="right"/>
              <w:rPr>
                <w:rFonts w:ascii="Times New Roman CE" w:hAnsi="Times New Roman CE" w:cs="Times New Roman CE"/>
                <w:sz w:val="21"/>
                <w:szCs w:val="21"/>
              </w:rPr>
            </w:pPr>
            <w:r w:rsidRPr="000A0A11">
              <w:rPr>
                <w:rFonts w:ascii="Times New Roman CE" w:hAnsi="Times New Roman CE" w:cs="Times New Roman CE"/>
                <w:sz w:val="21"/>
                <w:szCs w:val="21"/>
              </w:rPr>
              <w:t>93 946</w:t>
            </w:r>
          </w:p>
        </w:tc>
        <w:tc>
          <w:tcPr>
            <w:tcW w:w="1072" w:type="dxa"/>
            <w:gridSpan w:val="3"/>
            <w:tcBorders>
              <w:top w:val="nil"/>
              <w:left w:val="nil"/>
              <w:bottom w:val="nil"/>
              <w:right w:val="nil"/>
            </w:tcBorders>
            <w:shd w:val="clear" w:color="auto" w:fill="auto"/>
            <w:noWrap/>
            <w:vAlign w:val="bottom"/>
            <w:hideMark/>
          </w:tcPr>
          <w:p w:rsidR="000A0A11" w:rsidRPr="000A0A11" w:rsidRDefault="000A0A11" w:rsidP="000A0A11">
            <w:pPr>
              <w:jc w:val="right"/>
              <w:rPr>
                <w:rFonts w:ascii="Times New Roman CE" w:hAnsi="Times New Roman CE" w:cs="Times New Roman CE"/>
                <w:sz w:val="21"/>
                <w:szCs w:val="21"/>
              </w:rPr>
            </w:pPr>
            <w:r w:rsidRPr="000A0A11">
              <w:rPr>
                <w:rFonts w:ascii="Times New Roman CE" w:hAnsi="Times New Roman CE" w:cs="Times New Roman CE"/>
                <w:sz w:val="21"/>
                <w:szCs w:val="21"/>
              </w:rPr>
              <w:t>94 000</w:t>
            </w:r>
          </w:p>
        </w:tc>
        <w:tc>
          <w:tcPr>
            <w:tcW w:w="1134" w:type="dxa"/>
            <w:gridSpan w:val="3"/>
            <w:tcBorders>
              <w:top w:val="nil"/>
              <w:left w:val="nil"/>
              <w:bottom w:val="nil"/>
              <w:right w:val="nil"/>
            </w:tcBorders>
            <w:shd w:val="clear" w:color="auto" w:fill="auto"/>
            <w:noWrap/>
            <w:vAlign w:val="bottom"/>
            <w:hideMark/>
          </w:tcPr>
          <w:p w:rsidR="000A0A11" w:rsidRPr="000A0A11" w:rsidRDefault="000A0A11" w:rsidP="000A0A11">
            <w:pPr>
              <w:jc w:val="right"/>
              <w:rPr>
                <w:rFonts w:ascii="Times New Roman CE" w:hAnsi="Times New Roman CE" w:cs="Times New Roman CE"/>
                <w:sz w:val="21"/>
                <w:szCs w:val="21"/>
              </w:rPr>
            </w:pPr>
            <w:r w:rsidRPr="000A0A11">
              <w:rPr>
                <w:rFonts w:ascii="Times New Roman CE" w:hAnsi="Times New Roman CE" w:cs="Times New Roman CE"/>
                <w:sz w:val="21"/>
                <w:szCs w:val="21"/>
              </w:rPr>
              <w:t>99,9%</w:t>
            </w:r>
          </w:p>
        </w:tc>
      </w:tr>
      <w:tr w:rsidR="000A0A11" w:rsidRPr="000A0A11" w:rsidTr="004069E4">
        <w:tblPrEx>
          <w:tblCellMar>
            <w:left w:w="70" w:type="dxa"/>
            <w:right w:w="70" w:type="dxa"/>
          </w:tblCellMar>
          <w:tblLook w:val="04A0" w:firstRow="1" w:lastRow="0" w:firstColumn="1" w:lastColumn="0" w:noHBand="0" w:noVBand="1"/>
        </w:tblPrEx>
        <w:trPr>
          <w:gridAfter w:val="3"/>
          <w:wAfter w:w="2571" w:type="dxa"/>
          <w:trHeight w:val="300"/>
        </w:trPr>
        <w:tc>
          <w:tcPr>
            <w:tcW w:w="2977" w:type="dxa"/>
            <w:tcBorders>
              <w:top w:val="nil"/>
              <w:left w:val="nil"/>
              <w:bottom w:val="single" w:sz="4" w:space="0" w:color="auto"/>
              <w:right w:val="nil"/>
            </w:tcBorders>
            <w:shd w:val="clear" w:color="auto" w:fill="auto"/>
            <w:noWrap/>
            <w:vAlign w:val="bottom"/>
            <w:hideMark/>
          </w:tcPr>
          <w:p w:rsidR="000A0A11" w:rsidRPr="000A0A11" w:rsidRDefault="000A0A11" w:rsidP="000A0A11">
            <w:pPr>
              <w:jc w:val="left"/>
              <w:rPr>
                <w:rFonts w:ascii="Times New Roman CE" w:hAnsi="Times New Roman CE" w:cs="Times New Roman CE"/>
                <w:sz w:val="21"/>
                <w:szCs w:val="21"/>
              </w:rPr>
            </w:pPr>
            <w:r w:rsidRPr="000A0A11">
              <w:rPr>
                <w:rFonts w:ascii="Times New Roman CE" w:hAnsi="Times New Roman CE" w:cs="Times New Roman CE"/>
                <w:sz w:val="21"/>
                <w:szCs w:val="21"/>
              </w:rPr>
              <w:t>Közműfejlesztési hozzájárulás</w:t>
            </w:r>
          </w:p>
        </w:tc>
        <w:tc>
          <w:tcPr>
            <w:tcW w:w="979" w:type="dxa"/>
            <w:tcBorders>
              <w:top w:val="nil"/>
              <w:left w:val="nil"/>
              <w:bottom w:val="nil"/>
              <w:right w:val="nil"/>
            </w:tcBorders>
            <w:shd w:val="clear" w:color="auto" w:fill="auto"/>
            <w:noWrap/>
            <w:vAlign w:val="bottom"/>
            <w:hideMark/>
          </w:tcPr>
          <w:p w:rsidR="000A0A11" w:rsidRPr="000A0A11" w:rsidRDefault="000A0A11" w:rsidP="000A0A11">
            <w:pPr>
              <w:jc w:val="right"/>
              <w:rPr>
                <w:rFonts w:ascii="Times New Roman CE" w:hAnsi="Times New Roman CE" w:cs="Times New Roman CE"/>
                <w:sz w:val="21"/>
                <w:szCs w:val="21"/>
              </w:rPr>
            </w:pPr>
            <w:r w:rsidRPr="000A0A11">
              <w:rPr>
                <w:rFonts w:ascii="Times New Roman CE" w:hAnsi="Times New Roman CE" w:cs="Times New Roman CE"/>
                <w:sz w:val="21"/>
                <w:szCs w:val="21"/>
              </w:rPr>
              <w:t>91 100</w:t>
            </w:r>
          </w:p>
        </w:tc>
        <w:tc>
          <w:tcPr>
            <w:tcW w:w="1147" w:type="dxa"/>
            <w:gridSpan w:val="2"/>
            <w:tcBorders>
              <w:top w:val="nil"/>
              <w:left w:val="nil"/>
              <w:bottom w:val="single" w:sz="4" w:space="0" w:color="auto"/>
              <w:right w:val="nil"/>
            </w:tcBorders>
            <w:shd w:val="clear" w:color="auto" w:fill="auto"/>
            <w:noWrap/>
            <w:vAlign w:val="bottom"/>
            <w:hideMark/>
          </w:tcPr>
          <w:p w:rsidR="000A0A11" w:rsidRPr="000A0A11" w:rsidRDefault="000A0A11" w:rsidP="000A0A11">
            <w:pPr>
              <w:jc w:val="right"/>
              <w:rPr>
                <w:rFonts w:ascii="Times New Roman CE" w:hAnsi="Times New Roman CE" w:cs="Times New Roman CE"/>
                <w:sz w:val="22"/>
                <w:szCs w:val="22"/>
              </w:rPr>
            </w:pPr>
            <w:r w:rsidRPr="000A0A11">
              <w:rPr>
                <w:rFonts w:ascii="Times New Roman CE" w:hAnsi="Times New Roman CE" w:cs="Times New Roman CE"/>
                <w:sz w:val="22"/>
                <w:szCs w:val="22"/>
              </w:rPr>
              <w:t>362 651</w:t>
            </w:r>
          </w:p>
        </w:tc>
        <w:tc>
          <w:tcPr>
            <w:tcW w:w="1276" w:type="dxa"/>
            <w:gridSpan w:val="3"/>
            <w:tcBorders>
              <w:top w:val="nil"/>
              <w:left w:val="nil"/>
              <w:bottom w:val="single" w:sz="4" w:space="0" w:color="auto"/>
              <w:right w:val="nil"/>
            </w:tcBorders>
            <w:shd w:val="clear" w:color="auto" w:fill="auto"/>
            <w:noWrap/>
            <w:vAlign w:val="bottom"/>
            <w:hideMark/>
          </w:tcPr>
          <w:p w:rsidR="000A0A11" w:rsidRPr="000A0A11" w:rsidRDefault="000A0A11" w:rsidP="000A0A11">
            <w:pPr>
              <w:jc w:val="right"/>
              <w:rPr>
                <w:rFonts w:ascii="Times New Roman CE" w:hAnsi="Times New Roman CE" w:cs="Times New Roman CE"/>
                <w:sz w:val="21"/>
                <w:szCs w:val="21"/>
              </w:rPr>
            </w:pPr>
            <w:r w:rsidRPr="000A0A11">
              <w:rPr>
                <w:rFonts w:ascii="Times New Roman CE" w:hAnsi="Times New Roman CE" w:cs="Times New Roman CE"/>
                <w:sz w:val="21"/>
                <w:szCs w:val="21"/>
              </w:rPr>
              <w:t>49 278</w:t>
            </w:r>
          </w:p>
        </w:tc>
        <w:tc>
          <w:tcPr>
            <w:tcW w:w="1196" w:type="dxa"/>
            <w:gridSpan w:val="3"/>
            <w:tcBorders>
              <w:top w:val="nil"/>
              <w:left w:val="nil"/>
              <w:bottom w:val="single" w:sz="4" w:space="0" w:color="auto"/>
              <w:right w:val="nil"/>
            </w:tcBorders>
            <w:shd w:val="clear" w:color="auto" w:fill="auto"/>
            <w:noWrap/>
            <w:vAlign w:val="bottom"/>
            <w:hideMark/>
          </w:tcPr>
          <w:p w:rsidR="000A0A11" w:rsidRPr="000A0A11" w:rsidRDefault="000A0A11" w:rsidP="000A0A11">
            <w:pPr>
              <w:jc w:val="right"/>
              <w:rPr>
                <w:rFonts w:ascii="Times New Roman CE" w:hAnsi="Times New Roman CE" w:cs="Times New Roman CE"/>
                <w:sz w:val="21"/>
                <w:szCs w:val="21"/>
              </w:rPr>
            </w:pPr>
            <w:r w:rsidRPr="000A0A11">
              <w:rPr>
                <w:rFonts w:ascii="Times New Roman CE" w:hAnsi="Times New Roman CE" w:cs="Times New Roman CE"/>
                <w:sz w:val="21"/>
                <w:szCs w:val="21"/>
              </w:rPr>
              <w:t>49 278</w:t>
            </w:r>
          </w:p>
        </w:tc>
        <w:tc>
          <w:tcPr>
            <w:tcW w:w="1072" w:type="dxa"/>
            <w:gridSpan w:val="3"/>
            <w:tcBorders>
              <w:top w:val="nil"/>
              <w:left w:val="nil"/>
              <w:bottom w:val="nil"/>
              <w:right w:val="nil"/>
            </w:tcBorders>
            <w:shd w:val="clear" w:color="auto" w:fill="auto"/>
            <w:noWrap/>
            <w:vAlign w:val="bottom"/>
            <w:hideMark/>
          </w:tcPr>
          <w:p w:rsidR="000A0A11" w:rsidRPr="000A0A11" w:rsidRDefault="000A0A11" w:rsidP="000A0A11">
            <w:pPr>
              <w:jc w:val="right"/>
              <w:rPr>
                <w:rFonts w:ascii="Times New Roman CE" w:hAnsi="Times New Roman CE" w:cs="Times New Roman CE"/>
                <w:sz w:val="21"/>
                <w:szCs w:val="21"/>
              </w:rPr>
            </w:pPr>
            <w:r w:rsidRPr="000A0A11">
              <w:rPr>
                <w:rFonts w:ascii="Times New Roman CE" w:hAnsi="Times New Roman CE" w:cs="Times New Roman CE"/>
                <w:sz w:val="21"/>
                <w:szCs w:val="21"/>
              </w:rPr>
              <w:t>0</w:t>
            </w:r>
          </w:p>
        </w:tc>
        <w:tc>
          <w:tcPr>
            <w:tcW w:w="1134" w:type="dxa"/>
            <w:gridSpan w:val="3"/>
            <w:tcBorders>
              <w:top w:val="nil"/>
              <w:left w:val="nil"/>
              <w:bottom w:val="single" w:sz="4" w:space="0" w:color="auto"/>
              <w:right w:val="nil"/>
            </w:tcBorders>
            <w:shd w:val="clear" w:color="auto" w:fill="auto"/>
            <w:noWrap/>
            <w:vAlign w:val="bottom"/>
            <w:hideMark/>
          </w:tcPr>
          <w:p w:rsidR="000A0A11" w:rsidRPr="000A0A11" w:rsidRDefault="000A0A11" w:rsidP="000A0A11">
            <w:pPr>
              <w:jc w:val="right"/>
              <w:rPr>
                <w:rFonts w:ascii="Times New Roman CE" w:hAnsi="Times New Roman CE" w:cs="Times New Roman CE"/>
                <w:sz w:val="21"/>
                <w:szCs w:val="21"/>
              </w:rPr>
            </w:pPr>
            <w:r w:rsidRPr="000A0A11">
              <w:rPr>
                <w:rFonts w:ascii="Times New Roman CE" w:hAnsi="Times New Roman CE" w:cs="Times New Roman CE"/>
                <w:sz w:val="21"/>
                <w:szCs w:val="21"/>
              </w:rPr>
              <w:t>54,1%</w:t>
            </w:r>
          </w:p>
        </w:tc>
      </w:tr>
      <w:tr w:rsidR="000A0A11" w:rsidRPr="000A0A11" w:rsidTr="004069E4">
        <w:tblPrEx>
          <w:tblCellMar>
            <w:left w:w="70" w:type="dxa"/>
            <w:right w:w="70" w:type="dxa"/>
          </w:tblCellMar>
          <w:tblLook w:val="04A0" w:firstRow="1" w:lastRow="0" w:firstColumn="1" w:lastColumn="0" w:noHBand="0" w:noVBand="1"/>
        </w:tblPrEx>
        <w:trPr>
          <w:gridAfter w:val="3"/>
          <w:wAfter w:w="2571" w:type="dxa"/>
          <w:trHeight w:val="270"/>
        </w:trPr>
        <w:tc>
          <w:tcPr>
            <w:tcW w:w="2977" w:type="dxa"/>
            <w:tcBorders>
              <w:top w:val="nil"/>
              <w:left w:val="nil"/>
              <w:bottom w:val="nil"/>
              <w:right w:val="nil"/>
            </w:tcBorders>
            <w:shd w:val="clear" w:color="auto" w:fill="auto"/>
            <w:vAlign w:val="bottom"/>
            <w:hideMark/>
          </w:tcPr>
          <w:p w:rsidR="000A0A11" w:rsidRPr="000A0A11" w:rsidRDefault="000A0A11" w:rsidP="000A0A11">
            <w:pPr>
              <w:jc w:val="left"/>
              <w:rPr>
                <w:rFonts w:ascii="Times New Roman CE" w:hAnsi="Times New Roman CE" w:cs="Times New Roman CE"/>
                <w:sz w:val="21"/>
                <w:szCs w:val="21"/>
              </w:rPr>
            </w:pPr>
            <w:r w:rsidRPr="000A0A11">
              <w:rPr>
                <w:rFonts w:ascii="Times New Roman CE" w:hAnsi="Times New Roman CE" w:cs="Times New Roman CE"/>
                <w:sz w:val="21"/>
                <w:szCs w:val="21"/>
              </w:rPr>
              <w:t>Összesen</w:t>
            </w:r>
          </w:p>
        </w:tc>
        <w:tc>
          <w:tcPr>
            <w:tcW w:w="979" w:type="dxa"/>
            <w:tcBorders>
              <w:top w:val="single" w:sz="4" w:space="0" w:color="auto"/>
              <w:left w:val="nil"/>
              <w:bottom w:val="nil"/>
              <w:right w:val="nil"/>
            </w:tcBorders>
            <w:shd w:val="clear" w:color="auto" w:fill="auto"/>
            <w:noWrap/>
            <w:vAlign w:val="bottom"/>
            <w:hideMark/>
          </w:tcPr>
          <w:p w:rsidR="000A0A11" w:rsidRPr="000A0A11" w:rsidRDefault="000A0A11" w:rsidP="000A0A11">
            <w:pPr>
              <w:jc w:val="right"/>
              <w:rPr>
                <w:rFonts w:ascii="Times New Roman CE" w:hAnsi="Times New Roman CE" w:cs="Times New Roman CE"/>
                <w:sz w:val="21"/>
                <w:szCs w:val="21"/>
              </w:rPr>
            </w:pPr>
            <w:r w:rsidRPr="000A0A11">
              <w:rPr>
                <w:rFonts w:ascii="Times New Roman CE" w:hAnsi="Times New Roman CE" w:cs="Times New Roman CE"/>
                <w:sz w:val="21"/>
                <w:szCs w:val="21"/>
              </w:rPr>
              <w:t>649 910</w:t>
            </w:r>
          </w:p>
        </w:tc>
        <w:tc>
          <w:tcPr>
            <w:tcW w:w="1147" w:type="dxa"/>
            <w:gridSpan w:val="2"/>
            <w:tcBorders>
              <w:top w:val="nil"/>
              <w:left w:val="nil"/>
              <w:bottom w:val="nil"/>
              <w:right w:val="nil"/>
            </w:tcBorders>
            <w:shd w:val="clear" w:color="auto" w:fill="auto"/>
            <w:noWrap/>
            <w:vAlign w:val="bottom"/>
            <w:hideMark/>
          </w:tcPr>
          <w:p w:rsidR="000A0A11" w:rsidRPr="000A0A11" w:rsidRDefault="009942A7" w:rsidP="000A0A11">
            <w:pPr>
              <w:jc w:val="right"/>
              <w:rPr>
                <w:rFonts w:ascii="Times New Roman CE" w:hAnsi="Times New Roman CE" w:cs="Times New Roman CE"/>
                <w:sz w:val="21"/>
                <w:szCs w:val="21"/>
              </w:rPr>
            </w:pPr>
            <w:r>
              <w:rPr>
                <w:rFonts w:ascii="Times New Roman CE" w:hAnsi="Times New Roman CE" w:cs="Times New Roman CE"/>
                <w:sz w:val="21"/>
                <w:szCs w:val="21"/>
              </w:rPr>
              <w:t>923 898</w:t>
            </w:r>
          </w:p>
        </w:tc>
        <w:tc>
          <w:tcPr>
            <w:tcW w:w="1276" w:type="dxa"/>
            <w:gridSpan w:val="3"/>
            <w:tcBorders>
              <w:top w:val="nil"/>
              <w:left w:val="nil"/>
              <w:bottom w:val="nil"/>
              <w:right w:val="nil"/>
            </w:tcBorders>
            <w:shd w:val="clear" w:color="auto" w:fill="auto"/>
            <w:noWrap/>
            <w:vAlign w:val="bottom"/>
            <w:hideMark/>
          </w:tcPr>
          <w:p w:rsidR="000A0A11" w:rsidRPr="000A0A11" w:rsidRDefault="000A0A11" w:rsidP="000A0A11">
            <w:pPr>
              <w:jc w:val="right"/>
              <w:rPr>
                <w:rFonts w:ascii="Times New Roman CE" w:hAnsi="Times New Roman CE" w:cs="Times New Roman CE"/>
                <w:sz w:val="21"/>
                <w:szCs w:val="21"/>
              </w:rPr>
            </w:pPr>
            <w:r w:rsidRPr="000A0A11">
              <w:rPr>
                <w:rFonts w:ascii="Times New Roman CE" w:hAnsi="Times New Roman CE" w:cs="Times New Roman CE"/>
                <w:sz w:val="21"/>
                <w:szCs w:val="21"/>
              </w:rPr>
              <w:t>454 926</w:t>
            </w:r>
          </w:p>
        </w:tc>
        <w:tc>
          <w:tcPr>
            <w:tcW w:w="1196" w:type="dxa"/>
            <w:gridSpan w:val="3"/>
            <w:tcBorders>
              <w:top w:val="nil"/>
              <w:left w:val="nil"/>
              <w:bottom w:val="nil"/>
              <w:right w:val="nil"/>
            </w:tcBorders>
            <w:shd w:val="clear" w:color="auto" w:fill="auto"/>
            <w:noWrap/>
            <w:vAlign w:val="bottom"/>
            <w:hideMark/>
          </w:tcPr>
          <w:p w:rsidR="000A0A11" w:rsidRPr="000A0A11" w:rsidRDefault="000A0A11" w:rsidP="000A0A11">
            <w:pPr>
              <w:jc w:val="right"/>
              <w:rPr>
                <w:rFonts w:ascii="Times New Roman CE" w:hAnsi="Times New Roman CE" w:cs="Times New Roman CE"/>
                <w:sz w:val="21"/>
                <w:szCs w:val="21"/>
              </w:rPr>
            </w:pPr>
            <w:r w:rsidRPr="000A0A11">
              <w:rPr>
                <w:rFonts w:ascii="Times New Roman CE" w:hAnsi="Times New Roman CE" w:cs="Times New Roman CE"/>
                <w:sz w:val="21"/>
                <w:szCs w:val="21"/>
              </w:rPr>
              <w:t>433 797</w:t>
            </w:r>
          </w:p>
        </w:tc>
        <w:tc>
          <w:tcPr>
            <w:tcW w:w="1072" w:type="dxa"/>
            <w:gridSpan w:val="3"/>
            <w:tcBorders>
              <w:top w:val="single" w:sz="4" w:space="0" w:color="auto"/>
              <w:left w:val="nil"/>
              <w:bottom w:val="nil"/>
              <w:right w:val="nil"/>
            </w:tcBorders>
            <w:shd w:val="clear" w:color="auto" w:fill="auto"/>
            <w:noWrap/>
            <w:vAlign w:val="bottom"/>
            <w:hideMark/>
          </w:tcPr>
          <w:p w:rsidR="000A0A11" w:rsidRPr="000A0A11" w:rsidRDefault="000A0A11" w:rsidP="000A0A11">
            <w:pPr>
              <w:jc w:val="right"/>
              <w:rPr>
                <w:rFonts w:ascii="Times New Roman CE" w:hAnsi="Times New Roman CE" w:cs="Times New Roman CE"/>
                <w:sz w:val="21"/>
                <w:szCs w:val="21"/>
              </w:rPr>
            </w:pPr>
            <w:r w:rsidRPr="000A0A11">
              <w:rPr>
                <w:rFonts w:ascii="Times New Roman CE" w:hAnsi="Times New Roman CE" w:cs="Times New Roman CE"/>
                <w:sz w:val="21"/>
                <w:szCs w:val="21"/>
              </w:rPr>
              <w:t>188 000</w:t>
            </w:r>
          </w:p>
        </w:tc>
        <w:tc>
          <w:tcPr>
            <w:tcW w:w="1134" w:type="dxa"/>
            <w:gridSpan w:val="3"/>
            <w:tcBorders>
              <w:top w:val="nil"/>
              <w:left w:val="nil"/>
              <w:bottom w:val="nil"/>
              <w:right w:val="nil"/>
            </w:tcBorders>
            <w:shd w:val="clear" w:color="auto" w:fill="auto"/>
            <w:noWrap/>
            <w:vAlign w:val="bottom"/>
            <w:hideMark/>
          </w:tcPr>
          <w:p w:rsidR="000A0A11" w:rsidRPr="000A0A11" w:rsidRDefault="000A0A11" w:rsidP="000A0A11">
            <w:pPr>
              <w:jc w:val="right"/>
              <w:rPr>
                <w:rFonts w:ascii="Times New Roman CE" w:hAnsi="Times New Roman CE" w:cs="Times New Roman CE"/>
                <w:sz w:val="21"/>
                <w:szCs w:val="21"/>
              </w:rPr>
            </w:pPr>
            <w:r w:rsidRPr="000A0A11">
              <w:rPr>
                <w:rFonts w:ascii="Times New Roman CE" w:hAnsi="Times New Roman CE" w:cs="Times New Roman CE"/>
                <w:sz w:val="21"/>
                <w:szCs w:val="21"/>
              </w:rPr>
              <w:t>70,0%</w:t>
            </w:r>
          </w:p>
        </w:tc>
      </w:tr>
      <w:tr w:rsidR="000A0A11" w:rsidRPr="000A0A11" w:rsidTr="004069E4">
        <w:tblPrEx>
          <w:tblCellMar>
            <w:left w:w="70" w:type="dxa"/>
            <w:right w:w="70" w:type="dxa"/>
          </w:tblCellMar>
          <w:tblLook w:val="04A0" w:firstRow="1" w:lastRow="0" w:firstColumn="1" w:lastColumn="0" w:noHBand="0" w:noVBand="1"/>
        </w:tblPrEx>
        <w:trPr>
          <w:trHeight w:val="255"/>
        </w:trPr>
        <w:tc>
          <w:tcPr>
            <w:tcW w:w="3956" w:type="dxa"/>
            <w:gridSpan w:val="2"/>
            <w:tcBorders>
              <w:top w:val="nil"/>
              <w:left w:val="nil"/>
              <w:bottom w:val="nil"/>
              <w:right w:val="nil"/>
            </w:tcBorders>
            <w:shd w:val="clear" w:color="auto" w:fill="auto"/>
            <w:vAlign w:val="bottom"/>
            <w:hideMark/>
          </w:tcPr>
          <w:p w:rsidR="000A0A11" w:rsidRPr="000A0A11" w:rsidRDefault="000A0A11" w:rsidP="000A0A11">
            <w:pPr>
              <w:jc w:val="right"/>
              <w:rPr>
                <w:rFonts w:ascii="Times New Roman CE" w:hAnsi="Times New Roman CE" w:cs="Times New Roman CE"/>
                <w:sz w:val="21"/>
                <w:szCs w:val="21"/>
              </w:rPr>
            </w:pPr>
          </w:p>
        </w:tc>
        <w:tc>
          <w:tcPr>
            <w:tcW w:w="1436" w:type="dxa"/>
            <w:gridSpan w:val="4"/>
            <w:tcBorders>
              <w:top w:val="nil"/>
              <w:left w:val="nil"/>
              <w:bottom w:val="nil"/>
              <w:right w:val="nil"/>
            </w:tcBorders>
            <w:shd w:val="clear" w:color="auto" w:fill="auto"/>
            <w:noWrap/>
            <w:vAlign w:val="bottom"/>
            <w:hideMark/>
          </w:tcPr>
          <w:p w:rsidR="000A0A11" w:rsidRPr="000A0A11" w:rsidRDefault="000A0A11" w:rsidP="000A0A11">
            <w:pPr>
              <w:jc w:val="left"/>
              <w:rPr>
                <w:sz w:val="20"/>
              </w:rPr>
            </w:pPr>
          </w:p>
        </w:tc>
        <w:tc>
          <w:tcPr>
            <w:tcW w:w="1496" w:type="dxa"/>
            <w:gridSpan w:val="3"/>
            <w:tcBorders>
              <w:top w:val="nil"/>
              <w:left w:val="nil"/>
              <w:bottom w:val="nil"/>
              <w:right w:val="nil"/>
            </w:tcBorders>
            <w:shd w:val="clear" w:color="auto" w:fill="auto"/>
            <w:noWrap/>
            <w:vAlign w:val="bottom"/>
            <w:hideMark/>
          </w:tcPr>
          <w:p w:rsidR="000A0A11" w:rsidRPr="000A0A11" w:rsidRDefault="000A0A11" w:rsidP="000A0A11">
            <w:pPr>
              <w:jc w:val="left"/>
              <w:rPr>
                <w:sz w:val="20"/>
              </w:rPr>
            </w:pPr>
          </w:p>
        </w:tc>
        <w:tc>
          <w:tcPr>
            <w:tcW w:w="1496" w:type="dxa"/>
            <w:gridSpan w:val="3"/>
            <w:tcBorders>
              <w:top w:val="nil"/>
              <w:left w:val="nil"/>
              <w:bottom w:val="nil"/>
              <w:right w:val="nil"/>
            </w:tcBorders>
            <w:shd w:val="clear" w:color="auto" w:fill="auto"/>
            <w:noWrap/>
            <w:vAlign w:val="bottom"/>
            <w:hideMark/>
          </w:tcPr>
          <w:p w:rsidR="000A0A11" w:rsidRPr="000A0A11" w:rsidRDefault="000A0A11" w:rsidP="000A0A11">
            <w:pPr>
              <w:jc w:val="left"/>
              <w:rPr>
                <w:sz w:val="20"/>
              </w:rPr>
            </w:pPr>
          </w:p>
        </w:tc>
        <w:tc>
          <w:tcPr>
            <w:tcW w:w="1196" w:type="dxa"/>
            <w:gridSpan w:val="3"/>
            <w:tcBorders>
              <w:top w:val="nil"/>
              <w:left w:val="nil"/>
              <w:bottom w:val="nil"/>
              <w:right w:val="nil"/>
            </w:tcBorders>
            <w:shd w:val="clear" w:color="auto" w:fill="auto"/>
            <w:noWrap/>
            <w:vAlign w:val="bottom"/>
            <w:hideMark/>
          </w:tcPr>
          <w:p w:rsidR="000A0A11" w:rsidRPr="000A0A11" w:rsidRDefault="000A0A11" w:rsidP="000A0A11">
            <w:pPr>
              <w:jc w:val="left"/>
              <w:rPr>
                <w:sz w:val="20"/>
              </w:rPr>
            </w:pPr>
          </w:p>
        </w:tc>
        <w:tc>
          <w:tcPr>
            <w:tcW w:w="1256" w:type="dxa"/>
            <w:gridSpan w:val="3"/>
            <w:tcBorders>
              <w:top w:val="nil"/>
              <w:left w:val="nil"/>
              <w:bottom w:val="nil"/>
              <w:right w:val="nil"/>
            </w:tcBorders>
            <w:shd w:val="clear" w:color="auto" w:fill="auto"/>
            <w:noWrap/>
            <w:vAlign w:val="bottom"/>
            <w:hideMark/>
          </w:tcPr>
          <w:p w:rsidR="000A0A11" w:rsidRPr="000A0A11" w:rsidRDefault="000A0A11" w:rsidP="000A0A11">
            <w:pPr>
              <w:jc w:val="left"/>
              <w:rPr>
                <w:sz w:val="20"/>
              </w:rPr>
            </w:pPr>
          </w:p>
        </w:tc>
        <w:tc>
          <w:tcPr>
            <w:tcW w:w="1516" w:type="dxa"/>
            <w:tcBorders>
              <w:top w:val="nil"/>
              <w:left w:val="nil"/>
              <w:bottom w:val="nil"/>
              <w:right w:val="nil"/>
            </w:tcBorders>
            <w:shd w:val="clear" w:color="auto" w:fill="auto"/>
            <w:noWrap/>
            <w:vAlign w:val="bottom"/>
            <w:hideMark/>
          </w:tcPr>
          <w:p w:rsidR="000A0A11" w:rsidRPr="000A0A11" w:rsidRDefault="000A0A11" w:rsidP="000A0A11">
            <w:pPr>
              <w:jc w:val="left"/>
              <w:rPr>
                <w:sz w:val="20"/>
              </w:rPr>
            </w:pPr>
          </w:p>
        </w:tc>
      </w:tr>
      <w:tr w:rsidR="000A0A11" w:rsidRPr="000A0A11" w:rsidTr="004069E4">
        <w:tblPrEx>
          <w:tblCellMar>
            <w:left w:w="70" w:type="dxa"/>
            <w:right w:w="70" w:type="dxa"/>
          </w:tblCellMar>
          <w:tblLook w:val="04A0" w:firstRow="1" w:lastRow="0" w:firstColumn="1" w:lastColumn="0" w:noHBand="0" w:noVBand="1"/>
        </w:tblPrEx>
        <w:trPr>
          <w:trHeight w:val="114"/>
        </w:trPr>
        <w:tc>
          <w:tcPr>
            <w:tcW w:w="10836" w:type="dxa"/>
            <w:gridSpan w:val="18"/>
            <w:tcBorders>
              <w:top w:val="nil"/>
              <w:left w:val="nil"/>
              <w:bottom w:val="nil"/>
              <w:right w:val="nil"/>
            </w:tcBorders>
            <w:shd w:val="clear" w:color="auto" w:fill="auto"/>
            <w:vAlign w:val="center"/>
            <w:hideMark/>
          </w:tcPr>
          <w:p w:rsidR="000A0A11" w:rsidRPr="000A0A11" w:rsidRDefault="000A0A11" w:rsidP="000A0A11">
            <w:pPr>
              <w:jc w:val="left"/>
              <w:rPr>
                <w:rFonts w:ascii="Times New Roman CE" w:hAnsi="Times New Roman CE" w:cs="Times New Roman CE"/>
                <w:sz w:val="21"/>
                <w:szCs w:val="21"/>
              </w:rPr>
            </w:pPr>
            <w:r w:rsidRPr="000A0A11">
              <w:rPr>
                <w:rFonts w:ascii="Times New Roman CE" w:hAnsi="Times New Roman CE" w:cs="Times New Roman CE"/>
                <w:sz w:val="21"/>
                <w:szCs w:val="21"/>
              </w:rPr>
              <w:t>* 2022. évre áthúzódó 188 mFt-ot is tartalmazza (94-94 mFt amortizációs forrásból és VEF pályázati támogatásból)</w:t>
            </w:r>
          </w:p>
        </w:tc>
        <w:tc>
          <w:tcPr>
            <w:tcW w:w="1516" w:type="dxa"/>
            <w:tcBorders>
              <w:top w:val="nil"/>
              <w:left w:val="nil"/>
              <w:bottom w:val="nil"/>
              <w:right w:val="nil"/>
            </w:tcBorders>
            <w:shd w:val="clear" w:color="auto" w:fill="auto"/>
            <w:vAlign w:val="center"/>
            <w:hideMark/>
          </w:tcPr>
          <w:p w:rsidR="000A0A11" w:rsidRPr="000A0A11" w:rsidRDefault="000A0A11" w:rsidP="000A0A11">
            <w:pPr>
              <w:jc w:val="left"/>
              <w:rPr>
                <w:rFonts w:ascii="Times New Roman CE" w:hAnsi="Times New Roman CE" w:cs="Times New Roman CE"/>
                <w:sz w:val="21"/>
                <w:szCs w:val="21"/>
              </w:rPr>
            </w:pPr>
          </w:p>
        </w:tc>
      </w:tr>
      <w:tr w:rsidR="000A0A11" w:rsidRPr="000A0A11" w:rsidTr="004069E4">
        <w:tblPrEx>
          <w:tblCellMar>
            <w:left w:w="70" w:type="dxa"/>
            <w:right w:w="70" w:type="dxa"/>
          </w:tblCellMar>
          <w:tblLook w:val="04A0" w:firstRow="1" w:lastRow="0" w:firstColumn="1" w:lastColumn="0" w:noHBand="0" w:noVBand="1"/>
        </w:tblPrEx>
        <w:trPr>
          <w:trHeight w:val="232"/>
        </w:trPr>
        <w:tc>
          <w:tcPr>
            <w:tcW w:w="9580" w:type="dxa"/>
            <w:gridSpan w:val="15"/>
            <w:tcBorders>
              <w:top w:val="nil"/>
              <w:left w:val="nil"/>
              <w:bottom w:val="nil"/>
              <w:right w:val="nil"/>
            </w:tcBorders>
            <w:shd w:val="clear" w:color="auto" w:fill="auto"/>
            <w:vAlign w:val="center"/>
            <w:hideMark/>
          </w:tcPr>
          <w:p w:rsidR="000A0A11" w:rsidRPr="000A0A11" w:rsidRDefault="000A0A11" w:rsidP="000A0A11">
            <w:pPr>
              <w:jc w:val="left"/>
              <w:rPr>
                <w:rFonts w:ascii="Times New Roman CE" w:hAnsi="Times New Roman CE" w:cs="Times New Roman CE"/>
                <w:sz w:val="21"/>
                <w:szCs w:val="21"/>
              </w:rPr>
            </w:pPr>
            <w:r w:rsidRPr="000A0A11">
              <w:rPr>
                <w:rFonts w:ascii="Times New Roman CE" w:hAnsi="Times New Roman CE" w:cs="Times New Roman CE"/>
                <w:sz w:val="21"/>
                <w:szCs w:val="21"/>
              </w:rPr>
              <w:t>** 2023. évre áthúzódó 1 628 eFt-ot is tartalmazza (amortizációs forrásból)</w:t>
            </w:r>
          </w:p>
        </w:tc>
        <w:tc>
          <w:tcPr>
            <w:tcW w:w="1256" w:type="dxa"/>
            <w:gridSpan w:val="3"/>
            <w:tcBorders>
              <w:top w:val="nil"/>
              <w:left w:val="nil"/>
              <w:bottom w:val="nil"/>
              <w:right w:val="nil"/>
            </w:tcBorders>
            <w:shd w:val="clear" w:color="auto" w:fill="auto"/>
            <w:vAlign w:val="center"/>
            <w:hideMark/>
          </w:tcPr>
          <w:p w:rsidR="000A0A11" w:rsidRPr="000A0A11" w:rsidRDefault="000A0A11" w:rsidP="000A0A11">
            <w:pPr>
              <w:jc w:val="left"/>
              <w:rPr>
                <w:rFonts w:ascii="Times New Roman CE" w:hAnsi="Times New Roman CE" w:cs="Times New Roman CE"/>
                <w:sz w:val="21"/>
                <w:szCs w:val="21"/>
              </w:rPr>
            </w:pPr>
          </w:p>
        </w:tc>
        <w:tc>
          <w:tcPr>
            <w:tcW w:w="1516" w:type="dxa"/>
            <w:tcBorders>
              <w:top w:val="nil"/>
              <w:left w:val="nil"/>
              <w:bottom w:val="nil"/>
              <w:right w:val="nil"/>
            </w:tcBorders>
            <w:shd w:val="clear" w:color="auto" w:fill="auto"/>
            <w:vAlign w:val="center"/>
            <w:hideMark/>
          </w:tcPr>
          <w:p w:rsidR="000A0A11" w:rsidRPr="000A0A11" w:rsidRDefault="000A0A11" w:rsidP="000A0A11">
            <w:pPr>
              <w:jc w:val="left"/>
              <w:rPr>
                <w:sz w:val="21"/>
                <w:szCs w:val="21"/>
              </w:rPr>
            </w:pPr>
          </w:p>
        </w:tc>
      </w:tr>
    </w:tbl>
    <w:p w:rsidR="000A0A11" w:rsidRDefault="000A0A11" w:rsidP="000A0A11"/>
    <w:p w:rsidR="00D51AA4" w:rsidRPr="009B5141" w:rsidRDefault="00D51AA4">
      <w:pPr>
        <w:pStyle w:val="Cmsor2"/>
        <w:rPr>
          <w:i w:val="0"/>
          <w:iCs w:val="0"/>
          <w:sz w:val="24"/>
          <w:szCs w:val="24"/>
        </w:rPr>
      </w:pPr>
      <w:bookmarkStart w:id="61" w:name="_Toc132629492"/>
      <w:r w:rsidRPr="009B5141">
        <w:rPr>
          <w:i w:val="0"/>
          <w:iCs w:val="0"/>
          <w:sz w:val="24"/>
          <w:szCs w:val="24"/>
        </w:rPr>
        <w:t>A kül</w:t>
      </w:r>
      <w:r w:rsidR="00E4612E" w:rsidRPr="009B5141">
        <w:rPr>
          <w:i w:val="0"/>
          <w:iCs w:val="0"/>
          <w:sz w:val="24"/>
          <w:szCs w:val="24"/>
        </w:rPr>
        <w:t>önböző forrásokból lekötött</w:t>
      </w:r>
      <w:r w:rsidRPr="009B5141">
        <w:rPr>
          <w:i w:val="0"/>
          <w:iCs w:val="0"/>
          <w:sz w:val="24"/>
          <w:szCs w:val="24"/>
        </w:rPr>
        <w:t xml:space="preserve"> beruházások megoszlása tevékenységek szerint</w:t>
      </w:r>
      <w:bookmarkEnd w:id="61"/>
    </w:p>
    <w:tbl>
      <w:tblPr>
        <w:tblW w:w="9596" w:type="dxa"/>
        <w:tblCellMar>
          <w:left w:w="70" w:type="dxa"/>
          <w:right w:w="70" w:type="dxa"/>
        </w:tblCellMar>
        <w:tblLook w:val="04A0" w:firstRow="1" w:lastRow="0" w:firstColumn="1" w:lastColumn="0" w:noHBand="0" w:noVBand="1"/>
      </w:tblPr>
      <w:tblGrid>
        <w:gridCol w:w="2410"/>
        <w:gridCol w:w="284"/>
        <w:gridCol w:w="141"/>
        <w:gridCol w:w="993"/>
        <w:gridCol w:w="60"/>
        <w:gridCol w:w="81"/>
        <w:gridCol w:w="203"/>
        <w:gridCol w:w="892"/>
        <w:gridCol w:w="260"/>
        <w:gridCol w:w="81"/>
        <w:gridCol w:w="203"/>
        <w:gridCol w:w="801"/>
        <w:gridCol w:w="81"/>
        <w:gridCol w:w="10"/>
        <w:gridCol w:w="344"/>
        <w:gridCol w:w="892"/>
        <w:gridCol w:w="424"/>
        <w:gridCol w:w="81"/>
        <w:gridCol w:w="578"/>
        <w:gridCol w:w="567"/>
        <w:gridCol w:w="81"/>
        <w:gridCol w:w="129"/>
      </w:tblGrid>
      <w:tr w:rsidR="00154F3D" w:rsidRPr="00154F3D" w:rsidTr="00BD083C">
        <w:trPr>
          <w:gridAfter w:val="2"/>
          <w:wAfter w:w="210" w:type="dxa"/>
          <w:trHeight w:val="300"/>
        </w:trPr>
        <w:tc>
          <w:tcPr>
            <w:tcW w:w="3828" w:type="dxa"/>
            <w:gridSpan w:val="4"/>
            <w:tcBorders>
              <w:top w:val="nil"/>
              <w:left w:val="nil"/>
              <w:bottom w:val="single" w:sz="4" w:space="0" w:color="auto"/>
              <w:right w:val="nil"/>
            </w:tcBorders>
            <w:shd w:val="clear" w:color="auto" w:fill="auto"/>
            <w:noWrap/>
            <w:vAlign w:val="bottom"/>
            <w:hideMark/>
          </w:tcPr>
          <w:p w:rsidR="00154F3D" w:rsidRPr="00154F3D" w:rsidRDefault="00154F3D" w:rsidP="00BD083C">
            <w:pPr>
              <w:ind w:left="-121" w:firstLine="121"/>
              <w:jc w:val="left"/>
              <w:rPr>
                <w:rFonts w:ascii="Times New Roman CE" w:hAnsi="Times New Roman CE" w:cs="Times New Roman CE"/>
                <w:sz w:val="22"/>
                <w:szCs w:val="22"/>
              </w:rPr>
            </w:pPr>
            <w:r w:rsidRPr="00154F3D">
              <w:rPr>
                <w:rFonts w:ascii="Times New Roman CE" w:hAnsi="Times New Roman CE" w:cs="Times New Roman CE"/>
                <w:sz w:val="22"/>
                <w:szCs w:val="22"/>
              </w:rPr>
              <w:t> </w:t>
            </w:r>
          </w:p>
        </w:tc>
        <w:tc>
          <w:tcPr>
            <w:tcW w:w="1236" w:type="dxa"/>
            <w:gridSpan w:val="4"/>
            <w:tcBorders>
              <w:top w:val="nil"/>
              <w:left w:val="nil"/>
              <w:bottom w:val="single" w:sz="4" w:space="0" w:color="auto"/>
              <w:right w:val="nil"/>
            </w:tcBorders>
            <w:shd w:val="clear" w:color="auto" w:fill="auto"/>
            <w:noWrap/>
            <w:vAlign w:val="center"/>
            <w:hideMark/>
          </w:tcPr>
          <w:p w:rsidR="00154F3D" w:rsidRPr="00154F3D" w:rsidRDefault="00154F3D" w:rsidP="00BD083C">
            <w:pPr>
              <w:ind w:left="-121" w:firstLine="121"/>
              <w:jc w:val="left"/>
              <w:rPr>
                <w:rFonts w:ascii="Times New Roman CE" w:hAnsi="Times New Roman CE" w:cs="Times New Roman CE"/>
                <w:sz w:val="22"/>
                <w:szCs w:val="22"/>
              </w:rPr>
            </w:pPr>
            <w:r w:rsidRPr="00154F3D">
              <w:rPr>
                <w:rFonts w:ascii="Times New Roman CE" w:hAnsi="Times New Roman CE" w:cs="Times New Roman CE"/>
                <w:sz w:val="22"/>
                <w:szCs w:val="22"/>
              </w:rPr>
              <w:t> </w:t>
            </w:r>
          </w:p>
        </w:tc>
        <w:tc>
          <w:tcPr>
            <w:tcW w:w="1436" w:type="dxa"/>
            <w:gridSpan w:val="6"/>
            <w:tcBorders>
              <w:top w:val="nil"/>
              <w:left w:val="nil"/>
              <w:bottom w:val="single" w:sz="4" w:space="0" w:color="auto"/>
              <w:right w:val="nil"/>
            </w:tcBorders>
            <w:shd w:val="clear" w:color="auto" w:fill="auto"/>
            <w:noWrap/>
            <w:vAlign w:val="center"/>
            <w:hideMark/>
          </w:tcPr>
          <w:p w:rsidR="00154F3D" w:rsidRPr="00154F3D" w:rsidRDefault="00154F3D" w:rsidP="00BD083C">
            <w:pPr>
              <w:ind w:left="-121" w:firstLine="121"/>
              <w:jc w:val="left"/>
              <w:rPr>
                <w:rFonts w:ascii="Times New Roman CE" w:hAnsi="Times New Roman CE" w:cs="Times New Roman CE"/>
                <w:sz w:val="22"/>
                <w:szCs w:val="22"/>
              </w:rPr>
            </w:pPr>
            <w:r w:rsidRPr="00154F3D">
              <w:rPr>
                <w:rFonts w:ascii="Times New Roman CE" w:hAnsi="Times New Roman CE" w:cs="Times New Roman CE"/>
                <w:sz w:val="22"/>
                <w:szCs w:val="22"/>
              </w:rPr>
              <w:t> </w:t>
            </w:r>
          </w:p>
        </w:tc>
        <w:tc>
          <w:tcPr>
            <w:tcW w:w="1236" w:type="dxa"/>
            <w:gridSpan w:val="2"/>
            <w:tcBorders>
              <w:top w:val="nil"/>
              <w:left w:val="nil"/>
              <w:bottom w:val="single" w:sz="4" w:space="0" w:color="auto"/>
              <w:right w:val="nil"/>
            </w:tcBorders>
            <w:shd w:val="clear" w:color="auto" w:fill="auto"/>
            <w:noWrap/>
            <w:vAlign w:val="center"/>
            <w:hideMark/>
          </w:tcPr>
          <w:p w:rsidR="00154F3D" w:rsidRPr="00154F3D" w:rsidRDefault="00154F3D" w:rsidP="00BD083C">
            <w:pPr>
              <w:ind w:left="-121" w:firstLine="121"/>
              <w:jc w:val="left"/>
              <w:rPr>
                <w:rFonts w:ascii="Times New Roman CE" w:hAnsi="Times New Roman CE" w:cs="Times New Roman CE"/>
                <w:sz w:val="22"/>
                <w:szCs w:val="22"/>
              </w:rPr>
            </w:pPr>
            <w:r w:rsidRPr="00154F3D">
              <w:rPr>
                <w:rFonts w:ascii="Times New Roman CE" w:hAnsi="Times New Roman CE" w:cs="Times New Roman CE"/>
                <w:sz w:val="22"/>
                <w:szCs w:val="22"/>
              </w:rPr>
              <w:t> </w:t>
            </w:r>
          </w:p>
        </w:tc>
        <w:tc>
          <w:tcPr>
            <w:tcW w:w="1083" w:type="dxa"/>
            <w:gridSpan w:val="3"/>
            <w:tcBorders>
              <w:top w:val="nil"/>
              <w:left w:val="nil"/>
              <w:bottom w:val="single" w:sz="4" w:space="0" w:color="auto"/>
              <w:right w:val="nil"/>
            </w:tcBorders>
            <w:shd w:val="clear" w:color="auto" w:fill="auto"/>
            <w:noWrap/>
            <w:vAlign w:val="center"/>
            <w:hideMark/>
          </w:tcPr>
          <w:p w:rsidR="00154F3D" w:rsidRPr="00154F3D" w:rsidRDefault="00154F3D" w:rsidP="00BD083C">
            <w:pPr>
              <w:ind w:left="-121" w:firstLine="121"/>
              <w:jc w:val="left"/>
              <w:rPr>
                <w:rFonts w:ascii="Times New Roman CE" w:hAnsi="Times New Roman CE" w:cs="Times New Roman CE"/>
                <w:sz w:val="22"/>
                <w:szCs w:val="22"/>
              </w:rPr>
            </w:pPr>
            <w:r w:rsidRPr="00154F3D">
              <w:rPr>
                <w:rFonts w:ascii="Times New Roman CE" w:hAnsi="Times New Roman CE" w:cs="Times New Roman CE"/>
                <w:sz w:val="22"/>
                <w:szCs w:val="22"/>
              </w:rPr>
              <w:t> </w:t>
            </w:r>
          </w:p>
        </w:tc>
        <w:tc>
          <w:tcPr>
            <w:tcW w:w="567" w:type="dxa"/>
            <w:tcBorders>
              <w:top w:val="nil"/>
              <w:left w:val="nil"/>
              <w:bottom w:val="single" w:sz="4" w:space="0" w:color="auto"/>
              <w:right w:val="nil"/>
            </w:tcBorders>
            <w:shd w:val="clear" w:color="auto" w:fill="auto"/>
            <w:noWrap/>
            <w:vAlign w:val="center"/>
            <w:hideMark/>
          </w:tcPr>
          <w:p w:rsidR="00154F3D" w:rsidRPr="00154F3D" w:rsidRDefault="00154F3D" w:rsidP="00BD083C">
            <w:pPr>
              <w:ind w:left="-121" w:firstLine="121"/>
              <w:jc w:val="right"/>
              <w:rPr>
                <w:rFonts w:ascii="Times New Roman CE" w:hAnsi="Times New Roman CE" w:cs="Times New Roman CE"/>
                <w:sz w:val="22"/>
                <w:szCs w:val="22"/>
              </w:rPr>
            </w:pPr>
            <w:r w:rsidRPr="00154F3D">
              <w:rPr>
                <w:rFonts w:ascii="Times New Roman CE" w:hAnsi="Times New Roman CE" w:cs="Times New Roman CE"/>
                <w:sz w:val="22"/>
                <w:szCs w:val="22"/>
              </w:rPr>
              <w:t xml:space="preserve"> eFt </w:t>
            </w:r>
          </w:p>
        </w:tc>
      </w:tr>
      <w:tr w:rsidR="00154F3D" w:rsidRPr="00154F3D" w:rsidTr="00BD083C">
        <w:trPr>
          <w:trHeight w:val="600"/>
        </w:trPr>
        <w:tc>
          <w:tcPr>
            <w:tcW w:w="2694" w:type="dxa"/>
            <w:gridSpan w:val="2"/>
            <w:tcBorders>
              <w:top w:val="nil"/>
              <w:left w:val="nil"/>
              <w:bottom w:val="single" w:sz="4" w:space="0" w:color="auto"/>
              <w:right w:val="nil"/>
            </w:tcBorders>
            <w:shd w:val="clear" w:color="auto" w:fill="auto"/>
            <w:vAlign w:val="center"/>
            <w:hideMark/>
          </w:tcPr>
          <w:p w:rsidR="00154F3D" w:rsidRPr="00154F3D" w:rsidRDefault="00154F3D" w:rsidP="00154F3D">
            <w:pPr>
              <w:jc w:val="left"/>
              <w:rPr>
                <w:rFonts w:ascii="Times New Roman CE" w:hAnsi="Times New Roman CE" w:cs="Times New Roman CE"/>
                <w:i/>
                <w:iCs/>
                <w:sz w:val="22"/>
                <w:szCs w:val="22"/>
              </w:rPr>
            </w:pPr>
            <w:r w:rsidRPr="00154F3D">
              <w:rPr>
                <w:rFonts w:ascii="Times New Roman CE" w:hAnsi="Times New Roman CE" w:cs="Times New Roman CE"/>
                <w:i/>
                <w:iCs/>
                <w:sz w:val="22"/>
                <w:szCs w:val="22"/>
              </w:rPr>
              <w:t>Fejlesztési forrás</w:t>
            </w:r>
          </w:p>
        </w:tc>
        <w:tc>
          <w:tcPr>
            <w:tcW w:w="1478" w:type="dxa"/>
            <w:gridSpan w:val="5"/>
            <w:tcBorders>
              <w:top w:val="nil"/>
              <w:left w:val="nil"/>
              <w:bottom w:val="single" w:sz="4" w:space="0" w:color="auto"/>
              <w:right w:val="nil"/>
            </w:tcBorders>
            <w:shd w:val="clear" w:color="auto" w:fill="auto"/>
            <w:vAlign w:val="center"/>
            <w:hideMark/>
          </w:tcPr>
          <w:p w:rsidR="00154F3D" w:rsidRPr="00154F3D" w:rsidRDefault="00154F3D" w:rsidP="00154F3D">
            <w:pPr>
              <w:jc w:val="center"/>
              <w:rPr>
                <w:rFonts w:ascii="Times New Roman CE" w:hAnsi="Times New Roman CE" w:cs="Times New Roman CE"/>
                <w:i/>
                <w:iCs/>
                <w:sz w:val="22"/>
                <w:szCs w:val="22"/>
              </w:rPr>
            </w:pPr>
            <w:r w:rsidRPr="00154F3D">
              <w:rPr>
                <w:rFonts w:ascii="Times New Roman CE" w:hAnsi="Times New Roman CE" w:cs="Times New Roman CE"/>
                <w:i/>
                <w:iCs/>
                <w:sz w:val="22"/>
                <w:szCs w:val="22"/>
              </w:rPr>
              <w:t>Vízellátás</w:t>
            </w:r>
          </w:p>
        </w:tc>
        <w:tc>
          <w:tcPr>
            <w:tcW w:w="1436" w:type="dxa"/>
            <w:gridSpan w:val="4"/>
            <w:tcBorders>
              <w:top w:val="nil"/>
              <w:left w:val="nil"/>
              <w:bottom w:val="single" w:sz="4" w:space="0" w:color="auto"/>
              <w:right w:val="nil"/>
            </w:tcBorders>
            <w:shd w:val="clear" w:color="auto" w:fill="auto"/>
            <w:vAlign w:val="center"/>
            <w:hideMark/>
          </w:tcPr>
          <w:p w:rsidR="00154F3D" w:rsidRPr="00154F3D" w:rsidRDefault="00154F3D" w:rsidP="00154F3D">
            <w:pPr>
              <w:jc w:val="center"/>
              <w:rPr>
                <w:rFonts w:ascii="Times New Roman CE" w:hAnsi="Times New Roman CE" w:cs="Times New Roman CE"/>
                <w:i/>
                <w:iCs/>
                <w:sz w:val="22"/>
                <w:szCs w:val="22"/>
              </w:rPr>
            </w:pPr>
            <w:r w:rsidRPr="00154F3D">
              <w:rPr>
                <w:rFonts w:ascii="Times New Roman CE" w:hAnsi="Times New Roman CE" w:cs="Times New Roman CE"/>
                <w:i/>
                <w:iCs/>
                <w:sz w:val="22"/>
                <w:szCs w:val="22"/>
              </w:rPr>
              <w:t>Szennyvízelv.,</w:t>
            </w:r>
            <w:r w:rsidRPr="00154F3D">
              <w:rPr>
                <w:rFonts w:ascii="Times New Roman CE" w:hAnsi="Times New Roman CE" w:cs="Times New Roman CE"/>
                <w:i/>
                <w:iCs/>
                <w:sz w:val="22"/>
                <w:szCs w:val="22"/>
              </w:rPr>
              <w:br/>
              <w:t>-tisztítás</w:t>
            </w:r>
          </w:p>
        </w:tc>
        <w:tc>
          <w:tcPr>
            <w:tcW w:w="1236" w:type="dxa"/>
            <w:gridSpan w:val="4"/>
            <w:tcBorders>
              <w:top w:val="nil"/>
              <w:left w:val="nil"/>
              <w:bottom w:val="single" w:sz="4" w:space="0" w:color="auto"/>
              <w:right w:val="nil"/>
            </w:tcBorders>
            <w:shd w:val="clear" w:color="auto" w:fill="auto"/>
            <w:vAlign w:val="center"/>
            <w:hideMark/>
          </w:tcPr>
          <w:p w:rsidR="00154F3D" w:rsidRPr="00154F3D" w:rsidRDefault="00154F3D" w:rsidP="00154F3D">
            <w:pPr>
              <w:jc w:val="center"/>
              <w:rPr>
                <w:rFonts w:ascii="Times New Roman CE" w:hAnsi="Times New Roman CE" w:cs="Times New Roman CE"/>
                <w:i/>
                <w:iCs/>
                <w:sz w:val="22"/>
                <w:szCs w:val="22"/>
              </w:rPr>
            </w:pPr>
            <w:r w:rsidRPr="00154F3D">
              <w:rPr>
                <w:rFonts w:ascii="Times New Roman CE" w:hAnsi="Times New Roman CE" w:cs="Times New Roman CE"/>
                <w:i/>
                <w:iCs/>
                <w:sz w:val="22"/>
                <w:szCs w:val="22"/>
              </w:rPr>
              <w:t>Fürdő</w:t>
            </w:r>
          </w:p>
        </w:tc>
        <w:tc>
          <w:tcPr>
            <w:tcW w:w="1316" w:type="dxa"/>
            <w:gridSpan w:val="2"/>
            <w:tcBorders>
              <w:top w:val="nil"/>
              <w:left w:val="nil"/>
              <w:bottom w:val="single" w:sz="4" w:space="0" w:color="auto"/>
              <w:right w:val="nil"/>
            </w:tcBorders>
            <w:shd w:val="clear" w:color="auto" w:fill="auto"/>
            <w:vAlign w:val="center"/>
            <w:hideMark/>
          </w:tcPr>
          <w:p w:rsidR="00154F3D" w:rsidRPr="00154F3D" w:rsidRDefault="00154F3D" w:rsidP="00154F3D">
            <w:pPr>
              <w:jc w:val="center"/>
              <w:rPr>
                <w:rFonts w:ascii="Times New Roman CE" w:hAnsi="Times New Roman CE" w:cs="Times New Roman CE"/>
                <w:i/>
                <w:iCs/>
                <w:sz w:val="22"/>
                <w:szCs w:val="22"/>
              </w:rPr>
            </w:pPr>
            <w:r w:rsidRPr="00154F3D">
              <w:rPr>
                <w:rFonts w:ascii="Times New Roman CE" w:hAnsi="Times New Roman CE" w:cs="Times New Roman CE"/>
                <w:i/>
                <w:iCs/>
                <w:sz w:val="22"/>
                <w:szCs w:val="22"/>
              </w:rPr>
              <w:t>Működtetés</w:t>
            </w:r>
          </w:p>
        </w:tc>
        <w:tc>
          <w:tcPr>
            <w:tcW w:w="1436" w:type="dxa"/>
            <w:gridSpan w:val="5"/>
            <w:tcBorders>
              <w:top w:val="nil"/>
              <w:left w:val="nil"/>
              <w:bottom w:val="single" w:sz="4" w:space="0" w:color="auto"/>
              <w:right w:val="nil"/>
            </w:tcBorders>
            <w:shd w:val="clear" w:color="auto" w:fill="auto"/>
            <w:vAlign w:val="bottom"/>
            <w:hideMark/>
          </w:tcPr>
          <w:p w:rsidR="00154F3D" w:rsidRPr="00154F3D" w:rsidRDefault="00154F3D" w:rsidP="00154F3D">
            <w:pPr>
              <w:jc w:val="center"/>
              <w:rPr>
                <w:rFonts w:ascii="Times New Roman CE" w:hAnsi="Times New Roman CE" w:cs="Times New Roman CE"/>
                <w:i/>
                <w:iCs/>
                <w:sz w:val="22"/>
                <w:szCs w:val="22"/>
              </w:rPr>
            </w:pPr>
            <w:r w:rsidRPr="00154F3D">
              <w:rPr>
                <w:rFonts w:ascii="Times New Roman CE" w:hAnsi="Times New Roman CE" w:cs="Times New Roman CE"/>
                <w:i/>
                <w:iCs/>
                <w:sz w:val="22"/>
                <w:szCs w:val="22"/>
              </w:rPr>
              <w:t xml:space="preserve">Beruházások </w:t>
            </w:r>
            <w:r w:rsidRPr="00154F3D">
              <w:rPr>
                <w:rFonts w:ascii="Times New Roman CE" w:hAnsi="Times New Roman CE" w:cs="Times New Roman CE"/>
                <w:i/>
                <w:iCs/>
                <w:sz w:val="22"/>
                <w:szCs w:val="22"/>
              </w:rPr>
              <w:br/>
              <w:t>összesen</w:t>
            </w:r>
          </w:p>
        </w:tc>
      </w:tr>
      <w:tr w:rsidR="00154F3D" w:rsidRPr="00154F3D" w:rsidTr="00BD083C">
        <w:trPr>
          <w:gridAfter w:val="2"/>
          <w:wAfter w:w="210" w:type="dxa"/>
          <w:trHeight w:val="300"/>
        </w:trPr>
        <w:tc>
          <w:tcPr>
            <w:tcW w:w="2410" w:type="dxa"/>
            <w:tcBorders>
              <w:top w:val="nil"/>
              <w:left w:val="nil"/>
              <w:bottom w:val="nil"/>
              <w:right w:val="nil"/>
            </w:tcBorders>
            <w:shd w:val="clear" w:color="auto" w:fill="auto"/>
            <w:noWrap/>
            <w:vAlign w:val="bottom"/>
            <w:hideMark/>
          </w:tcPr>
          <w:p w:rsidR="00154F3D" w:rsidRPr="00154F3D" w:rsidRDefault="00154F3D" w:rsidP="00154F3D">
            <w:pPr>
              <w:jc w:val="left"/>
              <w:rPr>
                <w:rFonts w:ascii="Times New Roman CE" w:hAnsi="Times New Roman CE" w:cs="Times New Roman CE"/>
                <w:sz w:val="22"/>
                <w:szCs w:val="22"/>
              </w:rPr>
            </w:pPr>
            <w:r w:rsidRPr="00154F3D">
              <w:rPr>
                <w:rFonts w:ascii="Times New Roman CE" w:hAnsi="Times New Roman CE" w:cs="Times New Roman CE"/>
                <w:sz w:val="22"/>
                <w:szCs w:val="22"/>
              </w:rPr>
              <w:t>Amortizáció</w:t>
            </w:r>
          </w:p>
        </w:tc>
        <w:tc>
          <w:tcPr>
            <w:tcW w:w="1478" w:type="dxa"/>
            <w:gridSpan w:val="4"/>
            <w:tcBorders>
              <w:top w:val="nil"/>
              <w:left w:val="nil"/>
              <w:bottom w:val="nil"/>
              <w:right w:val="nil"/>
            </w:tcBorders>
            <w:shd w:val="clear" w:color="auto" w:fill="auto"/>
            <w:noWrap/>
            <w:vAlign w:val="center"/>
            <w:hideMark/>
          </w:tcPr>
          <w:p w:rsidR="00154F3D" w:rsidRPr="00154F3D" w:rsidRDefault="00154F3D" w:rsidP="00154F3D">
            <w:pPr>
              <w:jc w:val="right"/>
              <w:rPr>
                <w:rFonts w:ascii="Times New Roman CE" w:hAnsi="Times New Roman CE" w:cs="Times New Roman CE"/>
                <w:sz w:val="22"/>
                <w:szCs w:val="22"/>
              </w:rPr>
            </w:pPr>
            <w:r w:rsidRPr="00154F3D">
              <w:rPr>
                <w:rFonts w:ascii="Times New Roman CE" w:hAnsi="Times New Roman CE" w:cs="Times New Roman CE"/>
                <w:sz w:val="22"/>
                <w:szCs w:val="22"/>
              </w:rPr>
              <w:t>38 736</w:t>
            </w:r>
          </w:p>
        </w:tc>
        <w:tc>
          <w:tcPr>
            <w:tcW w:w="1436" w:type="dxa"/>
            <w:gridSpan w:val="4"/>
            <w:tcBorders>
              <w:top w:val="nil"/>
              <w:left w:val="nil"/>
              <w:bottom w:val="nil"/>
              <w:right w:val="nil"/>
            </w:tcBorders>
            <w:shd w:val="clear" w:color="auto" w:fill="auto"/>
            <w:noWrap/>
            <w:vAlign w:val="bottom"/>
            <w:hideMark/>
          </w:tcPr>
          <w:p w:rsidR="00154F3D" w:rsidRPr="00154F3D" w:rsidRDefault="00154F3D" w:rsidP="00154F3D">
            <w:pPr>
              <w:jc w:val="right"/>
              <w:rPr>
                <w:rFonts w:ascii="Times New Roman CE" w:hAnsi="Times New Roman CE" w:cs="Times New Roman CE"/>
                <w:sz w:val="22"/>
                <w:szCs w:val="22"/>
              </w:rPr>
            </w:pPr>
            <w:r w:rsidRPr="00154F3D">
              <w:rPr>
                <w:rFonts w:ascii="Times New Roman CE" w:hAnsi="Times New Roman CE" w:cs="Times New Roman CE"/>
                <w:sz w:val="22"/>
                <w:szCs w:val="22"/>
              </w:rPr>
              <w:t>13 713</w:t>
            </w:r>
          </w:p>
        </w:tc>
        <w:tc>
          <w:tcPr>
            <w:tcW w:w="1085" w:type="dxa"/>
            <w:gridSpan w:val="3"/>
            <w:tcBorders>
              <w:top w:val="nil"/>
              <w:left w:val="nil"/>
              <w:bottom w:val="nil"/>
              <w:right w:val="nil"/>
            </w:tcBorders>
            <w:shd w:val="clear" w:color="auto" w:fill="auto"/>
            <w:noWrap/>
            <w:vAlign w:val="bottom"/>
            <w:hideMark/>
          </w:tcPr>
          <w:p w:rsidR="00154F3D" w:rsidRPr="00154F3D" w:rsidRDefault="00154F3D" w:rsidP="00154F3D">
            <w:pPr>
              <w:jc w:val="right"/>
              <w:rPr>
                <w:rFonts w:ascii="Times New Roman CE" w:hAnsi="Times New Roman CE" w:cs="Times New Roman CE"/>
                <w:sz w:val="22"/>
                <w:szCs w:val="22"/>
              </w:rPr>
            </w:pPr>
            <w:r w:rsidRPr="00154F3D">
              <w:rPr>
                <w:rFonts w:ascii="Times New Roman CE" w:hAnsi="Times New Roman CE" w:cs="Times New Roman CE"/>
                <w:sz w:val="22"/>
                <w:szCs w:val="22"/>
              </w:rPr>
              <w:t>0</w:t>
            </w:r>
          </w:p>
        </w:tc>
        <w:tc>
          <w:tcPr>
            <w:tcW w:w="1751" w:type="dxa"/>
            <w:gridSpan w:val="5"/>
            <w:tcBorders>
              <w:top w:val="nil"/>
              <w:left w:val="nil"/>
              <w:bottom w:val="nil"/>
              <w:right w:val="nil"/>
            </w:tcBorders>
            <w:shd w:val="clear" w:color="auto" w:fill="auto"/>
            <w:noWrap/>
            <w:vAlign w:val="bottom"/>
            <w:hideMark/>
          </w:tcPr>
          <w:p w:rsidR="00154F3D" w:rsidRPr="00154F3D" w:rsidRDefault="00154F3D" w:rsidP="00154F3D">
            <w:pPr>
              <w:jc w:val="right"/>
              <w:rPr>
                <w:rFonts w:ascii="Times New Roman CE" w:hAnsi="Times New Roman CE" w:cs="Times New Roman CE"/>
                <w:sz w:val="22"/>
                <w:szCs w:val="22"/>
              </w:rPr>
            </w:pPr>
            <w:r w:rsidRPr="00154F3D">
              <w:rPr>
                <w:rFonts w:ascii="Times New Roman CE" w:hAnsi="Times New Roman CE" w:cs="Times New Roman CE"/>
                <w:sz w:val="22"/>
                <w:szCs w:val="22"/>
              </w:rPr>
              <w:t>244 090</w:t>
            </w:r>
          </w:p>
        </w:tc>
        <w:tc>
          <w:tcPr>
            <w:tcW w:w="1226" w:type="dxa"/>
            <w:gridSpan w:val="3"/>
            <w:tcBorders>
              <w:top w:val="nil"/>
              <w:left w:val="nil"/>
              <w:bottom w:val="nil"/>
              <w:right w:val="nil"/>
            </w:tcBorders>
            <w:shd w:val="clear" w:color="auto" w:fill="auto"/>
            <w:noWrap/>
            <w:vAlign w:val="bottom"/>
            <w:hideMark/>
          </w:tcPr>
          <w:p w:rsidR="00154F3D" w:rsidRPr="00154F3D" w:rsidRDefault="00154F3D" w:rsidP="00154F3D">
            <w:pPr>
              <w:jc w:val="right"/>
              <w:rPr>
                <w:rFonts w:ascii="Times New Roman CE" w:hAnsi="Times New Roman CE" w:cs="Times New Roman CE"/>
                <w:sz w:val="22"/>
                <w:szCs w:val="22"/>
              </w:rPr>
            </w:pPr>
            <w:r w:rsidRPr="00154F3D">
              <w:rPr>
                <w:rFonts w:ascii="Times New Roman CE" w:hAnsi="Times New Roman CE" w:cs="Times New Roman CE"/>
                <w:sz w:val="22"/>
                <w:szCs w:val="22"/>
              </w:rPr>
              <w:t>296 539</w:t>
            </w:r>
          </w:p>
        </w:tc>
      </w:tr>
      <w:tr w:rsidR="00154F3D" w:rsidRPr="00154F3D" w:rsidTr="00BD083C">
        <w:trPr>
          <w:gridAfter w:val="1"/>
          <w:wAfter w:w="129" w:type="dxa"/>
          <w:trHeight w:val="300"/>
        </w:trPr>
        <w:tc>
          <w:tcPr>
            <w:tcW w:w="2835" w:type="dxa"/>
            <w:gridSpan w:val="3"/>
            <w:tcBorders>
              <w:top w:val="nil"/>
              <w:left w:val="nil"/>
              <w:bottom w:val="nil"/>
              <w:right w:val="nil"/>
            </w:tcBorders>
            <w:shd w:val="clear" w:color="auto" w:fill="auto"/>
            <w:noWrap/>
            <w:vAlign w:val="bottom"/>
            <w:hideMark/>
          </w:tcPr>
          <w:p w:rsidR="00154F3D" w:rsidRPr="00154F3D" w:rsidRDefault="00154F3D" w:rsidP="00154F3D">
            <w:pPr>
              <w:jc w:val="left"/>
              <w:rPr>
                <w:rFonts w:ascii="Times New Roman CE" w:hAnsi="Times New Roman CE" w:cs="Times New Roman CE"/>
                <w:sz w:val="22"/>
                <w:szCs w:val="22"/>
              </w:rPr>
            </w:pPr>
            <w:r w:rsidRPr="00154F3D">
              <w:rPr>
                <w:rFonts w:ascii="Times New Roman CE" w:hAnsi="Times New Roman CE" w:cs="Times New Roman CE"/>
                <w:sz w:val="22"/>
                <w:szCs w:val="22"/>
              </w:rPr>
              <w:t>Közműfejlesztési hozzájárulás</w:t>
            </w:r>
          </w:p>
        </w:tc>
        <w:tc>
          <w:tcPr>
            <w:tcW w:w="1134" w:type="dxa"/>
            <w:gridSpan w:val="3"/>
            <w:tcBorders>
              <w:top w:val="nil"/>
              <w:left w:val="nil"/>
              <w:bottom w:val="nil"/>
              <w:right w:val="nil"/>
            </w:tcBorders>
            <w:shd w:val="clear" w:color="auto" w:fill="auto"/>
            <w:noWrap/>
            <w:vAlign w:val="center"/>
            <w:hideMark/>
          </w:tcPr>
          <w:p w:rsidR="00154F3D" w:rsidRPr="00154F3D" w:rsidRDefault="00154F3D" w:rsidP="001A3B33">
            <w:pPr>
              <w:ind w:right="71"/>
              <w:jc w:val="right"/>
              <w:rPr>
                <w:rFonts w:ascii="Times New Roman CE" w:hAnsi="Times New Roman CE" w:cs="Times New Roman CE"/>
                <w:sz w:val="22"/>
                <w:szCs w:val="22"/>
              </w:rPr>
            </w:pPr>
            <w:r w:rsidRPr="00154F3D">
              <w:rPr>
                <w:rFonts w:ascii="Times New Roman CE" w:hAnsi="Times New Roman CE" w:cs="Times New Roman CE"/>
                <w:sz w:val="22"/>
                <w:szCs w:val="22"/>
              </w:rPr>
              <w:t>49 269</w:t>
            </w:r>
          </w:p>
        </w:tc>
        <w:tc>
          <w:tcPr>
            <w:tcW w:w="1436" w:type="dxa"/>
            <w:gridSpan w:val="4"/>
            <w:tcBorders>
              <w:top w:val="nil"/>
              <w:left w:val="nil"/>
              <w:bottom w:val="nil"/>
              <w:right w:val="nil"/>
            </w:tcBorders>
            <w:shd w:val="clear" w:color="auto" w:fill="auto"/>
            <w:noWrap/>
            <w:vAlign w:val="bottom"/>
            <w:hideMark/>
          </w:tcPr>
          <w:p w:rsidR="00154F3D" w:rsidRPr="00154F3D" w:rsidRDefault="00154F3D" w:rsidP="001A3B33">
            <w:pPr>
              <w:ind w:right="90"/>
              <w:jc w:val="right"/>
              <w:rPr>
                <w:rFonts w:ascii="Times New Roman CE" w:hAnsi="Times New Roman CE" w:cs="Times New Roman CE"/>
                <w:sz w:val="22"/>
                <w:szCs w:val="22"/>
              </w:rPr>
            </w:pPr>
            <w:r w:rsidRPr="00154F3D">
              <w:rPr>
                <w:rFonts w:ascii="Times New Roman CE" w:hAnsi="Times New Roman CE" w:cs="Times New Roman CE"/>
                <w:sz w:val="22"/>
                <w:szCs w:val="22"/>
              </w:rPr>
              <w:t>9</w:t>
            </w:r>
          </w:p>
        </w:tc>
        <w:tc>
          <w:tcPr>
            <w:tcW w:w="1085" w:type="dxa"/>
            <w:gridSpan w:val="3"/>
            <w:tcBorders>
              <w:top w:val="nil"/>
              <w:left w:val="nil"/>
              <w:bottom w:val="nil"/>
              <w:right w:val="nil"/>
            </w:tcBorders>
            <w:shd w:val="clear" w:color="auto" w:fill="auto"/>
            <w:noWrap/>
            <w:vAlign w:val="bottom"/>
            <w:hideMark/>
          </w:tcPr>
          <w:p w:rsidR="00154F3D" w:rsidRPr="00154F3D" w:rsidRDefault="00154F3D" w:rsidP="001A3B33">
            <w:pPr>
              <w:ind w:right="125"/>
              <w:jc w:val="right"/>
              <w:rPr>
                <w:rFonts w:ascii="Times New Roman CE" w:hAnsi="Times New Roman CE" w:cs="Times New Roman CE"/>
                <w:sz w:val="22"/>
                <w:szCs w:val="22"/>
              </w:rPr>
            </w:pPr>
            <w:r w:rsidRPr="00154F3D">
              <w:rPr>
                <w:rFonts w:ascii="Times New Roman CE" w:hAnsi="Times New Roman CE" w:cs="Times New Roman CE"/>
                <w:sz w:val="22"/>
                <w:szCs w:val="22"/>
              </w:rPr>
              <w:t>0</w:t>
            </w:r>
          </w:p>
        </w:tc>
        <w:tc>
          <w:tcPr>
            <w:tcW w:w="1751" w:type="dxa"/>
            <w:gridSpan w:val="5"/>
            <w:tcBorders>
              <w:top w:val="nil"/>
              <w:left w:val="nil"/>
              <w:bottom w:val="nil"/>
              <w:right w:val="nil"/>
            </w:tcBorders>
            <w:shd w:val="clear" w:color="auto" w:fill="auto"/>
            <w:noWrap/>
            <w:vAlign w:val="bottom"/>
            <w:hideMark/>
          </w:tcPr>
          <w:p w:rsidR="00154F3D" w:rsidRPr="00154F3D" w:rsidRDefault="00154F3D" w:rsidP="001A3B33">
            <w:pPr>
              <w:ind w:right="91"/>
              <w:jc w:val="right"/>
              <w:rPr>
                <w:rFonts w:ascii="Times New Roman CE" w:hAnsi="Times New Roman CE" w:cs="Times New Roman CE"/>
                <w:sz w:val="22"/>
                <w:szCs w:val="22"/>
              </w:rPr>
            </w:pPr>
            <w:r w:rsidRPr="00154F3D">
              <w:rPr>
                <w:rFonts w:ascii="Times New Roman CE" w:hAnsi="Times New Roman CE" w:cs="Times New Roman CE"/>
                <w:sz w:val="22"/>
                <w:szCs w:val="22"/>
              </w:rPr>
              <w:t>0</w:t>
            </w:r>
          </w:p>
        </w:tc>
        <w:tc>
          <w:tcPr>
            <w:tcW w:w="1226" w:type="dxa"/>
            <w:gridSpan w:val="3"/>
            <w:tcBorders>
              <w:top w:val="nil"/>
              <w:left w:val="nil"/>
              <w:bottom w:val="nil"/>
              <w:right w:val="nil"/>
            </w:tcBorders>
            <w:shd w:val="clear" w:color="auto" w:fill="auto"/>
            <w:noWrap/>
            <w:vAlign w:val="bottom"/>
            <w:hideMark/>
          </w:tcPr>
          <w:p w:rsidR="00154F3D" w:rsidRPr="00154F3D" w:rsidRDefault="00154F3D" w:rsidP="001A3B33">
            <w:pPr>
              <w:ind w:right="41"/>
              <w:jc w:val="right"/>
              <w:rPr>
                <w:rFonts w:ascii="Times New Roman CE" w:hAnsi="Times New Roman CE" w:cs="Times New Roman CE"/>
                <w:sz w:val="22"/>
                <w:szCs w:val="22"/>
              </w:rPr>
            </w:pPr>
            <w:r w:rsidRPr="00154F3D">
              <w:rPr>
                <w:rFonts w:ascii="Times New Roman CE" w:hAnsi="Times New Roman CE" w:cs="Times New Roman CE"/>
                <w:sz w:val="22"/>
                <w:szCs w:val="22"/>
              </w:rPr>
              <w:t>49 278</w:t>
            </w:r>
          </w:p>
        </w:tc>
      </w:tr>
      <w:tr w:rsidR="00154F3D" w:rsidRPr="00154F3D" w:rsidTr="00BD083C">
        <w:trPr>
          <w:gridAfter w:val="2"/>
          <w:wAfter w:w="210" w:type="dxa"/>
          <w:trHeight w:val="300"/>
        </w:trPr>
        <w:tc>
          <w:tcPr>
            <w:tcW w:w="2410" w:type="dxa"/>
            <w:tcBorders>
              <w:top w:val="nil"/>
              <w:left w:val="nil"/>
              <w:bottom w:val="nil"/>
              <w:right w:val="nil"/>
            </w:tcBorders>
            <w:shd w:val="clear" w:color="auto" w:fill="auto"/>
            <w:noWrap/>
            <w:vAlign w:val="bottom"/>
            <w:hideMark/>
          </w:tcPr>
          <w:p w:rsidR="00154F3D" w:rsidRPr="00154F3D" w:rsidRDefault="00154F3D" w:rsidP="00154F3D">
            <w:pPr>
              <w:jc w:val="left"/>
              <w:rPr>
                <w:rFonts w:ascii="Times New Roman CE" w:hAnsi="Times New Roman CE" w:cs="Times New Roman CE"/>
                <w:sz w:val="22"/>
                <w:szCs w:val="22"/>
              </w:rPr>
            </w:pPr>
            <w:r w:rsidRPr="00154F3D">
              <w:rPr>
                <w:rFonts w:ascii="Times New Roman CE" w:hAnsi="Times New Roman CE" w:cs="Times New Roman CE"/>
                <w:sz w:val="22"/>
                <w:szCs w:val="22"/>
              </w:rPr>
              <w:t>Lekötött tartalék</w:t>
            </w:r>
          </w:p>
        </w:tc>
        <w:tc>
          <w:tcPr>
            <w:tcW w:w="1478" w:type="dxa"/>
            <w:gridSpan w:val="4"/>
            <w:tcBorders>
              <w:top w:val="nil"/>
              <w:left w:val="nil"/>
              <w:bottom w:val="nil"/>
              <w:right w:val="nil"/>
            </w:tcBorders>
            <w:shd w:val="clear" w:color="auto" w:fill="auto"/>
            <w:noWrap/>
            <w:vAlign w:val="center"/>
            <w:hideMark/>
          </w:tcPr>
          <w:p w:rsidR="00154F3D" w:rsidRPr="00154F3D" w:rsidRDefault="00154F3D" w:rsidP="00154F3D">
            <w:pPr>
              <w:jc w:val="right"/>
              <w:rPr>
                <w:rFonts w:ascii="Times New Roman CE" w:hAnsi="Times New Roman CE" w:cs="Times New Roman CE"/>
                <w:sz w:val="22"/>
                <w:szCs w:val="22"/>
              </w:rPr>
            </w:pPr>
            <w:r w:rsidRPr="00154F3D">
              <w:rPr>
                <w:rFonts w:ascii="Times New Roman CE" w:hAnsi="Times New Roman CE" w:cs="Times New Roman CE"/>
                <w:sz w:val="22"/>
                <w:szCs w:val="22"/>
              </w:rPr>
              <w:t>0</w:t>
            </w:r>
          </w:p>
        </w:tc>
        <w:tc>
          <w:tcPr>
            <w:tcW w:w="1436" w:type="dxa"/>
            <w:gridSpan w:val="4"/>
            <w:tcBorders>
              <w:top w:val="nil"/>
              <w:left w:val="nil"/>
              <w:bottom w:val="nil"/>
              <w:right w:val="nil"/>
            </w:tcBorders>
            <w:shd w:val="clear" w:color="auto" w:fill="auto"/>
            <w:noWrap/>
            <w:vAlign w:val="bottom"/>
            <w:hideMark/>
          </w:tcPr>
          <w:p w:rsidR="00154F3D" w:rsidRPr="00154F3D" w:rsidRDefault="00154F3D" w:rsidP="00154F3D">
            <w:pPr>
              <w:jc w:val="right"/>
              <w:rPr>
                <w:rFonts w:ascii="Times New Roman CE" w:hAnsi="Times New Roman CE" w:cs="Times New Roman CE"/>
                <w:sz w:val="22"/>
                <w:szCs w:val="22"/>
              </w:rPr>
            </w:pPr>
            <w:r w:rsidRPr="00154F3D">
              <w:rPr>
                <w:rFonts w:ascii="Times New Roman CE" w:hAnsi="Times New Roman CE" w:cs="Times New Roman CE"/>
                <w:sz w:val="22"/>
                <w:szCs w:val="22"/>
              </w:rPr>
              <w:t>0</w:t>
            </w:r>
          </w:p>
        </w:tc>
        <w:tc>
          <w:tcPr>
            <w:tcW w:w="1085" w:type="dxa"/>
            <w:gridSpan w:val="3"/>
            <w:tcBorders>
              <w:top w:val="nil"/>
              <w:left w:val="nil"/>
              <w:bottom w:val="nil"/>
              <w:right w:val="nil"/>
            </w:tcBorders>
            <w:shd w:val="clear" w:color="auto" w:fill="auto"/>
            <w:noWrap/>
            <w:vAlign w:val="bottom"/>
            <w:hideMark/>
          </w:tcPr>
          <w:p w:rsidR="00154F3D" w:rsidRPr="00154F3D" w:rsidRDefault="00154F3D" w:rsidP="00154F3D">
            <w:pPr>
              <w:jc w:val="right"/>
              <w:rPr>
                <w:rFonts w:ascii="Times New Roman CE" w:hAnsi="Times New Roman CE" w:cs="Times New Roman CE"/>
                <w:sz w:val="22"/>
                <w:szCs w:val="22"/>
              </w:rPr>
            </w:pPr>
            <w:r w:rsidRPr="00154F3D">
              <w:rPr>
                <w:rFonts w:ascii="Times New Roman CE" w:hAnsi="Times New Roman CE" w:cs="Times New Roman CE"/>
                <w:sz w:val="22"/>
                <w:szCs w:val="22"/>
              </w:rPr>
              <w:t>0</w:t>
            </w:r>
          </w:p>
        </w:tc>
        <w:tc>
          <w:tcPr>
            <w:tcW w:w="1751" w:type="dxa"/>
            <w:gridSpan w:val="5"/>
            <w:tcBorders>
              <w:top w:val="nil"/>
              <w:left w:val="nil"/>
              <w:bottom w:val="nil"/>
              <w:right w:val="nil"/>
            </w:tcBorders>
            <w:shd w:val="clear" w:color="auto" w:fill="auto"/>
            <w:noWrap/>
            <w:vAlign w:val="bottom"/>
            <w:hideMark/>
          </w:tcPr>
          <w:p w:rsidR="00154F3D" w:rsidRPr="00154F3D" w:rsidRDefault="00154F3D" w:rsidP="00154F3D">
            <w:pPr>
              <w:jc w:val="right"/>
              <w:rPr>
                <w:rFonts w:ascii="Times New Roman CE" w:hAnsi="Times New Roman CE" w:cs="Times New Roman CE"/>
                <w:sz w:val="22"/>
                <w:szCs w:val="22"/>
              </w:rPr>
            </w:pPr>
            <w:r w:rsidRPr="00154F3D">
              <w:rPr>
                <w:rFonts w:ascii="Times New Roman CE" w:hAnsi="Times New Roman CE" w:cs="Times New Roman CE"/>
                <w:sz w:val="22"/>
                <w:szCs w:val="22"/>
              </w:rPr>
              <w:t>15 163</w:t>
            </w:r>
          </w:p>
        </w:tc>
        <w:tc>
          <w:tcPr>
            <w:tcW w:w="1226" w:type="dxa"/>
            <w:gridSpan w:val="3"/>
            <w:tcBorders>
              <w:top w:val="nil"/>
              <w:left w:val="nil"/>
              <w:bottom w:val="nil"/>
              <w:right w:val="nil"/>
            </w:tcBorders>
            <w:shd w:val="clear" w:color="auto" w:fill="auto"/>
            <w:noWrap/>
            <w:vAlign w:val="bottom"/>
            <w:hideMark/>
          </w:tcPr>
          <w:p w:rsidR="00154F3D" w:rsidRPr="00154F3D" w:rsidRDefault="00154F3D" w:rsidP="00154F3D">
            <w:pPr>
              <w:jc w:val="right"/>
              <w:rPr>
                <w:rFonts w:ascii="Times New Roman CE" w:hAnsi="Times New Roman CE" w:cs="Times New Roman CE"/>
                <w:sz w:val="22"/>
                <w:szCs w:val="22"/>
              </w:rPr>
            </w:pPr>
            <w:r w:rsidRPr="00154F3D">
              <w:rPr>
                <w:rFonts w:ascii="Times New Roman CE" w:hAnsi="Times New Roman CE" w:cs="Times New Roman CE"/>
                <w:sz w:val="22"/>
                <w:szCs w:val="22"/>
              </w:rPr>
              <w:t>15 163</w:t>
            </w:r>
          </w:p>
        </w:tc>
      </w:tr>
      <w:tr w:rsidR="00154F3D" w:rsidRPr="00154F3D" w:rsidTr="00BD083C">
        <w:trPr>
          <w:gridAfter w:val="2"/>
          <w:wAfter w:w="210" w:type="dxa"/>
          <w:trHeight w:val="300"/>
        </w:trPr>
        <w:tc>
          <w:tcPr>
            <w:tcW w:w="2410" w:type="dxa"/>
            <w:tcBorders>
              <w:top w:val="nil"/>
              <w:left w:val="nil"/>
              <w:bottom w:val="nil"/>
              <w:right w:val="nil"/>
            </w:tcBorders>
            <w:shd w:val="clear" w:color="auto" w:fill="auto"/>
            <w:noWrap/>
            <w:vAlign w:val="bottom"/>
            <w:hideMark/>
          </w:tcPr>
          <w:p w:rsidR="00154F3D" w:rsidRPr="00154F3D" w:rsidRDefault="00154F3D" w:rsidP="00154F3D">
            <w:pPr>
              <w:jc w:val="left"/>
              <w:rPr>
                <w:rFonts w:ascii="Times New Roman CE" w:hAnsi="Times New Roman CE" w:cs="Times New Roman CE"/>
                <w:sz w:val="22"/>
                <w:szCs w:val="22"/>
              </w:rPr>
            </w:pPr>
            <w:r w:rsidRPr="00154F3D">
              <w:rPr>
                <w:rFonts w:ascii="Times New Roman CE" w:hAnsi="Times New Roman CE" w:cs="Times New Roman CE"/>
                <w:sz w:val="22"/>
                <w:szCs w:val="22"/>
              </w:rPr>
              <w:t>VEF pályázati támogatás</w:t>
            </w:r>
          </w:p>
        </w:tc>
        <w:tc>
          <w:tcPr>
            <w:tcW w:w="1478" w:type="dxa"/>
            <w:gridSpan w:val="4"/>
            <w:tcBorders>
              <w:top w:val="nil"/>
              <w:left w:val="nil"/>
              <w:bottom w:val="nil"/>
              <w:right w:val="nil"/>
            </w:tcBorders>
            <w:shd w:val="clear" w:color="auto" w:fill="auto"/>
            <w:vAlign w:val="center"/>
            <w:hideMark/>
          </w:tcPr>
          <w:p w:rsidR="00154F3D" w:rsidRPr="00154F3D" w:rsidRDefault="00154F3D" w:rsidP="00154F3D">
            <w:pPr>
              <w:jc w:val="right"/>
              <w:rPr>
                <w:rFonts w:ascii="Times New Roman CE" w:hAnsi="Times New Roman CE" w:cs="Times New Roman CE"/>
                <w:sz w:val="22"/>
                <w:szCs w:val="22"/>
              </w:rPr>
            </w:pPr>
            <w:r w:rsidRPr="00154F3D">
              <w:rPr>
                <w:rFonts w:ascii="Times New Roman CE" w:hAnsi="Times New Roman CE" w:cs="Times New Roman CE"/>
                <w:sz w:val="22"/>
                <w:szCs w:val="22"/>
              </w:rPr>
              <w:t>14 440</w:t>
            </w:r>
          </w:p>
        </w:tc>
        <w:tc>
          <w:tcPr>
            <w:tcW w:w="1436" w:type="dxa"/>
            <w:gridSpan w:val="4"/>
            <w:tcBorders>
              <w:top w:val="nil"/>
              <w:left w:val="nil"/>
              <w:bottom w:val="nil"/>
              <w:right w:val="nil"/>
            </w:tcBorders>
            <w:shd w:val="clear" w:color="auto" w:fill="auto"/>
            <w:noWrap/>
            <w:vAlign w:val="bottom"/>
            <w:hideMark/>
          </w:tcPr>
          <w:p w:rsidR="00154F3D" w:rsidRPr="00154F3D" w:rsidRDefault="00154F3D" w:rsidP="00154F3D">
            <w:pPr>
              <w:jc w:val="right"/>
              <w:rPr>
                <w:rFonts w:ascii="Times New Roman CE" w:hAnsi="Times New Roman CE" w:cs="Times New Roman CE"/>
                <w:sz w:val="22"/>
                <w:szCs w:val="22"/>
              </w:rPr>
            </w:pPr>
            <w:r w:rsidRPr="00154F3D">
              <w:rPr>
                <w:rFonts w:ascii="Times New Roman CE" w:hAnsi="Times New Roman CE" w:cs="Times New Roman CE"/>
                <w:sz w:val="22"/>
                <w:szCs w:val="22"/>
              </w:rPr>
              <w:t>29 815</w:t>
            </w:r>
          </w:p>
        </w:tc>
        <w:tc>
          <w:tcPr>
            <w:tcW w:w="1085" w:type="dxa"/>
            <w:gridSpan w:val="3"/>
            <w:tcBorders>
              <w:top w:val="nil"/>
              <w:left w:val="nil"/>
              <w:bottom w:val="nil"/>
              <w:right w:val="nil"/>
            </w:tcBorders>
            <w:shd w:val="clear" w:color="auto" w:fill="auto"/>
            <w:noWrap/>
            <w:vAlign w:val="bottom"/>
            <w:hideMark/>
          </w:tcPr>
          <w:p w:rsidR="00154F3D" w:rsidRPr="00154F3D" w:rsidRDefault="00154F3D" w:rsidP="00154F3D">
            <w:pPr>
              <w:jc w:val="right"/>
              <w:rPr>
                <w:rFonts w:ascii="Times New Roman CE" w:hAnsi="Times New Roman CE" w:cs="Times New Roman CE"/>
                <w:sz w:val="22"/>
                <w:szCs w:val="22"/>
              </w:rPr>
            </w:pPr>
            <w:r w:rsidRPr="00154F3D">
              <w:rPr>
                <w:rFonts w:ascii="Times New Roman CE" w:hAnsi="Times New Roman CE" w:cs="Times New Roman CE"/>
                <w:sz w:val="22"/>
                <w:szCs w:val="22"/>
              </w:rPr>
              <w:t>0</w:t>
            </w:r>
          </w:p>
        </w:tc>
        <w:tc>
          <w:tcPr>
            <w:tcW w:w="1751" w:type="dxa"/>
            <w:gridSpan w:val="5"/>
            <w:tcBorders>
              <w:top w:val="nil"/>
              <w:left w:val="nil"/>
              <w:bottom w:val="nil"/>
              <w:right w:val="nil"/>
            </w:tcBorders>
            <w:shd w:val="clear" w:color="auto" w:fill="auto"/>
            <w:vAlign w:val="center"/>
            <w:hideMark/>
          </w:tcPr>
          <w:p w:rsidR="00154F3D" w:rsidRPr="00154F3D" w:rsidRDefault="00154F3D" w:rsidP="00154F3D">
            <w:pPr>
              <w:jc w:val="right"/>
              <w:rPr>
                <w:rFonts w:ascii="Times New Roman CE" w:hAnsi="Times New Roman CE" w:cs="Times New Roman CE"/>
                <w:sz w:val="22"/>
                <w:szCs w:val="22"/>
              </w:rPr>
            </w:pPr>
            <w:r w:rsidRPr="00154F3D">
              <w:rPr>
                <w:rFonts w:ascii="Times New Roman CE" w:hAnsi="Times New Roman CE" w:cs="Times New Roman CE"/>
                <w:sz w:val="22"/>
                <w:szCs w:val="22"/>
              </w:rPr>
              <w:t>49 691</w:t>
            </w:r>
          </w:p>
        </w:tc>
        <w:tc>
          <w:tcPr>
            <w:tcW w:w="1226" w:type="dxa"/>
            <w:gridSpan w:val="3"/>
            <w:tcBorders>
              <w:top w:val="nil"/>
              <w:left w:val="nil"/>
              <w:bottom w:val="nil"/>
              <w:right w:val="nil"/>
            </w:tcBorders>
            <w:shd w:val="clear" w:color="auto" w:fill="auto"/>
            <w:noWrap/>
            <w:vAlign w:val="bottom"/>
            <w:hideMark/>
          </w:tcPr>
          <w:p w:rsidR="00154F3D" w:rsidRPr="00154F3D" w:rsidRDefault="00154F3D" w:rsidP="00154F3D">
            <w:pPr>
              <w:jc w:val="right"/>
              <w:rPr>
                <w:rFonts w:ascii="Times New Roman CE" w:hAnsi="Times New Roman CE" w:cs="Times New Roman CE"/>
                <w:i/>
                <w:iCs/>
                <w:sz w:val="22"/>
                <w:szCs w:val="22"/>
              </w:rPr>
            </w:pPr>
            <w:r w:rsidRPr="00154F3D">
              <w:rPr>
                <w:rFonts w:ascii="Times New Roman CE" w:hAnsi="Times New Roman CE" w:cs="Times New Roman CE"/>
                <w:i/>
                <w:iCs/>
                <w:sz w:val="22"/>
                <w:szCs w:val="22"/>
              </w:rPr>
              <w:t>93 946</w:t>
            </w:r>
          </w:p>
        </w:tc>
      </w:tr>
      <w:tr w:rsidR="00154F3D" w:rsidRPr="00154F3D" w:rsidTr="00BD083C">
        <w:trPr>
          <w:gridAfter w:val="2"/>
          <w:wAfter w:w="210" w:type="dxa"/>
          <w:trHeight w:val="300"/>
        </w:trPr>
        <w:tc>
          <w:tcPr>
            <w:tcW w:w="2410" w:type="dxa"/>
            <w:tcBorders>
              <w:top w:val="single" w:sz="4" w:space="0" w:color="auto"/>
              <w:left w:val="nil"/>
              <w:bottom w:val="nil"/>
              <w:right w:val="nil"/>
            </w:tcBorders>
            <w:shd w:val="clear" w:color="auto" w:fill="auto"/>
            <w:noWrap/>
            <w:vAlign w:val="center"/>
            <w:hideMark/>
          </w:tcPr>
          <w:p w:rsidR="00154F3D" w:rsidRPr="00154F3D" w:rsidRDefault="00154F3D" w:rsidP="00154F3D">
            <w:pPr>
              <w:jc w:val="left"/>
              <w:rPr>
                <w:rFonts w:ascii="Times New Roman CE" w:hAnsi="Times New Roman CE" w:cs="Times New Roman CE"/>
                <w:i/>
                <w:iCs/>
                <w:sz w:val="22"/>
                <w:szCs w:val="22"/>
              </w:rPr>
            </w:pPr>
            <w:r w:rsidRPr="00154F3D">
              <w:rPr>
                <w:rFonts w:ascii="Times New Roman CE" w:hAnsi="Times New Roman CE" w:cs="Times New Roman CE"/>
                <w:i/>
                <w:iCs/>
                <w:sz w:val="22"/>
                <w:szCs w:val="22"/>
              </w:rPr>
              <w:t>Összesen</w:t>
            </w:r>
          </w:p>
        </w:tc>
        <w:tc>
          <w:tcPr>
            <w:tcW w:w="1478" w:type="dxa"/>
            <w:gridSpan w:val="4"/>
            <w:tcBorders>
              <w:top w:val="single" w:sz="4" w:space="0" w:color="auto"/>
              <w:left w:val="nil"/>
              <w:bottom w:val="nil"/>
              <w:right w:val="nil"/>
            </w:tcBorders>
            <w:shd w:val="clear" w:color="auto" w:fill="auto"/>
            <w:noWrap/>
            <w:vAlign w:val="center"/>
            <w:hideMark/>
          </w:tcPr>
          <w:p w:rsidR="00154F3D" w:rsidRPr="00154F3D" w:rsidRDefault="00154F3D" w:rsidP="00154F3D">
            <w:pPr>
              <w:jc w:val="right"/>
              <w:rPr>
                <w:rFonts w:ascii="Times New Roman CE" w:hAnsi="Times New Roman CE" w:cs="Times New Roman CE"/>
                <w:i/>
                <w:iCs/>
                <w:sz w:val="22"/>
                <w:szCs w:val="22"/>
              </w:rPr>
            </w:pPr>
            <w:r w:rsidRPr="00154F3D">
              <w:rPr>
                <w:rFonts w:ascii="Times New Roman CE" w:hAnsi="Times New Roman CE" w:cs="Times New Roman CE"/>
                <w:i/>
                <w:iCs/>
                <w:sz w:val="22"/>
                <w:szCs w:val="22"/>
              </w:rPr>
              <w:t>102 445</w:t>
            </w:r>
          </w:p>
        </w:tc>
        <w:tc>
          <w:tcPr>
            <w:tcW w:w="1436" w:type="dxa"/>
            <w:gridSpan w:val="4"/>
            <w:tcBorders>
              <w:top w:val="single" w:sz="4" w:space="0" w:color="auto"/>
              <w:left w:val="nil"/>
              <w:bottom w:val="nil"/>
              <w:right w:val="nil"/>
            </w:tcBorders>
            <w:shd w:val="clear" w:color="auto" w:fill="auto"/>
            <w:noWrap/>
            <w:vAlign w:val="center"/>
            <w:hideMark/>
          </w:tcPr>
          <w:p w:rsidR="00154F3D" w:rsidRPr="00154F3D" w:rsidRDefault="00154F3D" w:rsidP="00154F3D">
            <w:pPr>
              <w:jc w:val="right"/>
              <w:rPr>
                <w:rFonts w:ascii="Times New Roman CE" w:hAnsi="Times New Roman CE" w:cs="Times New Roman CE"/>
                <w:i/>
                <w:iCs/>
                <w:sz w:val="22"/>
                <w:szCs w:val="22"/>
              </w:rPr>
            </w:pPr>
            <w:r w:rsidRPr="00154F3D">
              <w:rPr>
                <w:rFonts w:ascii="Times New Roman CE" w:hAnsi="Times New Roman CE" w:cs="Times New Roman CE"/>
                <w:i/>
                <w:iCs/>
                <w:sz w:val="22"/>
                <w:szCs w:val="22"/>
              </w:rPr>
              <w:t>43 537</w:t>
            </w:r>
          </w:p>
        </w:tc>
        <w:tc>
          <w:tcPr>
            <w:tcW w:w="1085" w:type="dxa"/>
            <w:gridSpan w:val="3"/>
            <w:tcBorders>
              <w:top w:val="single" w:sz="4" w:space="0" w:color="auto"/>
              <w:left w:val="nil"/>
              <w:bottom w:val="nil"/>
              <w:right w:val="nil"/>
            </w:tcBorders>
            <w:shd w:val="clear" w:color="auto" w:fill="auto"/>
            <w:noWrap/>
            <w:vAlign w:val="center"/>
            <w:hideMark/>
          </w:tcPr>
          <w:p w:rsidR="00154F3D" w:rsidRPr="00154F3D" w:rsidRDefault="00154F3D" w:rsidP="00154F3D">
            <w:pPr>
              <w:jc w:val="right"/>
              <w:rPr>
                <w:rFonts w:ascii="Times New Roman CE" w:hAnsi="Times New Roman CE" w:cs="Times New Roman CE"/>
                <w:i/>
                <w:iCs/>
                <w:sz w:val="22"/>
                <w:szCs w:val="22"/>
              </w:rPr>
            </w:pPr>
            <w:r w:rsidRPr="00154F3D">
              <w:rPr>
                <w:rFonts w:ascii="Times New Roman CE" w:hAnsi="Times New Roman CE" w:cs="Times New Roman CE"/>
                <w:i/>
                <w:iCs/>
                <w:sz w:val="22"/>
                <w:szCs w:val="22"/>
              </w:rPr>
              <w:t>0</w:t>
            </w:r>
          </w:p>
        </w:tc>
        <w:tc>
          <w:tcPr>
            <w:tcW w:w="1751" w:type="dxa"/>
            <w:gridSpan w:val="5"/>
            <w:tcBorders>
              <w:top w:val="single" w:sz="4" w:space="0" w:color="auto"/>
              <w:left w:val="nil"/>
              <w:bottom w:val="nil"/>
              <w:right w:val="nil"/>
            </w:tcBorders>
            <w:shd w:val="clear" w:color="auto" w:fill="auto"/>
            <w:noWrap/>
            <w:vAlign w:val="center"/>
            <w:hideMark/>
          </w:tcPr>
          <w:p w:rsidR="00154F3D" w:rsidRPr="00154F3D" w:rsidRDefault="00154F3D" w:rsidP="00154F3D">
            <w:pPr>
              <w:jc w:val="right"/>
              <w:rPr>
                <w:rFonts w:ascii="Times New Roman CE" w:hAnsi="Times New Roman CE" w:cs="Times New Roman CE"/>
                <w:i/>
                <w:iCs/>
                <w:sz w:val="22"/>
                <w:szCs w:val="22"/>
              </w:rPr>
            </w:pPr>
            <w:r w:rsidRPr="00154F3D">
              <w:rPr>
                <w:rFonts w:ascii="Times New Roman CE" w:hAnsi="Times New Roman CE" w:cs="Times New Roman CE"/>
                <w:i/>
                <w:iCs/>
                <w:sz w:val="22"/>
                <w:szCs w:val="22"/>
              </w:rPr>
              <w:t>308 944</w:t>
            </w:r>
          </w:p>
        </w:tc>
        <w:tc>
          <w:tcPr>
            <w:tcW w:w="1226" w:type="dxa"/>
            <w:gridSpan w:val="3"/>
            <w:tcBorders>
              <w:top w:val="single" w:sz="4" w:space="0" w:color="auto"/>
              <w:left w:val="nil"/>
              <w:bottom w:val="nil"/>
              <w:right w:val="nil"/>
            </w:tcBorders>
            <w:shd w:val="clear" w:color="auto" w:fill="auto"/>
            <w:noWrap/>
            <w:vAlign w:val="center"/>
            <w:hideMark/>
          </w:tcPr>
          <w:p w:rsidR="00154F3D" w:rsidRPr="00154F3D" w:rsidRDefault="00154F3D" w:rsidP="00154F3D">
            <w:pPr>
              <w:jc w:val="right"/>
              <w:rPr>
                <w:rFonts w:ascii="Times New Roman CE" w:hAnsi="Times New Roman CE" w:cs="Times New Roman CE"/>
                <w:i/>
                <w:iCs/>
                <w:sz w:val="22"/>
                <w:szCs w:val="22"/>
              </w:rPr>
            </w:pPr>
            <w:r w:rsidRPr="00154F3D">
              <w:rPr>
                <w:rFonts w:ascii="Times New Roman CE" w:hAnsi="Times New Roman CE" w:cs="Times New Roman CE"/>
                <w:i/>
                <w:iCs/>
                <w:sz w:val="22"/>
                <w:szCs w:val="22"/>
              </w:rPr>
              <w:t>454 926</w:t>
            </w:r>
          </w:p>
        </w:tc>
      </w:tr>
    </w:tbl>
    <w:p w:rsidR="00154F3D" w:rsidRPr="003E7ED2" w:rsidRDefault="00154F3D">
      <w:pPr>
        <w:jc w:val="left"/>
        <w:rPr>
          <w:rFonts w:ascii="Comic Sans MS" w:hAnsi="Comic Sans MS"/>
          <w:b/>
          <w:bCs/>
          <w:color w:val="0000FF"/>
          <w:sz w:val="22"/>
        </w:rPr>
      </w:pPr>
    </w:p>
    <w:p w:rsidR="00D51AA4" w:rsidRPr="009B5141" w:rsidRDefault="00D51AA4">
      <w:pPr>
        <w:pStyle w:val="Cmsor2"/>
        <w:rPr>
          <w:i w:val="0"/>
          <w:iCs w:val="0"/>
          <w:sz w:val="24"/>
          <w:szCs w:val="24"/>
        </w:rPr>
      </w:pPr>
      <w:bookmarkStart w:id="62" w:name="_Toc132629493"/>
      <w:r w:rsidRPr="009B5141">
        <w:rPr>
          <w:i w:val="0"/>
          <w:iCs w:val="0"/>
          <w:sz w:val="24"/>
          <w:szCs w:val="24"/>
        </w:rPr>
        <w:t>Kiemelt beruházások</w:t>
      </w:r>
      <w:bookmarkEnd w:id="62"/>
      <w:r w:rsidRPr="009B5141">
        <w:rPr>
          <w:i w:val="0"/>
          <w:iCs w:val="0"/>
          <w:sz w:val="24"/>
          <w:szCs w:val="24"/>
        </w:rPr>
        <w:t xml:space="preserve"> </w:t>
      </w:r>
    </w:p>
    <w:p w:rsidR="00E7446E" w:rsidRPr="009B5141" w:rsidRDefault="00E7446E" w:rsidP="00E7446E">
      <w:pPr>
        <w:rPr>
          <w:i/>
          <w:iCs/>
          <w:szCs w:val="24"/>
        </w:rPr>
      </w:pPr>
      <w:r w:rsidRPr="009B5141">
        <w:rPr>
          <w:i/>
          <w:iCs/>
          <w:szCs w:val="24"/>
        </w:rPr>
        <w:t xml:space="preserve">Amortizációs forrásból </w:t>
      </w:r>
      <w:r w:rsidRPr="009B5141">
        <w:rPr>
          <w:iCs/>
          <w:szCs w:val="24"/>
        </w:rPr>
        <w:t>(működtető vagyon és rendszerfüggetlen víziközmű vagyon amortizációja)</w:t>
      </w:r>
    </w:p>
    <w:p w:rsidR="006A3988" w:rsidRPr="009B5141" w:rsidRDefault="006A3988" w:rsidP="006A3988">
      <w:pPr>
        <w:pStyle w:val="Szvegtrzsbehzssal"/>
        <w:numPr>
          <w:ilvl w:val="0"/>
          <w:numId w:val="6"/>
        </w:numPr>
        <w:tabs>
          <w:tab w:val="clear" w:pos="720"/>
        </w:tabs>
        <w:ind w:left="426" w:right="426" w:hanging="142"/>
        <w:rPr>
          <w:szCs w:val="24"/>
        </w:rPr>
      </w:pPr>
      <w:r w:rsidRPr="009B5141">
        <w:rPr>
          <w:szCs w:val="24"/>
        </w:rPr>
        <w:t>épület korszerűsítések (fűtés korszerűsítés, nyílá</w:t>
      </w:r>
      <w:r w:rsidR="00565816">
        <w:rPr>
          <w:szCs w:val="24"/>
        </w:rPr>
        <w:t xml:space="preserve">száró cserék, tetőfelújítások) </w:t>
      </w:r>
      <w:r w:rsidRPr="009B5141">
        <w:rPr>
          <w:szCs w:val="24"/>
        </w:rPr>
        <w:t xml:space="preserve">45 mFt </w:t>
      </w:r>
    </w:p>
    <w:p w:rsidR="00E7446E" w:rsidRPr="009B5141" w:rsidRDefault="00E7446E" w:rsidP="00E7446E">
      <w:pPr>
        <w:pStyle w:val="Szvegtrzsbehzssal"/>
        <w:numPr>
          <w:ilvl w:val="0"/>
          <w:numId w:val="6"/>
        </w:numPr>
        <w:tabs>
          <w:tab w:val="clear" w:pos="720"/>
        </w:tabs>
        <w:ind w:left="426" w:right="426" w:hanging="142"/>
        <w:rPr>
          <w:szCs w:val="24"/>
        </w:rPr>
      </w:pPr>
      <w:r w:rsidRPr="009B5141">
        <w:rPr>
          <w:szCs w:val="24"/>
        </w:rPr>
        <w:t xml:space="preserve">szivattyú beszerzések </w:t>
      </w:r>
      <w:r w:rsidR="006A3988" w:rsidRPr="009B5141">
        <w:rPr>
          <w:szCs w:val="24"/>
        </w:rPr>
        <w:t>8,5</w:t>
      </w:r>
      <w:r w:rsidRPr="009B5141">
        <w:rPr>
          <w:szCs w:val="24"/>
        </w:rPr>
        <w:t xml:space="preserve"> mFt</w:t>
      </w:r>
    </w:p>
    <w:p w:rsidR="00E7446E" w:rsidRPr="009B5141" w:rsidRDefault="00E7446E" w:rsidP="00E7446E">
      <w:pPr>
        <w:pStyle w:val="Szvegtrzsbehzssal"/>
        <w:numPr>
          <w:ilvl w:val="0"/>
          <w:numId w:val="6"/>
        </w:numPr>
        <w:tabs>
          <w:tab w:val="clear" w:pos="720"/>
        </w:tabs>
        <w:ind w:left="426" w:right="426" w:hanging="142"/>
        <w:rPr>
          <w:szCs w:val="24"/>
        </w:rPr>
      </w:pPr>
      <w:r w:rsidRPr="009B5141">
        <w:rPr>
          <w:szCs w:val="24"/>
        </w:rPr>
        <w:t xml:space="preserve">vízmérők beszerzése és javítása </w:t>
      </w:r>
      <w:r w:rsidR="006A3988" w:rsidRPr="009B5141">
        <w:rPr>
          <w:szCs w:val="24"/>
        </w:rPr>
        <w:t>38,6</w:t>
      </w:r>
      <w:r w:rsidRPr="009B5141">
        <w:rPr>
          <w:szCs w:val="24"/>
        </w:rPr>
        <w:t xml:space="preserve"> mFt</w:t>
      </w:r>
    </w:p>
    <w:p w:rsidR="00E7446E" w:rsidRPr="009B5141" w:rsidRDefault="00E7446E" w:rsidP="00E7446E">
      <w:pPr>
        <w:pStyle w:val="Szvegtrzsbehzssal"/>
        <w:numPr>
          <w:ilvl w:val="0"/>
          <w:numId w:val="6"/>
        </w:numPr>
        <w:tabs>
          <w:tab w:val="clear" w:pos="720"/>
        </w:tabs>
        <w:ind w:left="426" w:right="426" w:hanging="142"/>
        <w:rPr>
          <w:szCs w:val="24"/>
        </w:rPr>
      </w:pPr>
      <w:r w:rsidRPr="009B5141">
        <w:rPr>
          <w:szCs w:val="24"/>
        </w:rPr>
        <w:t xml:space="preserve">kisgépek beszerzése </w:t>
      </w:r>
      <w:r w:rsidR="006A3988" w:rsidRPr="009B5141">
        <w:rPr>
          <w:szCs w:val="24"/>
        </w:rPr>
        <w:t>22,3</w:t>
      </w:r>
      <w:r w:rsidRPr="009B5141">
        <w:rPr>
          <w:szCs w:val="24"/>
        </w:rPr>
        <w:t xml:space="preserve"> mFt</w:t>
      </w:r>
    </w:p>
    <w:p w:rsidR="006A3988" w:rsidRPr="009B5141" w:rsidRDefault="006A3988" w:rsidP="00E7446E">
      <w:pPr>
        <w:pStyle w:val="Szvegtrzsbehzssal"/>
        <w:numPr>
          <w:ilvl w:val="0"/>
          <w:numId w:val="6"/>
        </w:numPr>
        <w:tabs>
          <w:tab w:val="clear" w:pos="720"/>
        </w:tabs>
        <w:ind w:left="426" w:right="426" w:hanging="142"/>
        <w:rPr>
          <w:szCs w:val="24"/>
        </w:rPr>
      </w:pPr>
      <w:r w:rsidRPr="009B5141">
        <w:rPr>
          <w:szCs w:val="24"/>
        </w:rPr>
        <w:t>laborműszerek beszerzése 5,3 mFt</w:t>
      </w:r>
    </w:p>
    <w:p w:rsidR="006A3988" w:rsidRPr="009B5141" w:rsidRDefault="00F1250A" w:rsidP="00E7446E">
      <w:pPr>
        <w:pStyle w:val="Szvegtrzsbehzssal"/>
        <w:numPr>
          <w:ilvl w:val="0"/>
          <w:numId w:val="6"/>
        </w:numPr>
        <w:tabs>
          <w:tab w:val="clear" w:pos="720"/>
        </w:tabs>
        <w:ind w:left="426" w:right="426" w:hanging="142"/>
        <w:rPr>
          <w:szCs w:val="24"/>
        </w:rPr>
      </w:pPr>
      <w:r w:rsidRPr="009B5141">
        <w:rPr>
          <w:szCs w:val="24"/>
        </w:rPr>
        <w:t>informatikai eszközök beszerzése és programfejlesztések 19,9 mFt</w:t>
      </w:r>
    </w:p>
    <w:p w:rsidR="00E7446E" w:rsidRPr="009B5141" w:rsidRDefault="00E7446E" w:rsidP="00E7446E">
      <w:pPr>
        <w:pStyle w:val="Szvegtrzsbehzssal"/>
        <w:numPr>
          <w:ilvl w:val="0"/>
          <w:numId w:val="6"/>
        </w:numPr>
        <w:tabs>
          <w:tab w:val="clear" w:pos="720"/>
        </w:tabs>
        <w:ind w:left="426" w:right="284" w:hanging="142"/>
        <w:rPr>
          <w:szCs w:val="24"/>
        </w:rPr>
      </w:pPr>
      <w:r w:rsidRPr="009B5141">
        <w:rPr>
          <w:szCs w:val="24"/>
        </w:rPr>
        <w:lastRenderedPageBreak/>
        <w:t>Víziközművek Energiahatékonyságának Fejlesztése (VEF) pályázat kapcsán beszerzett búvár- és szennyvízszivattyúk, napelemek beszerzésének 50 % önrésze, 94 mFt</w:t>
      </w:r>
    </w:p>
    <w:p w:rsidR="002B7280" w:rsidRPr="000A0A11" w:rsidRDefault="002B7280" w:rsidP="00F1250A">
      <w:pPr>
        <w:pStyle w:val="Szvegtrzsbehzssal"/>
        <w:ind w:left="0" w:right="426" w:firstLine="0"/>
        <w:rPr>
          <w:i/>
          <w:iCs/>
          <w:sz w:val="8"/>
          <w:szCs w:val="8"/>
        </w:rPr>
      </w:pPr>
    </w:p>
    <w:p w:rsidR="00E7446E" w:rsidRPr="009B5141" w:rsidRDefault="00E7446E" w:rsidP="00F1250A">
      <w:pPr>
        <w:pStyle w:val="Szvegtrzsbehzssal"/>
        <w:ind w:left="0" w:right="426" w:firstLine="0"/>
        <w:rPr>
          <w:i/>
          <w:iCs/>
          <w:szCs w:val="24"/>
        </w:rPr>
      </w:pPr>
      <w:r w:rsidRPr="009B5141">
        <w:rPr>
          <w:i/>
          <w:iCs/>
          <w:szCs w:val="24"/>
        </w:rPr>
        <w:t>Pályázati forrásból</w:t>
      </w:r>
    </w:p>
    <w:p w:rsidR="00E7446E" w:rsidRPr="009B5141" w:rsidRDefault="00E7446E" w:rsidP="00F1250A">
      <w:pPr>
        <w:pStyle w:val="Szvegtrzsbehzssal"/>
        <w:numPr>
          <w:ilvl w:val="0"/>
          <w:numId w:val="6"/>
        </w:numPr>
        <w:tabs>
          <w:tab w:val="clear" w:pos="720"/>
        </w:tabs>
        <w:ind w:left="426" w:right="176" w:hanging="142"/>
        <w:rPr>
          <w:szCs w:val="24"/>
        </w:rPr>
      </w:pPr>
      <w:r w:rsidRPr="009B5141">
        <w:rPr>
          <w:szCs w:val="24"/>
        </w:rPr>
        <w:t>A Víziközművek Energiahatékonyságának Fejlesztése (VEF) pályázat kapcsán beszerzett búvár- és szennyvízszivattyúk, napelemek beszerzésének 50 % pályázati támogatás része, 94 mFt</w:t>
      </w:r>
    </w:p>
    <w:p w:rsidR="00F1250A" w:rsidRPr="000A0A11" w:rsidRDefault="00F1250A" w:rsidP="00F1250A">
      <w:pPr>
        <w:pStyle w:val="Szvegtrzsbehzssal"/>
        <w:ind w:right="176"/>
        <w:rPr>
          <w:sz w:val="8"/>
          <w:szCs w:val="8"/>
        </w:rPr>
      </w:pPr>
    </w:p>
    <w:p w:rsidR="00E7446E" w:rsidRPr="009B5141" w:rsidRDefault="00F1250A" w:rsidP="00F1250A">
      <w:pPr>
        <w:pStyle w:val="Szvegtrzsbehzssal"/>
        <w:ind w:left="0" w:right="426" w:firstLine="0"/>
        <w:rPr>
          <w:i/>
          <w:iCs/>
          <w:szCs w:val="24"/>
        </w:rPr>
      </w:pPr>
      <w:r w:rsidRPr="009B5141">
        <w:rPr>
          <w:i/>
          <w:iCs/>
          <w:szCs w:val="24"/>
        </w:rPr>
        <w:t>Lekötött tartalékból</w:t>
      </w:r>
    </w:p>
    <w:p w:rsidR="00F1250A" w:rsidRPr="009B5141" w:rsidRDefault="00F1250A" w:rsidP="00756534">
      <w:pPr>
        <w:pStyle w:val="Szvegtrzsbehzssal"/>
        <w:numPr>
          <w:ilvl w:val="0"/>
          <w:numId w:val="6"/>
        </w:numPr>
        <w:tabs>
          <w:tab w:val="clear" w:pos="720"/>
        </w:tabs>
        <w:ind w:left="567" w:right="176" w:hanging="207"/>
        <w:rPr>
          <w:iCs/>
          <w:szCs w:val="24"/>
        </w:rPr>
      </w:pPr>
      <w:r w:rsidRPr="009B5141">
        <w:rPr>
          <w:iCs/>
          <w:szCs w:val="24"/>
        </w:rPr>
        <w:t>Szombathely, Északi gépház (Vízműtörténeti Múzeum) felújítás gépészeti és építészeti munkái 15,2 mFt</w:t>
      </w:r>
    </w:p>
    <w:p w:rsidR="00F1250A" w:rsidRPr="000A0A11" w:rsidRDefault="00F1250A" w:rsidP="00F1250A">
      <w:pPr>
        <w:pStyle w:val="Szvegtrzsbehzssal"/>
        <w:ind w:right="426"/>
        <w:rPr>
          <w:iCs/>
          <w:sz w:val="8"/>
          <w:szCs w:val="8"/>
        </w:rPr>
      </w:pPr>
    </w:p>
    <w:p w:rsidR="00F1250A" w:rsidRPr="009B5141" w:rsidRDefault="00F1250A" w:rsidP="00F1250A">
      <w:pPr>
        <w:pStyle w:val="Szvegtrzsbehzssal"/>
        <w:ind w:left="0" w:right="426" w:firstLine="0"/>
        <w:rPr>
          <w:i/>
          <w:iCs/>
          <w:szCs w:val="24"/>
        </w:rPr>
      </w:pPr>
      <w:r w:rsidRPr="009B5141">
        <w:rPr>
          <w:i/>
          <w:iCs/>
          <w:szCs w:val="24"/>
        </w:rPr>
        <w:t>Közműfejlesztési hozzájárulásból</w:t>
      </w:r>
    </w:p>
    <w:p w:rsidR="00F1250A" w:rsidRPr="009B5141" w:rsidRDefault="00F1250A" w:rsidP="00F1250A">
      <w:pPr>
        <w:pStyle w:val="Szvegtrzsbehzssal"/>
        <w:numPr>
          <w:ilvl w:val="0"/>
          <w:numId w:val="6"/>
        </w:numPr>
        <w:tabs>
          <w:tab w:val="clear" w:pos="720"/>
        </w:tabs>
        <w:ind w:left="567" w:right="426" w:hanging="207"/>
        <w:rPr>
          <w:iCs/>
          <w:szCs w:val="24"/>
        </w:rPr>
      </w:pPr>
      <w:r w:rsidRPr="009B5141">
        <w:rPr>
          <w:iCs/>
          <w:szCs w:val="24"/>
        </w:rPr>
        <w:t>Szombathely, Északi Ipari Park közműhálózat bővítés 49,3 mFt</w:t>
      </w:r>
    </w:p>
    <w:p w:rsidR="00E7446E" w:rsidRPr="009B5141" w:rsidRDefault="00E7446E" w:rsidP="00E23CB1">
      <w:pPr>
        <w:pStyle w:val="Szvegtrzsbehzssal"/>
        <w:ind w:right="743"/>
        <w:rPr>
          <w:szCs w:val="24"/>
        </w:rPr>
      </w:pPr>
    </w:p>
    <w:p w:rsidR="00D51AA4" w:rsidRPr="009B5141" w:rsidRDefault="00D51AA4">
      <w:pPr>
        <w:pStyle w:val="Cmsor2"/>
        <w:rPr>
          <w:i w:val="0"/>
          <w:iCs w:val="0"/>
          <w:sz w:val="24"/>
          <w:szCs w:val="24"/>
        </w:rPr>
      </w:pPr>
      <w:bookmarkStart w:id="63" w:name="_Toc132629494"/>
      <w:r w:rsidRPr="009B5141">
        <w:rPr>
          <w:i w:val="0"/>
          <w:iCs w:val="0"/>
          <w:sz w:val="24"/>
          <w:szCs w:val="24"/>
        </w:rPr>
        <w:t>Önkormányzatoknak átadásra kerülő beruházások</w:t>
      </w:r>
      <w:bookmarkEnd w:id="63"/>
    </w:p>
    <w:p w:rsidR="00E736F6" w:rsidRDefault="00E736F6" w:rsidP="00756534">
      <w:pPr>
        <w:pStyle w:val="Szvegtrzsbehzssal3"/>
        <w:spacing w:after="0"/>
        <w:ind w:left="0" w:right="176" w:firstLine="0"/>
        <w:rPr>
          <w:sz w:val="8"/>
          <w:szCs w:val="8"/>
        </w:rPr>
      </w:pPr>
    </w:p>
    <w:p w:rsidR="004069E4" w:rsidRDefault="00E4612E" w:rsidP="00756534">
      <w:pPr>
        <w:pStyle w:val="Szvegtrzsbehzssal3"/>
        <w:spacing w:after="0"/>
        <w:ind w:left="0" w:right="176" w:firstLine="0"/>
        <w:rPr>
          <w:szCs w:val="24"/>
        </w:rPr>
      </w:pPr>
      <w:r w:rsidRPr="009B5141">
        <w:rPr>
          <w:szCs w:val="24"/>
        </w:rPr>
        <w:t>202</w:t>
      </w:r>
      <w:r w:rsidR="00756534" w:rsidRPr="009B5141">
        <w:rPr>
          <w:szCs w:val="24"/>
        </w:rPr>
        <w:t>2</w:t>
      </w:r>
      <w:r w:rsidRPr="009B5141">
        <w:rPr>
          <w:szCs w:val="24"/>
        </w:rPr>
        <w:t xml:space="preserve">. évben átadásra került </w:t>
      </w:r>
      <w:r w:rsidR="00756534" w:rsidRPr="009B5141">
        <w:rPr>
          <w:szCs w:val="24"/>
        </w:rPr>
        <w:t>Szombathely MJV részére az</w:t>
      </w:r>
      <w:r w:rsidR="00756534" w:rsidRPr="009B5141">
        <w:rPr>
          <w:iCs/>
          <w:szCs w:val="24"/>
        </w:rPr>
        <w:t xml:space="preserve"> Északi Ipari Park közműhálózat bővítés </w:t>
      </w:r>
      <w:r w:rsidR="00756534" w:rsidRPr="009B5141">
        <w:rPr>
          <w:szCs w:val="24"/>
        </w:rPr>
        <w:t>49,3 mFt bruttó értékben.</w:t>
      </w:r>
    </w:p>
    <w:p w:rsidR="004069E4" w:rsidRDefault="004069E4">
      <w:pPr>
        <w:jc w:val="left"/>
        <w:rPr>
          <w:szCs w:val="24"/>
        </w:rPr>
      </w:pPr>
      <w:r>
        <w:rPr>
          <w:szCs w:val="24"/>
        </w:rPr>
        <w:br w:type="page"/>
      </w:r>
    </w:p>
    <w:p w:rsidR="00E736F6" w:rsidRPr="00D80322" w:rsidRDefault="00E736F6" w:rsidP="00D80322"/>
    <w:p w:rsidR="00D51AA4" w:rsidRPr="00B33D52" w:rsidRDefault="00D51AA4" w:rsidP="002C143C">
      <w:pPr>
        <w:pStyle w:val="Cmsor1"/>
        <w:rPr>
          <w:sz w:val="28"/>
          <w:szCs w:val="28"/>
        </w:rPr>
      </w:pPr>
      <w:bookmarkStart w:id="64" w:name="_Toc132629495"/>
      <w:r w:rsidRPr="00B33D52">
        <w:rPr>
          <w:sz w:val="28"/>
          <w:szCs w:val="28"/>
        </w:rPr>
        <w:t>VII. építőipari tevékenység</w:t>
      </w:r>
      <w:bookmarkEnd w:id="64"/>
    </w:p>
    <w:p w:rsidR="00E71C7A" w:rsidRDefault="00E71C7A" w:rsidP="006F0770"/>
    <w:p w:rsidR="006F0770" w:rsidRPr="00D647C4" w:rsidRDefault="006F0770" w:rsidP="006F0770">
      <w:r w:rsidRPr="00D647C4">
        <w:t>202</w:t>
      </w:r>
      <w:r w:rsidR="0045658E">
        <w:t>2</w:t>
      </w:r>
      <w:r w:rsidRPr="00D647C4">
        <w:t xml:space="preserve">. évre önkormányzatok megrendelésére víziközmű-használati díjból vállalkozási szerződéssel végezhető építési tevékenység tervezett összege </w:t>
      </w:r>
      <w:r w:rsidR="0045658E">
        <w:t>820</w:t>
      </w:r>
      <w:r w:rsidRPr="00D647C4">
        <w:t xml:space="preserve"> </w:t>
      </w:r>
      <w:r w:rsidR="0045658E">
        <w:t>m</w:t>
      </w:r>
      <w:r w:rsidRPr="00D647C4">
        <w:t>Ft, egyéb</w:t>
      </w:r>
      <w:r w:rsidRPr="00D647C4">
        <w:rPr>
          <w:bCs/>
        </w:rPr>
        <w:t xml:space="preserve"> megrendelésre végzett építési tevékenység terve </w:t>
      </w:r>
      <w:r w:rsidR="0045658E">
        <w:rPr>
          <w:bCs/>
        </w:rPr>
        <w:t>243 m</w:t>
      </w:r>
      <w:r w:rsidRPr="00D647C4">
        <w:rPr>
          <w:bCs/>
        </w:rPr>
        <w:t>Ft, összesen 1</w:t>
      </w:r>
      <w:r w:rsidR="0045658E">
        <w:rPr>
          <w:bCs/>
        </w:rPr>
        <w:t> </w:t>
      </w:r>
      <w:r w:rsidRPr="00D647C4">
        <w:rPr>
          <w:bCs/>
        </w:rPr>
        <w:t>0</w:t>
      </w:r>
      <w:r w:rsidR="0045658E">
        <w:rPr>
          <w:bCs/>
        </w:rPr>
        <w:t>63 m</w:t>
      </w:r>
      <w:r w:rsidRPr="00D647C4">
        <w:rPr>
          <w:bCs/>
        </w:rPr>
        <w:t>Ft.</w:t>
      </w:r>
    </w:p>
    <w:p w:rsidR="006F0770" w:rsidRPr="00552233" w:rsidRDefault="006F0770" w:rsidP="006F0770">
      <w:pPr>
        <w:pStyle w:val="llb"/>
        <w:tabs>
          <w:tab w:val="clear" w:pos="4536"/>
          <w:tab w:val="clear" w:pos="9072"/>
        </w:tabs>
        <w:rPr>
          <w:i/>
          <w:iCs/>
          <w:sz w:val="12"/>
          <w:szCs w:val="12"/>
          <w:highlight w:val="lightGray"/>
        </w:rPr>
      </w:pPr>
    </w:p>
    <w:p w:rsidR="006F0770" w:rsidRPr="005E5382" w:rsidRDefault="006F0770" w:rsidP="006F0770">
      <w:r w:rsidRPr="00D647C4">
        <w:t>Társaságunk a szolgáltatás biztonsága, folyamatossága érdekében az önkormányzatok tulajdonában lévő víziközmű eszközök használati díjából megvalósítható szükséges rekonstrukciójáról, fejlesztéséről a Gördülő Fejlesztési Tervben rögzítetteknek megfelelően javaslatot készít, amelyet egyeztet az érintett önkormányzatokkal, illetve a kijelölt felelős önkormányzattal</w:t>
      </w:r>
      <w:r w:rsidRPr="005E5382">
        <w:t>, akik az egyeztetést, döntést követően intézkednek az önkormányzati beruházások megrendeléséről.</w:t>
      </w:r>
    </w:p>
    <w:tbl>
      <w:tblPr>
        <w:tblW w:w="9718" w:type="dxa"/>
        <w:tblCellMar>
          <w:left w:w="70" w:type="dxa"/>
          <w:right w:w="70" w:type="dxa"/>
        </w:tblCellMar>
        <w:tblLook w:val="04A0" w:firstRow="1" w:lastRow="0" w:firstColumn="1" w:lastColumn="0" w:noHBand="0" w:noVBand="1"/>
      </w:tblPr>
      <w:tblGrid>
        <w:gridCol w:w="3756"/>
        <w:gridCol w:w="213"/>
        <w:gridCol w:w="72"/>
        <w:gridCol w:w="751"/>
        <w:gridCol w:w="213"/>
        <w:gridCol w:w="1445"/>
        <w:gridCol w:w="118"/>
        <w:gridCol w:w="378"/>
        <w:gridCol w:w="1163"/>
        <w:gridCol w:w="213"/>
        <w:gridCol w:w="1062"/>
        <w:gridCol w:w="121"/>
        <w:gridCol w:w="213"/>
      </w:tblGrid>
      <w:tr w:rsidR="0069724E" w:rsidRPr="0069724E" w:rsidTr="000A0A11">
        <w:trPr>
          <w:gridAfter w:val="1"/>
          <w:wAfter w:w="213" w:type="dxa"/>
          <w:trHeight w:val="300"/>
        </w:trPr>
        <w:tc>
          <w:tcPr>
            <w:tcW w:w="3756" w:type="dxa"/>
            <w:tcBorders>
              <w:top w:val="nil"/>
              <w:left w:val="nil"/>
              <w:bottom w:val="single" w:sz="4" w:space="0" w:color="auto"/>
              <w:right w:val="nil"/>
            </w:tcBorders>
            <w:shd w:val="clear" w:color="auto" w:fill="auto"/>
            <w:noWrap/>
            <w:vAlign w:val="bottom"/>
            <w:hideMark/>
          </w:tcPr>
          <w:p w:rsidR="0069724E" w:rsidRPr="0069724E" w:rsidRDefault="0069724E" w:rsidP="0069724E">
            <w:pPr>
              <w:jc w:val="left"/>
              <w:rPr>
                <w:rFonts w:ascii="Times New Roman CE" w:hAnsi="Times New Roman CE" w:cs="Times New Roman CE"/>
                <w:sz w:val="22"/>
                <w:szCs w:val="22"/>
              </w:rPr>
            </w:pPr>
            <w:r w:rsidRPr="0069724E">
              <w:rPr>
                <w:rFonts w:ascii="Times New Roman CE" w:hAnsi="Times New Roman CE" w:cs="Times New Roman CE"/>
                <w:sz w:val="22"/>
                <w:szCs w:val="22"/>
              </w:rPr>
              <w:t> </w:t>
            </w:r>
          </w:p>
        </w:tc>
        <w:tc>
          <w:tcPr>
            <w:tcW w:w="1036" w:type="dxa"/>
            <w:gridSpan w:val="3"/>
            <w:tcBorders>
              <w:top w:val="nil"/>
              <w:left w:val="nil"/>
              <w:bottom w:val="single" w:sz="4" w:space="0" w:color="auto"/>
              <w:right w:val="nil"/>
            </w:tcBorders>
            <w:shd w:val="clear" w:color="auto" w:fill="auto"/>
            <w:noWrap/>
            <w:vAlign w:val="bottom"/>
            <w:hideMark/>
          </w:tcPr>
          <w:p w:rsidR="0069724E" w:rsidRPr="0069724E" w:rsidRDefault="0069724E" w:rsidP="0069724E">
            <w:pPr>
              <w:jc w:val="left"/>
              <w:rPr>
                <w:rFonts w:ascii="Times New Roman CE" w:hAnsi="Times New Roman CE" w:cs="Times New Roman CE"/>
                <w:sz w:val="22"/>
                <w:szCs w:val="22"/>
              </w:rPr>
            </w:pPr>
            <w:r w:rsidRPr="0069724E">
              <w:rPr>
                <w:rFonts w:ascii="Times New Roman CE" w:hAnsi="Times New Roman CE" w:cs="Times New Roman CE"/>
                <w:sz w:val="22"/>
                <w:szCs w:val="22"/>
              </w:rPr>
              <w:t> </w:t>
            </w:r>
          </w:p>
        </w:tc>
        <w:tc>
          <w:tcPr>
            <w:tcW w:w="1776" w:type="dxa"/>
            <w:gridSpan w:val="3"/>
            <w:tcBorders>
              <w:top w:val="nil"/>
              <w:left w:val="nil"/>
              <w:bottom w:val="single" w:sz="4" w:space="0" w:color="auto"/>
              <w:right w:val="nil"/>
            </w:tcBorders>
            <w:shd w:val="clear" w:color="auto" w:fill="auto"/>
            <w:noWrap/>
            <w:vAlign w:val="bottom"/>
            <w:hideMark/>
          </w:tcPr>
          <w:p w:rsidR="0069724E" w:rsidRPr="0069724E" w:rsidRDefault="0069724E" w:rsidP="0069724E">
            <w:pPr>
              <w:jc w:val="left"/>
              <w:rPr>
                <w:rFonts w:ascii="Times New Roman CE" w:hAnsi="Times New Roman CE" w:cs="Times New Roman CE"/>
                <w:sz w:val="22"/>
                <w:szCs w:val="22"/>
              </w:rPr>
            </w:pPr>
            <w:r w:rsidRPr="0069724E">
              <w:rPr>
                <w:rFonts w:ascii="Times New Roman CE" w:hAnsi="Times New Roman CE" w:cs="Times New Roman CE"/>
                <w:sz w:val="22"/>
                <w:szCs w:val="22"/>
              </w:rPr>
              <w:t> </w:t>
            </w:r>
          </w:p>
        </w:tc>
        <w:tc>
          <w:tcPr>
            <w:tcW w:w="1541" w:type="dxa"/>
            <w:gridSpan w:val="2"/>
            <w:tcBorders>
              <w:top w:val="nil"/>
              <w:left w:val="nil"/>
              <w:bottom w:val="single" w:sz="4" w:space="0" w:color="auto"/>
              <w:right w:val="nil"/>
            </w:tcBorders>
            <w:shd w:val="clear" w:color="auto" w:fill="auto"/>
            <w:noWrap/>
            <w:vAlign w:val="bottom"/>
            <w:hideMark/>
          </w:tcPr>
          <w:p w:rsidR="0069724E" w:rsidRPr="0069724E" w:rsidRDefault="0069724E" w:rsidP="0069724E">
            <w:pPr>
              <w:jc w:val="left"/>
              <w:rPr>
                <w:rFonts w:ascii="Times New Roman CE" w:hAnsi="Times New Roman CE" w:cs="Times New Roman CE"/>
                <w:sz w:val="22"/>
                <w:szCs w:val="22"/>
              </w:rPr>
            </w:pPr>
            <w:r w:rsidRPr="0069724E">
              <w:rPr>
                <w:rFonts w:ascii="Times New Roman CE" w:hAnsi="Times New Roman CE" w:cs="Times New Roman CE"/>
                <w:sz w:val="22"/>
                <w:szCs w:val="22"/>
              </w:rPr>
              <w:t> </w:t>
            </w:r>
          </w:p>
        </w:tc>
        <w:tc>
          <w:tcPr>
            <w:tcW w:w="1396" w:type="dxa"/>
            <w:gridSpan w:val="3"/>
            <w:tcBorders>
              <w:top w:val="nil"/>
              <w:left w:val="nil"/>
              <w:bottom w:val="single" w:sz="4" w:space="0" w:color="auto"/>
              <w:right w:val="nil"/>
            </w:tcBorders>
            <w:shd w:val="clear" w:color="auto" w:fill="auto"/>
            <w:noWrap/>
            <w:vAlign w:val="bottom"/>
            <w:hideMark/>
          </w:tcPr>
          <w:p w:rsidR="0069724E" w:rsidRPr="0069724E" w:rsidRDefault="0069724E" w:rsidP="0069724E">
            <w:pPr>
              <w:jc w:val="right"/>
              <w:rPr>
                <w:rFonts w:ascii="Times New Roman CE" w:hAnsi="Times New Roman CE" w:cs="Times New Roman CE"/>
                <w:sz w:val="22"/>
                <w:szCs w:val="22"/>
              </w:rPr>
            </w:pPr>
            <w:r w:rsidRPr="0069724E">
              <w:rPr>
                <w:rFonts w:ascii="Times New Roman CE" w:hAnsi="Times New Roman CE" w:cs="Times New Roman CE"/>
                <w:sz w:val="22"/>
                <w:szCs w:val="22"/>
              </w:rPr>
              <w:t xml:space="preserve">eFt </w:t>
            </w:r>
          </w:p>
        </w:tc>
      </w:tr>
      <w:tr w:rsidR="0069724E" w:rsidRPr="000A0A11" w:rsidTr="000A0A11">
        <w:trPr>
          <w:trHeight w:val="255"/>
        </w:trPr>
        <w:tc>
          <w:tcPr>
            <w:tcW w:w="3969" w:type="dxa"/>
            <w:gridSpan w:val="2"/>
            <w:tcBorders>
              <w:top w:val="nil"/>
              <w:left w:val="nil"/>
              <w:bottom w:val="nil"/>
              <w:right w:val="nil"/>
            </w:tcBorders>
            <w:shd w:val="clear" w:color="auto" w:fill="auto"/>
            <w:noWrap/>
            <w:vAlign w:val="bottom"/>
            <w:hideMark/>
          </w:tcPr>
          <w:p w:rsidR="0069724E" w:rsidRPr="000A0A11" w:rsidRDefault="0069724E" w:rsidP="0069724E">
            <w:pPr>
              <w:jc w:val="right"/>
              <w:rPr>
                <w:rFonts w:ascii="Times New Roman CE" w:hAnsi="Times New Roman CE" w:cs="Times New Roman CE"/>
                <w:sz w:val="21"/>
                <w:szCs w:val="21"/>
              </w:rPr>
            </w:pPr>
          </w:p>
        </w:tc>
        <w:tc>
          <w:tcPr>
            <w:tcW w:w="1036" w:type="dxa"/>
            <w:gridSpan w:val="3"/>
            <w:tcBorders>
              <w:top w:val="nil"/>
              <w:left w:val="nil"/>
              <w:bottom w:val="nil"/>
              <w:right w:val="nil"/>
            </w:tcBorders>
            <w:shd w:val="clear" w:color="auto" w:fill="auto"/>
            <w:noWrap/>
            <w:vAlign w:val="bottom"/>
            <w:hideMark/>
          </w:tcPr>
          <w:p w:rsidR="0069724E" w:rsidRPr="000A0A11" w:rsidRDefault="0069724E" w:rsidP="0069724E">
            <w:pPr>
              <w:jc w:val="left"/>
              <w:rPr>
                <w:sz w:val="21"/>
                <w:szCs w:val="21"/>
              </w:rPr>
            </w:pPr>
          </w:p>
        </w:tc>
        <w:tc>
          <w:tcPr>
            <w:tcW w:w="3317" w:type="dxa"/>
            <w:gridSpan w:val="5"/>
            <w:tcBorders>
              <w:top w:val="nil"/>
              <w:left w:val="nil"/>
              <w:bottom w:val="single" w:sz="4" w:space="0" w:color="auto"/>
              <w:right w:val="nil"/>
            </w:tcBorders>
            <w:shd w:val="clear" w:color="auto" w:fill="auto"/>
            <w:noWrap/>
            <w:vAlign w:val="center"/>
            <w:hideMark/>
          </w:tcPr>
          <w:p w:rsidR="0069724E" w:rsidRPr="000A0A11" w:rsidRDefault="0069724E" w:rsidP="0069724E">
            <w:pPr>
              <w:jc w:val="center"/>
              <w:rPr>
                <w:rFonts w:ascii="Times New Roman CE" w:hAnsi="Times New Roman CE" w:cs="Times New Roman CE"/>
                <w:i/>
                <w:iCs/>
                <w:sz w:val="21"/>
                <w:szCs w:val="21"/>
              </w:rPr>
            </w:pPr>
            <w:r w:rsidRPr="000A0A11">
              <w:rPr>
                <w:rFonts w:ascii="Times New Roman CE" w:hAnsi="Times New Roman CE" w:cs="Times New Roman CE"/>
                <w:i/>
                <w:iCs/>
                <w:sz w:val="21"/>
                <w:szCs w:val="21"/>
              </w:rPr>
              <w:t>2022. év tény*</w:t>
            </w:r>
          </w:p>
        </w:tc>
        <w:tc>
          <w:tcPr>
            <w:tcW w:w="1396" w:type="dxa"/>
            <w:gridSpan w:val="3"/>
            <w:tcBorders>
              <w:top w:val="nil"/>
              <w:left w:val="nil"/>
              <w:bottom w:val="single" w:sz="4" w:space="0" w:color="auto"/>
              <w:right w:val="nil"/>
            </w:tcBorders>
            <w:shd w:val="clear" w:color="auto" w:fill="auto"/>
            <w:noWrap/>
            <w:vAlign w:val="bottom"/>
            <w:hideMark/>
          </w:tcPr>
          <w:p w:rsidR="0069724E" w:rsidRPr="000A0A11" w:rsidRDefault="0069724E" w:rsidP="0069724E">
            <w:pPr>
              <w:jc w:val="left"/>
              <w:rPr>
                <w:rFonts w:ascii="Times New Roman CE" w:hAnsi="Times New Roman CE" w:cs="Times New Roman CE"/>
                <w:i/>
                <w:iCs/>
                <w:sz w:val="21"/>
                <w:szCs w:val="21"/>
              </w:rPr>
            </w:pPr>
            <w:r w:rsidRPr="000A0A11">
              <w:rPr>
                <w:rFonts w:ascii="Times New Roman CE" w:hAnsi="Times New Roman CE" w:cs="Times New Roman CE"/>
                <w:i/>
                <w:iCs/>
                <w:sz w:val="21"/>
                <w:szCs w:val="21"/>
              </w:rPr>
              <w:t> </w:t>
            </w:r>
          </w:p>
        </w:tc>
      </w:tr>
      <w:tr w:rsidR="0069724E" w:rsidRPr="000A0A11" w:rsidTr="000A0A11">
        <w:trPr>
          <w:trHeight w:val="570"/>
        </w:trPr>
        <w:tc>
          <w:tcPr>
            <w:tcW w:w="3969" w:type="dxa"/>
            <w:gridSpan w:val="2"/>
            <w:tcBorders>
              <w:top w:val="nil"/>
              <w:left w:val="nil"/>
              <w:bottom w:val="single" w:sz="4" w:space="0" w:color="auto"/>
              <w:right w:val="nil"/>
            </w:tcBorders>
            <w:shd w:val="clear" w:color="auto" w:fill="auto"/>
            <w:noWrap/>
            <w:vAlign w:val="bottom"/>
            <w:hideMark/>
          </w:tcPr>
          <w:p w:rsidR="0069724E" w:rsidRPr="000A0A11" w:rsidRDefault="0069724E" w:rsidP="0069724E">
            <w:pPr>
              <w:jc w:val="left"/>
              <w:rPr>
                <w:rFonts w:ascii="Times New Roman CE" w:hAnsi="Times New Roman CE" w:cs="Times New Roman CE"/>
                <w:i/>
                <w:iCs/>
                <w:sz w:val="21"/>
                <w:szCs w:val="21"/>
              </w:rPr>
            </w:pPr>
            <w:r w:rsidRPr="000A0A11">
              <w:rPr>
                <w:rFonts w:ascii="Times New Roman CE" w:hAnsi="Times New Roman CE" w:cs="Times New Roman CE"/>
                <w:i/>
                <w:iCs/>
                <w:sz w:val="21"/>
                <w:szCs w:val="21"/>
              </w:rPr>
              <w:t> </w:t>
            </w:r>
          </w:p>
        </w:tc>
        <w:tc>
          <w:tcPr>
            <w:tcW w:w="1036" w:type="dxa"/>
            <w:gridSpan w:val="3"/>
            <w:tcBorders>
              <w:top w:val="nil"/>
              <w:left w:val="nil"/>
              <w:bottom w:val="single" w:sz="4" w:space="0" w:color="auto"/>
              <w:right w:val="nil"/>
            </w:tcBorders>
            <w:shd w:val="clear" w:color="auto" w:fill="auto"/>
            <w:hideMark/>
          </w:tcPr>
          <w:p w:rsidR="0069724E" w:rsidRPr="000A0A11" w:rsidRDefault="0069724E" w:rsidP="0069724E">
            <w:pPr>
              <w:jc w:val="center"/>
              <w:rPr>
                <w:rFonts w:ascii="Times New Roman CE" w:hAnsi="Times New Roman CE" w:cs="Times New Roman CE"/>
                <w:i/>
                <w:iCs/>
                <w:sz w:val="21"/>
                <w:szCs w:val="21"/>
              </w:rPr>
            </w:pPr>
            <w:r w:rsidRPr="000A0A11">
              <w:rPr>
                <w:rFonts w:ascii="Times New Roman CE" w:hAnsi="Times New Roman CE" w:cs="Times New Roman CE"/>
                <w:i/>
                <w:iCs/>
                <w:sz w:val="21"/>
                <w:szCs w:val="21"/>
              </w:rPr>
              <w:t>2022. év</w:t>
            </w:r>
            <w:r w:rsidRPr="000A0A11">
              <w:rPr>
                <w:rFonts w:ascii="Times New Roman CE" w:hAnsi="Times New Roman CE" w:cs="Times New Roman CE"/>
                <w:i/>
                <w:iCs/>
                <w:sz w:val="21"/>
                <w:szCs w:val="21"/>
              </w:rPr>
              <w:br/>
              <w:t>terv*</w:t>
            </w:r>
          </w:p>
        </w:tc>
        <w:tc>
          <w:tcPr>
            <w:tcW w:w="1941" w:type="dxa"/>
            <w:gridSpan w:val="3"/>
            <w:tcBorders>
              <w:top w:val="nil"/>
              <w:left w:val="nil"/>
              <w:bottom w:val="single" w:sz="4" w:space="0" w:color="auto"/>
              <w:right w:val="nil"/>
            </w:tcBorders>
            <w:shd w:val="clear" w:color="auto" w:fill="auto"/>
            <w:vAlign w:val="center"/>
            <w:hideMark/>
          </w:tcPr>
          <w:p w:rsidR="0069724E" w:rsidRPr="000A0A11" w:rsidRDefault="0069724E" w:rsidP="0069724E">
            <w:pPr>
              <w:jc w:val="center"/>
              <w:rPr>
                <w:rFonts w:ascii="Times New Roman CE" w:hAnsi="Times New Roman CE" w:cs="Times New Roman CE"/>
                <w:i/>
                <w:iCs/>
                <w:sz w:val="21"/>
                <w:szCs w:val="21"/>
              </w:rPr>
            </w:pPr>
            <w:r w:rsidRPr="000A0A11">
              <w:rPr>
                <w:rFonts w:ascii="Times New Roman CE" w:hAnsi="Times New Roman CE" w:cs="Times New Roman CE"/>
                <w:i/>
                <w:iCs/>
                <w:sz w:val="21"/>
                <w:szCs w:val="21"/>
              </w:rPr>
              <w:t>Lekötött összeg</w:t>
            </w:r>
            <w:r w:rsidRPr="000A0A11">
              <w:rPr>
                <w:rFonts w:ascii="Times New Roman CE" w:hAnsi="Times New Roman CE" w:cs="Times New Roman CE"/>
                <w:i/>
                <w:iCs/>
                <w:sz w:val="21"/>
                <w:szCs w:val="21"/>
              </w:rPr>
              <w:br/>
              <w:t>(leszáml. összeggel)</w:t>
            </w:r>
          </w:p>
        </w:tc>
        <w:tc>
          <w:tcPr>
            <w:tcW w:w="1376" w:type="dxa"/>
            <w:gridSpan w:val="2"/>
            <w:tcBorders>
              <w:top w:val="nil"/>
              <w:left w:val="nil"/>
              <w:bottom w:val="single" w:sz="4" w:space="0" w:color="auto"/>
              <w:right w:val="nil"/>
            </w:tcBorders>
            <w:shd w:val="clear" w:color="auto" w:fill="auto"/>
            <w:vAlign w:val="center"/>
            <w:hideMark/>
          </w:tcPr>
          <w:p w:rsidR="0069724E" w:rsidRPr="000A0A11" w:rsidRDefault="0069724E" w:rsidP="0069724E">
            <w:pPr>
              <w:jc w:val="center"/>
              <w:rPr>
                <w:rFonts w:ascii="Times New Roman CE" w:hAnsi="Times New Roman CE" w:cs="Times New Roman CE"/>
                <w:i/>
                <w:iCs/>
                <w:sz w:val="21"/>
                <w:szCs w:val="21"/>
              </w:rPr>
            </w:pPr>
            <w:r w:rsidRPr="000A0A11">
              <w:rPr>
                <w:rFonts w:ascii="Times New Roman CE" w:hAnsi="Times New Roman CE" w:cs="Times New Roman CE"/>
                <w:i/>
                <w:iCs/>
                <w:sz w:val="21"/>
                <w:szCs w:val="21"/>
              </w:rPr>
              <w:t>Leszámlázott összeg</w:t>
            </w:r>
          </w:p>
        </w:tc>
        <w:tc>
          <w:tcPr>
            <w:tcW w:w="1396" w:type="dxa"/>
            <w:gridSpan w:val="3"/>
            <w:tcBorders>
              <w:top w:val="nil"/>
              <w:left w:val="nil"/>
              <w:bottom w:val="single" w:sz="4" w:space="0" w:color="auto"/>
              <w:right w:val="nil"/>
            </w:tcBorders>
            <w:shd w:val="clear" w:color="auto" w:fill="auto"/>
            <w:vAlign w:val="center"/>
            <w:hideMark/>
          </w:tcPr>
          <w:p w:rsidR="0069724E" w:rsidRPr="000A0A11" w:rsidRDefault="0069724E" w:rsidP="0069724E">
            <w:pPr>
              <w:jc w:val="center"/>
              <w:rPr>
                <w:rFonts w:ascii="Times New Roman CE" w:hAnsi="Times New Roman CE" w:cs="Times New Roman CE"/>
                <w:i/>
                <w:iCs/>
                <w:sz w:val="21"/>
                <w:szCs w:val="21"/>
              </w:rPr>
            </w:pPr>
            <w:r w:rsidRPr="000A0A11">
              <w:rPr>
                <w:rFonts w:ascii="Times New Roman CE" w:hAnsi="Times New Roman CE" w:cs="Times New Roman CE"/>
                <w:i/>
                <w:iCs/>
                <w:sz w:val="21"/>
                <w:szCs w:val="21"/>
              </w:rPr>
              <w:t>Lekötött összeg/terv</w:t>
            </w:r>
          </w:p>
        </w:tc>
      </w:tr>
      <w:tr w:rsidR="0069724E" w:rsidRPr="000A0A11" w:rsidTr="000A0A11">
        <w:trPr>
          <w:gridAfter w:val="2"/>
          <w:wAfter w:w="334" w:type="dxa"/>
          <w:trHeight w:val="345"/>
        </w:trPr>
        <w:tc>
          <w:tcPr>
            <w:tcW w:w="3969" w:type="dxa"/>
            <w:gridSpan w:val="2"/>
            <w:tcBorders>
              <w:top w:val="nil"/>
              <w:left w:val="nil"/>
              <w:bottom w:val="nil"/>
              <w:right w:val="nil"/>
            </w:tcBorders>
            <w:shd w:val="clear" w:color="auto" w:fill="auto"/>
            <w:vAlign w:val="bottom"/>
            <w:hideMark/>
          </w:tcPr>
          <w:p w:rsidR="0069724E" w:rsidRPr="000A0A11" w:rsidRDefault="0069724E" w:rsidP="0069724E">
            <w:pPr>
              <w:jc w:val="left"/>
              <w:rPr>
                <w:rFonts w:ascii="Times New Roman CE" w:hAnsi="Times New Roman CE" w:cs="Times New Roman CE"/>
                <w:sz w:val="21"/>
                <w:szCs w:val="21"/>
              </w:rPr>
            </w:pPr>
            <w:r w:rsidRPr="000A0A11">
              <w:rPr>
                <w:rFonts w:ascii="Times New Roman CE" w:hAnsi="Times New Roman CE" w:cs="Times New Roman CE"/>
                <w:sz w:val="21"/>
                <w:szCs w:val="21"/>
              </w:rPr>
              <w:t>Önkorm. víziközművek ép.-szer. munkái</w:t>
            </w:r>
          </w:p>
        </w:tc>
        <w:tc>
          <w:tcPr>
            <w:tcW w:w="1036" w:type="dxa"/>
            <w:gridSpan w:val="3"/>
            <w:tcBorders>
              <w:top w:val="nil"/>
              <w:left w:val="nil"/>
              <w:bottom w:val="nil"/>
              <w:right w:val="nil"/>
            </w:tcBorders>
            <w:shd w:val="clear" w:color="auto" w:fill="auto"/>
            <w:noWrap/>
            <w:vAlign w:val="bottom"/>
            <w:hideMark/>
          </w:tcPr>
          <w:p w:rsidR="0069724E" w:rsidRPr="000A0A11" w:rsidRDefault="0069724E" w:rsidP="0069724E">
            <w:pPr>
              <w:jc w:val="right"/>
              <w:rPr>
                <w:rFonts w:ascii="Times New Roman CE" w:hAnsi="Times New Roman CE" w:cs="Times New Roman CE"/>
                <w:sz w:val="21"/>
                <w:szCs w:val="21"/>
              </w:rPr>
            </w:pPr>
            <w:r w:rsidRPr="000A0A11">
              <w:rPr>
                <w:rFonts w:ascii="Times New Roman CE" w:hAnsi="Times New Roman CE" w:cs="Times New Roman CE"/>
                <w:sz w:val="21"/>
                <w:szCs w:val="21"/>
              </w:rPr>
              <w:t>819 681</w:t>
            </w:r>
          </w:p>
        </w:tc>
        <w:tc>
          <w:tcPr>
            <w:tcW w:w="1445" w:type="dxa"/>
            <w:tcBorders>
              <w:top w:val="nil"/>
              <w:left w:val="nil"/>
              <w:bottom w:val="nil"/>
              <w:right w:val="nil"/>
            </w:tcBorders>
            <w:shd w:val="clear" w:color="auto" w:fill="auto"/>
            <w:noWrap/>
            <w:vAlign w:val="bottom"/>
            <w:hideMark/>
          </w:tcPr>
          <w:p w:rsidR="0069724E" w:rsidRPr="000A0A11" w:rsidRDefault="0069724E" w:rsidP="0069724E">
            <w:pPr>
              <w:jc w:val="right"/>
              <w:rPr>
                <w:rFonts w:ascii="Times New Roman CE" w:hAnsi="Times New Roman CE" w:cs="Times New Roman CE"/>
                <w:sz w:val="21"/>
                <w:szCs w:val="21"/>
              </w:rPr>
            </w:pPr>
            <w:r w:rsidRPr="000A0A11">
              <w:rPr>
                <w:rFonts w:ascii="Times New Roman CE" w:hAnsi="Times New Roman CE" w:cs="Times New Roman CE"/>
                <w:sz w:val="21"/>
                <w:szCs w:val="21"/>
              </w:rPr>
              <w:t>803 086</w:t>
            </w:r>
          </w:p>
        </w:tc>
        <w:tc>
          <w:tcPr>
            <w:tcW w:w="1659" w:type="dxa"/>
            <w:gridSpan w:val="3"/>
            <w:tcBorders>
              <w:top w:val="nil"/>
              <w:left w:val="nil"/>
              <w:bottom w:val="nil"/>
              <w:right w:val="nil"/>
            </w:tcBorders>
            <w:shd w:val="clear" w:color="auto" w:fill="auto"/>
            <w:noWrap/>
            <w:vAlign w:val="bottom"/>
            <w:hideMark/>
          </w:tcPr>
          <w:p w:rsidR="0069724E" w:rsidRPr="000A0A11" w:rsidRDefault="0069724E" w:rsidP="0069724E">
            <w:pPr>
              <w:jc w:val="right"/>
              <w:rPr>
                <w:rFonts w:ascii="Times New Roman CE" w:hAnsi="Times New Roman CE" w:cs="Times New Roman CE"/>
                <w:sz w:val="21"/>
                <w:szCs w:val="21"/>
              </w:rPr>
            </w:pPr>
            <w:r w:rsidRPr="000A0A11">
              <w:rPr>
                <w:rFonts w:ascii="Times New Roman CE" w:hAnsi="Times New Roman CE" w:cs="Times New Roman CE"/>
                <w:sz w:val="21"/>
                <w:szCs w:val="21"/>
              </w:rPr>
              <w:t>476 506</w:t>
            </w:r>
          </w:p>
        </w:tc>
        <w:tc>
          <w:tcPr>
            <w:tcW w:w="1275" w:type="dxa"/>
            <w:gridSpan w:val="2"/>
            <w:tcBorders>
              <w:top w:val="nil"/>
              <w:left w:val="nil"/>
              <w:bottom w:val="nil"/>
              <w:right w:val="nil"/>
            </w:tcBorders>
            <w:shd w:val="clear" w:color="auto" w:fill="auto"/>
            <w:noWrap/>
            <w:vAlign w:val="bottom"/>
            <w:hideMark/>
          </w:tcPr>
          <w:p w:rsidR="0069724E" w:rsidRPr="000A0A11" w:rsidRDefault="0069724E" w:rsidP="0069724E">
            <w:pPr>
              <w:jc w:val="right"/>
              <w:rPr>
                <w:rFonts w:ascii="Times New Roman CE" w:hAnsi="Times New Roman CE" w:cs="Times New Roman CE"/>
                <w:sz w:val="21"/>
                <w:szCs w:val="21"/>
              </w:rPr>
            </w:pPr>
            <w:r w:rsidRPr="000A0A11">
              <w:rPr>
                <w:rFonts w:ascii="Times New Roman CE" w:hAnsi="Times New Roman CE" w:cs="Times New Roman CE"/>
                <w:sz w:val="21"/>
                <w:szCs w:val="21"/>
              </w:rPr>
              <w:t>98,0%</w:t>
            </w:r>
          </w:p>
        </w:tc>
      </w:tr>
      <w:tr w:rsidR="0069724E" w:rsidRPr="000A0A11" w:rsidTr="000A0A11">
        <w:trPr>
          <w:gridAfter w:val="2"/>
          <w:wAfter w:w="334" w:type="dxa"/>
          <w:trHeight w:val="255"/>
        </w:trPr>
        <w:tc>
          <w:tcPr>
            <w:tcW w:w="3969" w:type="dxa"/>
            <w:gridSpan w:val="2"/>
            <w:tcBorders>
              <w:top w:val="nil"/>
              <w:left w:val="nil"/>
              <w:bottom w:val="nil"/>
              <w:right w:val="nil"/>
            </w:tcBorders>
            <w:shd w:val="clear" w:color="auto" w:fill="auto"/>
            <w:noWrap/>
            <w:vAlign w:val="bottom"/>
            <w:hideMark/>
          </w:tcPr>
          <w:p w:rsidR="0069724E" w:rsidRPr="000A0A11" w:rsidRDefault="0069724E" w:rsidP="0069724E">
            <w:pPr>
              <w:jc w:val="left"/>
              <w:rPr>
                <w:rFonts w:ascii="Times New Roman CE" w:hAnsi="Times New Roman CE" w:cs="Times New Roman CE"/>
                <w:sz w:val="21"/>
                <w:szCs w:val="21"/>
              </w:rPr>
            </w:pPr>
            <w:r w:rsidRPr="000A0A11">
              <w:rPr>
                <w:rFonts w:ascii="Times New Roman CE" w:hAnsi="Times New Roman CE" w:cs="Times New Roman CE"/>
                <w:sz w:val="21"/>
                <w:szCs w:val="21"/>
              </w:rPr>
              <w:t>ebből: vízközmű-használati díj terhére</w:t>
            </w:r>
          </w:p>
        </w:tc>
        <w:tc>
          <w:tcPr>
            <w:tcW w:w="1036" w:type="dxa"/>
            <w:gridSpan w:val="3"/>
            <w:tcBorders>
              <w:top w:val="nil"/>
              <w:left w:val="nil"/>
              <w:bottom w:val="nil"/>
              <w:right w:val="nil"/>
            </w:tcBorders>
            <w:shd w:val="clear" w:color="auto" w:fill="auto"/>
            <w:noWrap/>
            <w:vAlign w:val="bottom"/>
            <w:hideMark/>
          </w:tcPr>
          <w:p w:rsidR="0069724E" w:rsidRPr="000A0A11" w:rsidRDefault="0069724E" w:rsidP="0069724E">
            <w:pPr>
              <w:jc w:val="right"/>
              <w:rPr>
                <w:rFonts w:ascii="Times New Roman CE" w:hAnsi="Times New Roman CE" w:cs="Times New Roman CE"/>
                <w:sz w:val="21"/>
                <w:szCs w:val="21"/>
              </w:rPr>
            </w:pPr>
            <w:r w:rsidRPr="000A0A11">
              <w:rPr>
                <w:rFonts w:ascii="Times New Roman CE" w:hAnsi="Times New Roman CE" w:cs="Times New Roman CE"/>
                <w:sz w:val="21"/>
                <w:szCs w:val="21"/>
              </w:rPr>
              <w:t>152 606</w:t>
            </w:r>
          </w:p>
        </w:tc>
        <w:tc>
          <w:tcPr>
            <w:tcW w:w="1445" w:type="dxa"/>
            <w:tcBorders>
              <w:top w:val="nil"/>
              <w:left w:val="nil"/>
              <w:bottom w:val="nil"/>
              <w:right w:val="nil"/>
            </w:tcBorders>
            <w:shd w:val="clear" w:color="auto" w:fill="auto"/>
            <w:noWrap/>
            <w:vAlign w:val="bottom"/>
            <w:hideMark/>
          </w:tcPr>
          <w:p w:rsidR="0069724E" w:rsidRPr="000A0A11" w:rsidRDefault="0069724E" w:rsidP="0069724E">
            <w:pPr>
              <w:jc w:val="right"/>
              <w:rPr>
                <w:rFonts w:ascii="Times New Roman CE" w:hAnsi="Times New Roman CE" w:cs="Times New Roman CE"/>
                <w:sz w:val="21"/>
                <w:szCs w:val="21"/>
              </w:rPr>
            </w:pPr>
            <w:r w:rsidRPr="000A0A11">
              <w:rPr>
                <w:rFonts w:ascii="Times New Roman CE" w:hAnsi="Times New Roman CE" w:cs="Times New Roman CE"/>
                <w:sz w:val="21"/>
                <w:szCs w:val="21"/>
              </w:rPr>
              <w:t>161 049</w:t>
            </w:r>
          </w:p>
        </w:tc>
        <w:tc>
          <w:tcPr>
            <w:tcW w:w="1659" w:type="dxa"/>
            <w:gridSpan w:val="3"/>
            <w:tcBorders>
              <w:top w:val="nil"/>
              <w:left w:val="nil"/>
              <w:bottom w:val="nil"/>
              <w:right w:val="nil"/>
            </w:tcBorders>
            <w:shd w:val="clear" w:color="auto" w:fill="auto"/>
            <w:noWrap/>
            <w:vAlign w:val="bottom"/>
            <w:hideMark/>
          </w:tcPr>
          <w:p w:rsidR="0069724E" w:rsidRPr="000A0A11" w:rsidRDefault="0069724E" w:rsidP="0069724E">
            <w:pPr>
              <w:jc w:val="right"/>
              <w:rPr>
                <w:rFonts w:ascii="Times New Roman CE" w:hAnsi="Times New Roman CE" w:cs="Times New Roman CE"/>
                <w:sz w:val="21"/>
                <w:szCs w:val="21"/>
              </w:rPr>
            </w:pPr>
            <w:r w:rsidRPr="000A0A11">
              <w:rPr>
                <w:rFonts w:ascii="Times New Roman CE" w:hAnsi="Times New Roman CE" w:cs="Times New Roman CE"/>
                <w:sz w:val="21"/>
                <w:szCs w:val="21"/>
              </w:rPr>
              <w:t>143 140</w:t>
            </w:r>
          </w:p>
        </w:tc>
        <w:tc>
          <w:tcPr>
            <w:tcW w:w="1275" w:type="dxa"/>
            <w:gridSpan w:val="2"/>
            <w:tcBorders>
              <w:top w:val="nil"/>
              <w:left w:val="nil"/>
              <w:bottom w:val="nil"/>
              <w:right w:val="nil"/>
            </w:tcBorders>
            <w:shd w:val="clear" w:color="auto" w:fill="auto"/>
            <w:noWrap/>
            <w:vAlign w:val="bottom"/>
            <w:hideMark/>
          </w:tcPr>
          <w:p w:rsidR="0069724E" w:rsidRPr="000A0A11" w:rsidRDefault="0069724E" w:rsidP="0069724E">
            <w:pPr>
              <w:jc w:val="right"/>
              <w:rPr>
                <w:rFonts w:ascii="Times New Roman CE" w:hAnsi="Times New Roman CE" w:cs="Times New Roman CE"/>
                <w:sz w:val="21"/>
                <w:szCs w:val="21"/>
              </w:rPr>
            </w:pPr>
            <w:r w:rsidRPr="000A0A11">
              <w:rPr>
                <w:rFonts w:ascii="Times New Roman CE" w:hAnsi="Times New Roman CE" w:cs="Times New Roman CE"/>
                <w:sz w:val="21"/>
                <w:szCs w:val="21"/>
              </w:rPr>
              <w:t>105,5%</w:t>
            </w:r>
          </w:p>
        </w:tc>
      </w:tr>
      <w:tr w:rsidR="0069724E" w:rsidRPr="000A0A11" w:rsidTr="000A0A11">
        <w:trPr>
          <w:gridAfter w:val="2"/>
          <w:wAfter w:w="334" w:type="dxa"/>
          <w:trHeight w:val="255"/>
        </w:trPr>
        <w:tc>
          <w:tcPr>
            <w:tcW w:w="4041" w:type="dxa"/>
            <w:gridSpan w:val="3"/>
            <w:tcBorders>
              <w:top w:val="nil"/>
              <w:left w:val="nil"/>
              <w:bottom w:val="nil"/>
              <w:right w:val="nil"/>
            </w:tcBorders>
            <w:shd w:val="clear" w:color="auto" w:fill="auto"/>
            <w:noWrap/>
            <w:vAlign w:val="bottom"/>
            <w:hideMark/>
          </w:tcPr>
          <w:p w:rsidR="0069724E" w:rsidRPr="000A0A11" w:rsidRDefault="0069724E" w:rsidP="0069724E">
            <w:pPr>
              <w:jc w:val="left"/>
              <w:rPr>
                <w:rFonts w:ascii="Times New Roman CE" w:hAnsi="Times New Roman CE" w:cs="Times New Roman CE"/>
                <w:sz w:val="21"/>
                <w:szCs w:val="21"/>
              </w:rPr>
            </w:pPr>
            <w:r w:rsidRPr="000A0A11">
              <w:rPr>
                <w:rFonts w:ascii="Times New Roman CE" w:hAnsi="Times New Roman CE" w:cs="Times New Roman CE"/>
                <w:sz w:val="21"/>
                <w:szCs w:val="21"/>
              </w:rPr>
              <w:t xml:space="preserve">            szennyvízközmű-használati díj terhére</w:t>
            </w:r>
          </w:p>
        </w:tc>
        <w:tc>
          <w:tcPr>
            <w:tcW w:w="964" w:type="dxa"/>
            <w:gridSpan w:val="2"/>
            <w:tcBorders>
              <w:top w:val="nil"/>
              <w:left w:val="nil"/>
              <w:bottom w:val="nil"/>
              <w:right w:val="nil"/>
            </w:tcBorders>
            <w:shd w:val="clear" w:color="auto" w:fill="auto"/>
            <w:noWrap/>
            <w:vAlign w:val="bottom"/>
            <w:hideMark/>
          </w:tcPr>
          <w:p w:rsidR="0069724E" w:rsidRPr="000A0A11" w:rsidRDefault="0069724E" w:rsidP="0069724E">
            <w:pPr>
              <w:jc w:val="right"/>
              <w:rPr>
                <w:rFonts w:ascii="Times New Roman CE" w:hAnsi="Times New Roman CE" w:cs="Times New Roman CE"/>
                <w:sz w:val="21"/>
                <w:szCs w:val="21"/>
              </w:rPr>
            </w:pPr>
            <w:r w:rsidRPr="000A0A11">
              <w:rPr>
                <w:rFonts w:ascii="Times New Roman CE" w:hAnsi="Times New Roman CE" w:cs="Times New Roman CE"/>
                <w:sz w:val="21"/>
                <w:szCs w:val="21"/>
              </w:rPr>
              <w:t>667 075</w:t>
            </w:r>
          </w:p>
        </w:tc>
        <w:tc>
          <w:tcPr>
            <w:tcW w:w="1445" w:type="dxa"/>
            <w:tcBorders>
              <w:top w:val="nil"/>
              <w:left w:val="nil"/>
              <w:bottom w:val="nil"/>
              <w:right w:val="nil"/>
            </w:tcBorders>
            <w:shd w:val="clear" w:color="auto" w:fill="auto"/>
            <w:noWrap/>
            <w:vAlign w:val="bottom"/>
            <w:hideMark/>
          </w:tcPr>
          <w:p w:rsidR="0069724E" w:rsidRPr="000A0A11" w:rsidRDefault="0069724E" w:rsidP="0069724E">
            <w:pPr>
              <w:jc w:val="right"/>
              <w:rPr>
                <w:rFonts w:ascii="Times New Roman CE" w:hAnsi="Times New Roman CE" w:cs="Times New Roman CE"/>
                <w:sz w:val="21"/>
                <w:szCs w:val="21"/>
              </w:rPr>
            </w:pPr>
            <w:r w:rsidRPr="000A0A11">
              <w:rPr>
                <w:rFonts w:ascii="Times New Roman CE" w:hAnsi="Times New Roman CE" w:cs="Times New Roman CE"/>
                <w:sz w:val="21"/>
                <w:szCs w:val="21"/>
              </w:rPr>
              <w:t>642 036</w:t>
            </w:r>
          </w:p>
        </w:tc>
        <w:tc>
          <w:tcPr>
            <w:tcW w:w="1659" w:type="dxa"/>
            <w:gridSpan w:val="3"/>
            <w:tcBorders>
              <w:top w:val="nil"/>
              <w:left w:val="nil"/>
              <w:bottom w:val="nil"/>
              <w:right w:val="nil"/>
            </w:tcBorders>
            <w:shd w:val="clear" w:color="auto" w:fill="auto"/>
            <w:noWrap/>
            <w:vAlign w:val="bottom"/>
            <w:hideMark/>
          </w:tcPr>
          <w:p w:rsidR="0069724E" w:rsidRPr="000A0A11" w:rsidRDefault="0069724E" w:rsidP="0069724E">
            <w:pPr>
              <w:jc w:val="right"/>
              <w:rPr>
                <w:rFonts w:ascii="Times New Roman CE" w:hAnsi="Times New Roman CE" w:cs="Times New Roman CE"/>
                <w:sz w:val="21"/>
                <w:szCs w:val="21"/>
              </w:rPr>
            </w:pPr>
            <w:r w:rsidRPr="000A0A11">
              <w:rPr>
                <w:rFonts w:ascii="Times New Roman CE" w:hAnsi="Times New Roman CE" w:cs="Times New Roman CE"/>
                <w:sz w:val="21"/>
                <w:szCs w:val="21"/>
              </w:rPr>
              <w:t>333 366</w:t>
            </w:r>
          </w:p>
        </w:tc>
        <w:tc>
          <w:tcPr>
            <w:tcW w:w="1275" w:type="dxa"/>
            <w:gridSpan w:val="2"/>
            <w:tcBorders>
              <w:top w:val="nil"/>
              <w:left w:val="nil"/>
              <w:bottom w:val="nil"/>
              <w:right w:val="nil"/>
            </w:tcBorders>
            <w:shd w:val="clear" w:color="auto" w:fill="auto"/>
            <w:noWrap/>
            <w:vAlign w:val="bottom"/>
            <w:hideMark/>
          </w:tcPr>
          <w:p w:rsidR="0069724E" w:rsidRPr="000A0A11" w:rsidRDefault="0069724E" w:rsidP="0069724E">
            <w:pPr>
              <w:jc w:val="right"/>
              <w:rPr>
                <w:rFonts w:ascii="Times New Roman CE" w:hAnsi="Times New Roman CE" w:cs="Times New Roman CE"/>
                <w:sz w:val="21"/>
                <w:szCs w:val="21"/>
              </w:rPr>
            </w:pPr>
            <w:r w:rsidRPr="000A0A11">
              <w:rPr>
                <w:rFonts w:ascii="Times New Roman CE" w:hAnsi="Times New Roman CE" w:cs="Times New Roman CE"/>
                <w:sz w:val="21"/>
                <w:szCs w:val="21"/>
              </w:rPr>
              <w:t>96,2%</w:t>
            </w:r>
          </w:p>
        </w:tc>
      </w:tr>
      <w:tr w:rsidR="0069724E" w:rsidRPr="000A0A11" w:rsidTr="000A0A11">
        <w:trPr>
          <w:gridAfter w:val="2"/>
          <w:wAfter w:w="334" w:type="dxa"/>
          <w:trHeight w:val="300"/>
        </w:trPr>
        <w:tc>
          <w:tcPr>
            <w:tcW w:w="3969" w:type="dxa"/>
            <w:gridSpan w:val="2"/>
            <w:tcBorders>
              <w:top w:val="nil"/>
              <w:left w:val="nil"/>
              <w:bottom w:val="single" w:sz="4" w:space="0" w:color="auto"/>
              <w:right w:val="nil"/>
            </w:tcBorders>
            <w:shd w:val="clear" w:color="auto" w:fill="auto"/>
            <w:noWrap/>
            <w:vAlign w:val="bottom"/>
            <w:hideMark/>
          </w:tcPr>
          <w:p w:rsidR="0069724E" w:rsidRPr="000A0A11" w:rsidRDefault="0069724E" w:rsidP="0069724E">
            <w:pPr>
              <w:jc w:val="left"/>
              <w:rPr>
                <w:rFonts w:ascii="Times New Roman CE" w:hAnsi="Times New Roman CE" w:cs="Times New Roman CE"/>
                <w:sz w:val="21"/>
                <w:szCs w:val="21"/>
              </w:rPr>
            </w:pPr>
            <w:r w:rsidRPr="000A0A11">
              <w:rPr>
                <w:rFonts w:ascii="Times New Roman CE" w:hAnsi="Times New Roman CE" w:cs="Times New Roman CE"/>
                <w:sz w:val="21"/>
                <w:szCs w:val="21"/>
              </w:rPr>
              <w:t>Egyéb megrendelésre végzett ép.ip.tev.</w:t>
            </w:r>
          </w:p>
        </w:tc>
        <w:tc>
          <w:tcPr>
            <w:tcW w:w="1036" w:type="dxa"/>
            <w:gridSpan w:val="3"/>
            <w:tcBorders>
              <w:top w:val="nil"/>
              <w:left w:val="nil"/>
              <w:bottom w:val="single" w:sz="4" w:space="0" w:color="auto"/>
              <w:right w:val="nil"/>
            </w:tcBorders>
            <w:shd w:val="clear" w:color="auto" w:fill="auto"/>
            <w:noWrap/>
            <w:vAlign w:val="bottom"/>
            <w:hideMark/>
          </w:tcPr>
          <w:p w:rsidR="0069724E" w:rsidRPr="000A0A11" w:rsidRDefault="0069724E" w:rsidP="0069724E">
            <w:pPr>
              <w:jc w:val="right"/>
              <w:rPr>
                <w:rFonts w:ascii="Times New Roman CE" w:hAnsi="Times New Roman CE" w:cs="Times New Roman CE"/>
                <w:sz w:val="21"/>
                <w:szCs w:val="21"/>
              </w:rPr>
            </w:pPr>
            <w:r w:rsidRPr="000A0A11">
              <w:rPr>
                <w:rFonts w:ascii="Times New Roman CE" w:hAnsi="Times New Roman CE" w:cs="Times New Roman CE"/>
                <w:sz w:val="21"/>
                <w:szCs w:val="21"/>
              </w:rPr>
              <w:t>243 630</w:t>
            </w:r>
          </w:p>
        </w:tc>
        <w:tc>
          <w:tcPr>
            <w:tcW w:w="1445" w:type="dxa"/>
            <w:tcBorders>
              <w:top w:val="nil"/>
              <w:left w:val="nil"/>
              <w:bottom w:val="single" w:sz="4" w:space="0" w:color="auto"/>
              <w:right w:val="nil"/>
            </w:tcBorders>
            <w:shd w:val="clear" w:color="auto" w:fill="auto"/>
            <w:noWrap/>
            <w:vAlign w:val="bottom"/>
            <w:hideMark/>
          </w:tcPr>
          <w:p w:rsidR="0069724E" w:rsidRPr="000A0A11" w:rsidRDefault="0069724E" w:rsidP="0069724E">
            <w:pPr>
              <w:jc w:val="right"/>
              <w:rPr>
                <w:rFonts w:ascii="Times New Roman CE" w:hAnsi="Times New Roman CE" w:cs="Times New Roman CE"/>
                <w:sz w:val="21"/>
                <w:szCs w:val="21"/>
              </w:rPr>
            </w:pPr>
            <w:r w:rsidRPr="000A0A11">
              <w:rPr>
                <w:rFonts w:ascii="Times New Roman CE" w:hAnsi="Times New Roman CE" w:cs="Times New Roman CE"/>
                <w:sz w:val="21"/>
                <w:szCs w:val="21"/>
              </w:rPr>
              <w:t>380 020</w:t>
            </w:r>
          </w:p>
        </w:tc>
        <w:tc>
          <w:tcPr>
            <w:tcW w:w="1659" w:type="dxa"/>
            <w:gridSpan w:val="3"/>
            <w:tcBorders>
              <w:top w:val="nil"/>
              <w:left w:val="nil"/>
              <w:bottom w:val="single" w:sz="4" w:space="0" w:color="auto"/>
              <w:right w:val="nil"/>
            </w:tcBorders>
            <w:shd w:val="clear" w:color="auto" w:fill="auto"/>
            <w:noWrap/>
            <w:vAlign w:val="bottom"/>
            <w:hideMark/>
          </w:tcPr>
          <w:p w:rsidR="0069724E" w:rsidRPr="000A0A11" w:rsidRDefault="0069724E" w:rsidP="0069724E">
            <w:pPr>
              <w:jc w:val="right"/>
              <w:rPr>
                <w:rFonts w:ascii="Times New Roman CE" w:hAnsi="Times New Roman CE" w:cs="Times New Roman CE"/>
                <w:sz w:val="21"/>
                <w:szCs w:val="21"/>
              </w:rPr>
            </w:pPr>
            <w:r w:rsidRPr="000A0A11">
              <w:rPr>
                <w:rFonts w:ascii="Times New Roman CE" w:hAnsi="Times New Roman CE" w:cs="Times New Roman CE"/>
                <w:sz w:val="21"/>
                <w:szCs w:val="21"/>
              </w:rPr>
              <w:t>379 518</w:t>
            </w:r>
          </w:p>
        </w:tc>
        <w:tc>
          <w:tcPr>
            <w:tcW w:w="1275" w:type="dxa"/>
            <w:gridSpan w:val="2"/>
            <w:tcBorders>
              <w:top w:val="nil"/>
              <w:left w:val="nil"/>
              <w:bottom w:val="single" w:sz="4" w:space="0" w:color="auto"/>
              <w:right w:val="nil"/>
            </w:tcBorders>
            <w:shd w:val="clear" w:color="auto" w:fill="auto"/>
            <w:noWrap/>
            <w:vAlign w:val="bottom"/>
            <w:hideMark/>
          </w:tcPr>
          <w:p w:rsidR="0069724E" w:rsidRPr="000A0A11" w:rsidRDefault="0069724E" w:rsidP="0069724E">
            <w:pPr>
              <w:jc w:val="right"/>
              <w:rPr>
                <w:rFonts w:ascii="Times New Roman CE" w:hAnsi="Times New Roman CE" w:cs="Times New Roman CE"/>
                <w:sz w:val="21"/>
                <w:szCs w:val="21"/>
              </w:rPr>
            </w:pPr>
            <w:r w:rsidRPr="000A0A11">
              <w:rPr>
                <w:rFonts w:ascii="Times New Roman CE" w:hAnsi="Times New Roman CE" w:cs="Times New Roman CE"/>
                <w:sz w:val="21"/>
                <w:szCs w:val="21"/>
              </w:rPr>
              <w:t>156,0%</w:t>
            </w:r>
          </w:p>
        </w:tc>
      </w:tr>
      <w:tr w:rsidR="0069724E" w:rsidRPr="000A0A11" w:rsidTr="000A0A11">
        <w:trPr>
          <w:gridAfter w:val="2"/>
          <w:wAfter w:w="334" w:type="dxa"/>
          <w:trHeight w:val="300"/>
        </w:trPr>
        <w:tc>
          <w:tcPr>
            <w:tcW w:w="3969" w:type="dxa"/>
            <w:gridSpan w:val="2"/>
            <w:tcBorders>
              <w:top w:val="nil"/>
              <w:left w:val="nil"/>
              <w:bottom w:val="nil"/>
              <w:right w:val="nil"/>
            </w:tcBorders>
            <w:shd w:val="clear" w:color="auto" w:fill="auto"/>
            <w:noWrap/>
            <w:vAlign w:val="bottom"/>
            <w:hideMark/>
          </w:tcPr>
          <w:p w:rsidR="0069724E" w:rsidRPr="000A0A11" w:rsidRDefault="0069724E" w:rsidP="0069724E">
            <w:pPr>
              <w:jc w:val="left"/>
              <w:rPr>
                <w:rFonts w:ascii="Times New Roman CE" w:hAnsi="Times New Roman CE" w:cs="Times New Roman CE"/>
                <w:sz w:val="21"/>
                <w:szCs w:val="21"/>
              </w:rPr>
            </w:pPr>
            <w:r w:rsidRPr="000A0A11">
              <w:rPr>
                <w:rFonts w:ascii="Times New Roman CE" w:hAnsi="Times New Roman CE" w:cs="Times New Roman CE"/>
                <w:sz w:val="21"/>
                <w:szCs w:val="21"/>
              </w:rPr>
              <w:t>Összesen:</w:t>
            </w:r>
          </w:p>
        </w:tc>
        <w:tc>
          <w:tcPr>
            <w:tcW w:w="1036" w:type="dxa"/>
            <w:gridSpan w:val="3"/>
            <w:tcBorders>
              <w:top w:val="nil"/>
              <w:left w:val="nil"/>
              <w:bottom w:val="nil"/>
              <w:right w:val="nil"/>
            </w:tcBorders>
            <w:shd w:val="clear" w:color="auto" w:fill="auto"/>
            <w:noWrap/>
            <w:vAlign w:val="bottom"/>
            <w:hideMark/>
          </w:tcPr>
          <w:p w:rsidR="0069724E" w:rsidRPr="000A0A11" w:rsidRDefault="0069724E" w:rsidP="0069724E">
            <w:pPr>
              <w:jc w:val="right"/>
              <w:rPr>
                <w:rFonts w:ascii="Times New Roman CE" w:hAnsi="Times New Roman CE" w:cs="Times New Roman CE"/>
                <w:sz w:val="21"/>
                <w:szCs w:val="21"/>
              </w:rPr>
            </w:pPr>
            <w:r w:rsidRPr="000A0A11">
              <w:rPr>
                <w:rFonts w:ascii="Times New Roman CE" w:hAnsi="Times New Roman CE" w:cs="Times New Roman CE"/>
                <w:sz w:val="21"/>
                <w:szCs w:val="21"/>
              </w:rPr>
              <w:t>1 063 311</w:t>
            </w:r>
          </w:p>
        </w:tc>
        <w:tc>
          <w:tcPr>
            <w:tcW w:w="1445" w:type="dxa"/>
            <w:tcBorders>
              <w:top w:val="nil"/>
              <w:left w:val="nil"/>
              <w:bottom w:val="nil"/>
              <w:right w:val="nil"/>
            </w:tcBorders>
            <w:shd w:val="clear" w:color="auto" w:fill="auto"/>
            <w:noWrap/>
            <w:vAlign w:val="bottom"/>
            <w:hideMark/>
          </w:tcPr>
          <w:p w:rsidR="0069724E" w:rsidRPr="000A0A11" w:rsidRDefault="0069724E" w:rsidP="0069724E">
            <w:pPr>
              <w:jc w:val="right"/>
              <w:rPr>
                <w:rFonts w:ascii="Times New Roman CE" w:hAnsi="Times New Roman CE" w:cs="Times New Roman CE"/>
                <w:sz w:val="21"/>
                <w:szCs w:val="21"/>
              </w:rPr>
            </w:pPr>
            <w:r w:rsidRPr="000A0A11">
              <w:rPr>
                <w:rFonts w:ascii="Times New Roman CE" w:hAnsi="Times New Roman CE" w:cs="Times New Roman CE"/>
                <w:sz w:val="21"/>
                <w:szCs w:val="21"/>
              </w:rPr>
              <w:t>1 183 105</w:t>
            </w:r>
          </w:p>
        </w:tc>
        <w:tc>
          <w:tcPr>
            <w:tcW w:w="1659" w:type="dxa"/>
            <w:gridSpan w:val="3"/>
            <w:tcBorders>
              <w:top w:val="nil"/>
              <w:left w:val="nil"/>
              <w:bottom w:val="nil"/>
              <w:right w:val="nil"/>
            </w:tcBorders>
            <w:shd w:val="clear" w:color="auto" w:fill="auto"/>
            <w:noWrap/>
            <w:vAlign w:val="bottom"/>
            <w:hideMark/>
          </w:tcPr>
          <w:p w:rsidR="0069724E" w:rsidRPr="000A0A11" w:rsidRDefault="0069724E" w:rsidP="0069724E">
            <w:pPr>
              <w:jc w:val="right"/>
              <w:rPr>
                <w:rFonts w:ascii="Times New Roman CE" w:hAnsi="Times New Roman CE" w:cs="Times New Roman CE"/>
                <w:sz w:val="21"/>
                <w:szCs w:val="21"/>
              </w:rPr>
            </w:pPr>
            <w:r w:rsidRPr="000A0A11">
              <w:rPr>
                <w:rFonts w:ascii="Times New Roman CE" w:hAnsi="Times New Roman CE" w:cs="Times New Roman CE"/>
                <w:sz w:val="21"/>
                <w:szCs w:val="21"/>
              </w:rPr>
              <w:t>856 025</w:t>
            </w:r>
          </w:p>
        </w:tc>
        <w:tc>
          <w:tcPr>
            <w:tcW w:w="1275" w:type="dxa"/>
            <w:gridSpan w:val="2"/>
            <w:tcBorders>
              <w:top w:val="nil"/>
              <w:left w:val="nil"/>
              <w:bottom w:val="nil"/>
              <w:right w:val="nil"/>
            </w:tcBorders>
            <w:shd w:val="clear" w:color="auto" w:fill="auto"/>
            <w:noWrap/>
            <w:vAlign w:val="bottom"/>
            <w:hideMark/>
          </w:tcPr>
          <w:p w:rsidR="0069724E" w:rsidRPr="000A0A11" w:rsidRDefault="0069724E" w:rsidP="0069724E">
            <w:pPr>
              <w:jc w:val="right"/>
              <w:rPr>
                <w:rFonts w:ascii="Times New Roman CE" w:hAnsi="Times New Roman CE" w:cs="Times New Roman CE"/>
                <w:sz w:val="21"/>
                <w:szCs w:val="21"/>
              </w:rPr>
            </w:pPr>
            <w:r w:rsidRPr="000A0A11">
              <w:rPr>
                <w:rFonts w:ascii="Times New Roman CE" w:hAnsi="Times New Roman CE" w:cs="Times New Roman CE"/>
                <w:sz w:val="21"/>
                <w:szCs w:val="21"/>
              </w:rPr>
              <w:t>111,3%</w:t>
            </w:r>
          </w:p>
        </w:tc>
      </w:tr>
      <w:tr w:rsidR="0069724E" w:rsidRPr="0069724E" w:rsidTr="000A0A11">
        <w:trPr>
          <w:gridAfter w:val="1"/>
          <w:wAfter w:w="213" w:type="dxa"/>
          <w:trHeight w:val="122"/>
        </w:trPr>
        <w:tc>
          <w:tcPr>
            <w:tcW w:w="3756" w:type="dxa"/>
            <w:tcBorders>
              <w:top w:val="nil"/>
              <w:left w:val="nil"/>
              <w:bottom w:val="nil"/>
              <w:right w:val="nil"/>
            </w:tcBorders>
            <w:shd w:val="clear" w:color="auto" w:fill="auto"/>
            <w:noWrap/>
            <w:vAlign w:val="bottom"/>
            <w:hideMark/>
          </w:tcPr>
          <w:p w:rsidR="0069724E" w:rsidRPr="0069724E" w:rsidRDefault="0069724E" w:rsidP="0069724E">
            <w:pPr>
              <w:jc w:val="right"/>
              <w:rPr>
                <w:rFonts w:ascii="Times New Roman CE" w:hAnsi="Times New Roman CE" w:cs="Times New Roman CE"/>
                <w:sz w:val="10"/>
                <w:szCs w:val="10"/>
              </w:rPr>
            </w:pPr>
          </w:p>
        </w:tc>
        <w:tc>
          <w:tcPr>
            <w:tcW w:w="1036" w:type="dxa"/>
            <w:gridSpan w:val="3"/>
            <w:tcBorders>
              <w:top w:val="nil"/>
              <w:left w:val="nil"/>
              <w:bottom w:val="nil"/>
              <w:right w:val="nil"/>
            </w:tcBorders>
            <w:shd w:val="clear" w:color="auto" w:fill="auto"/>
            <w:noWrap/>
            <w:vAlign w:val="bottom"/>
            <w:hideMark/>
          </w:tcPr>
          <w:p w:rsidR="0069724E" w:rsidRPr="0069724E" w:rsidRDefault="0069724E" w:rsidP="0069724E">
            <w:pPr>
              <w:jc w:val="left"/>
              <w:rPr>
                <w:sz w:val="10"/>
                <w:szCs w:val="10"/>
              </w:rPr>
            </w:pPr>
          </w:p>
        </w:tc>
        <w:tc>
          <w:tcPr>
            <w:tcW w:w="1776" w:type="dxa"/>
            <w:gridSpan w:val="3"/>
            <w:tcBorders>
              <w:top w:val="nil"/>
              <w:left w:val="nil"/>
              <w:bottom w:val="nil"/>
              <w:right w:val="nil"/>
            </w:tcBorders>
            <w:shd w:val="clear" w:color="auto" w:fill="auto"/>
            <w:noWrap/>
            <w:vAlign w:val="bottom"/>
            <w:hideMark/>
          </w:tcPr>
          <w:p w:rsidR="0069724E" w:rsidRPr="0069724E" w:rsidRDefault="0069724E" w:rsidP="0069724E">
            <w:pPr>
              <w:jc w:val="left"/>
              <w:rPr>
                <w:sz w:val="10"/>
                <w:szCs w:val="10"/>
              </w:rPr>
            </w:pPr>
          </w:p>
        </w:tc>
        <w:tc>
          <w:tcPr>
            <w:tcW w:w="1541" w:type="dxa"/>
            <w:gridSpan w:val="2"/>
            <w:tcBorders>
              <w:top w:val="nil"/>
              <w:left w:val="nil"/>
              <w:bottom w:val="nil"/>
              <w:right w:val="nil"/>
            </w:tcBorders>
            <w:shd w:val="clear" w:color="auto" w:fill="auto"/>
            <w:noWrap/>
            <w:vAlign w:val="bottom"/>
            <w:hideMark/>
          </w:tcPr>
          <w:p w:rsidR="0069724E" w:rsidRPr="0069724E" w:rsidRDefault="0069724E" w:rsidP="0069724E">
            <w:pPr>
              <w:jc w:val="left"/>
              <w:rPr>
                <w:sz w:val="10"/>
                <w:szCs w:val="10"/>
              </w:rPr>
            </w:pPr>
          </w:p>
        </w:tc>
        <w:tc>
          <w:tcPr>
            <w:tcW w:w="1396" w:type="dxa"/>
            <w:gridSpan w:val="3"/>
            <w:tcBorders>
              <w:top w:val="nil"/>
              <w:left w:val="nil"/>
              <w:bottom w:val="nil"/>
              <w:right w:val="nil"/>
            </w:tcBorders>
            <w:shd w:val="clear" w:color="auto" w:fill="auto"/>
            <w:noWrap/>
            <w:vAlign w:val="bottom"/>
            <w:hideMark/>
          </w:tcPr>
          <w:p w:rsidR="0069724E" w:rsidRPr="0069724E" w:rsidRDefault="0069724E" w:rsidP="0069724E">
            <w:pPr>
              <w:jc w:val="left"/>
              <w:rPr>
                <w:sz w:val="10"/>
                <w:szCs w:val="10"/>
              </w:rPr>
            </w:pPr>
          </w:p>
        </w:tc>
      </w:tr>
      <w:tr w:rsidR="0069724E" w:rsidRPr="0069724E" w:rsidTr="000A0A11">
        <w:trPr>
          <w:gridAfter w:val="1"/>
          <w:wAfter w:w="213" w:type="dxa"/>
          <w:trHeight w:val="300"/>
        </w:trPr>
        <w:tc>
          <w:tcPr>
            <w:tcW w:w="9505" w:type="dxa"/>
            <w:gridSpan w:val="12"/>
            <w:tcBorders>
              <w:top w:val="nil"/>
              <w:left w:val="nil"/>
              <w:bottom w:val="nil"/>
              <w:right w:val="nil"/>
            </w:tcBorders>
            <w:shd w:val="clear" w:color="auto" w:fill="auto"/>
            <w:hideMark/>
          </w:tcPr>
          <w:p w:rsidR="0069724E" w:rsidRPr="0069724E" w:rsidRDefault="0069724E" w:rsidP="0069724E">
            <w:pPr>
              <w:jc w:val="left"/>
              <w:rPr>
                <w:rFonts w:ascii="Times New Roman CE" w:hAnsi="Times New Roman CE" w:cs="Times New Roman CE"/>
                <w:sz w:val="22"/>
                <w:szCs w:val="22"/>
              </w:rPr>
            </w:pPr>
            <w:r w:rsidRPr="0069724E">
              <w:rPr>
                <w:rFonts w:ascii="Times New Roman CE" w:hAnsi="Times New Roman CE" w:cs="Times New Roman CE"/>
                <w:sz w:val="22"/>
                <w:szCs w:val="22"/>
              </w:rPr>
              <w:t>A tábla adatai nem tartalmazzák a befejezetlen építőipari munkák árbevételét.</w:t>
            </w:r>
          </w:p>
        </w:tc>
      </w:tr>
      <w:tr w:rsidR="0069724E" w:rsidRPr="0069724E" w:rsidTr="000A0A11">
        <w:trPr>
          <w:gridAfter w:val="1"/>
          <w:wAfter w:w="213" w:type="dxa"/>
          <w:trHeight w:val="300"/>
        </w:trPr>
        <w:tc>
          <w:tcPr>
            <w:tcW w:w="9505" w:type="dxa"/>
            <w:gridSpan w:val="12"/>
            <w:tcBorders>
              <w:top w:val="nil"/>
              <w:left w:val="nil"/>
              <w:bottom w:val="nil"/>
              <w:right w:val="nil"/>
            </w:tcBorders>
            <w:shd w:val="clear" w:color="auto" w:fill="auto"/>
            <w:hideMark/>
          </w:tcPr>
          <w:p w:rsidR="0069724E" w:rsidRPr="0069724E" w:rsidRDefault="0069724E" w:rsidP="0069724E">
            <w:pPr>
              <w:jc w:val="left"/>
              <w:rPr>
                <w:rFonts w:ascii="Times New Roman CE" w:hAnsi="Times New Roman CE" w:cs="Times New Roman CE"/>
                <w:sz w:val="22"/>
                <w:szCs w:val="22"/>
              </w:rPr>
            </w:pPr>
            <w:r w:rsidRPr="0069724E">
              <w:rPr>
                <w:rFonts w:ascii="Times New Roman CE" w:hAnsi="Times New Roman CE" w:cs="Times New Roman CE"/>
                <w:sz w:val="22"/>
                <w:szCs w:val="22"/>
              </w:rPr>
              <w:t>* 2022. évre a leszámlázott összegből 342 452 eFt az áthúzódó összeg.</w:t>
            </w:r>
          </w:p>
        </w:tc>
      </w:tr>
    </w:tbl>
    <w:p w:rsidR="0069724E" w:rsidRDefault="0069724E">
      <w:pPr>
        <w:rPr>
          <w:sz w:val="16"/>
          <w:szCs w:val="16"/>
        </w:rPr>
      </w:pPr>
    </w:p>
    <w:p w:rsidR="0069724E" w:rsidRPr="00B33D52" w:rsidRDefault="0069724E">
      <w:pPr>
        <w:rPr>
          <w:sz w:val="16"/>
          <w:szCs w:val="16"/>
        </w:rPr>
      </w:pPr>
    </w:p>
    <w:p w:rsidR="006E3DC1" w:rsidRPr="00B33D52" w:rsidRDefault="006E3DC1" w:rsidP="006E3DC1">
      <w:pPr>
        <w:pStyle w:val="Cmsor2"/>
        <w:rPr>
          <w:i w:val="0"/>
          <w:iCs w:val="0"/>
          <w:sz w:val="22"/>
        </w:rPr>
      </w:pPr>
      <w:bookmarkStart w:id="65" w:name="_Toc529783119"/>
      <w:bookmarkStart w:id="66" w:name="_Toc132629496"/>
      <w:r w:rsidRPr="00B33D52">
        <w:rPr>
          <w:i w:val="0"/>
          <w:iCs w:val="0"/>
          <w:sz w:val="22"/>
        </w:rPr>
        <w:t>Önkormányzati megrendelésre végzett jelentősebb víziközmű építési-szerelési munkák</w:t>
      </w:r>
      <w:bookmarkEnd w:id="65"/>
      <w:bookmarkEnd w:id="66"/>
    </w:p>
    <w:p w:rsidR="006E3DC1" w:rsidRPr="00B33D52" w:rsidRDefault="006E3DC1" w:rsidP="006E3DC1">
      <w:pPr>
        <w:rPr>
          <w:bCs/>
          <w:i/>
          <w:iCs/>
          <w:sz w:val="12"/>
          <w:szCs w:val="23"/>
        </w:rPr>
      </w:pPr>
    </w:p>
    <w:p w:rsidR="00A16ACB" w:rsidRPr="00A44E37" w:rsidRDefault="00A16ACB" w:rsidP="00A16ACB">
      <w:pPr>
        <w:pStyle w:val="Nincstrkz"/>
        <w:jc w:val="both"/>
        <w:rPr>
          <w:bCs/>
          <w:i/>
          <w:iCs/>
          <w:sz w:val="24"/>
        </w:rPr>
      </w:pPr>
      <w:r w:rsidRPr="00A44E37">
        <w:rPr>
          <w:bCs/>
          <w:i/>
          <w:iCs/>
          <w:sz w:val="24"/>
        </w:rPr>
        <w:t>Vízközmű-használati díj terhére</w:t>
      </w:r>
    </w:p>
    <w:p w:rsidR="00A16ACB" w:rsidRPr="00A44E37" w:rsidRDefault="00A16ACB" w:rsidP="00A16ACB">
      <w:pPr>
        <w:rPr>
          <w:bCs/>
          <w:i/>
          <w:iCs/>
          <w:szCs w:val="24"/>
        </w:rPr>
      </w:pPr>
      <w:r w:rsidRPr="00A44E37">
        <w:rPr>
          <w:bCs/>
          <w:i/>
          <w:iCs/>
          <w:szCs w:val="24"/>
        </w:rPr>
        <w:t>Saját kivitelezésben</w:t>
      </w:r>
    </w:p>
    <w:p w:rsidR="00A16ACB" w:rsidRPr="00A44E37" w:rsidRDefault="00A16ACB" w:rsidP="003E7ED2">
      <w:pPr>
        <w:pStyle w:val="Szvegtrzsbehzssal"/>
        <w:numPr>
          <w:ilvl w:val="0"/>
          <w:numId w:val="6"/>
        </w:numPr>
        <w:tabs>
          <w:tab w:val="clear" w:pos="720"/>
        </w:tabs>
        <w:ind w:left="284" w:right="283" w:hanging="210"/>
      </w:pPr>
      <w:r w:rsidRPr="00A44E37">
        <w:t>Szombathely Ferenczy utca ivóvíz hálózat rekonstrukció 39 mFt (2020-21. évről áthúzódó munka)</w:t>
      </w:r>
      <w:r w:rsidR="00585ED3" w:rsidRPr="00A44E37">
        <w:t>, Északi Ipari P</w:t>
      </w:r>
      <w:r w:rsidRPr="00A44E37">
        <w:t>ark vízhálózat bővítés II. ütem 35,1 mFt</w:t>
      </w:r>
    </w:p>
    <w:p w:rsidR="00176306" w:rsidRPr="00A44E37" w:rsidRDefault="00176306" w:rsidP="00176306">
      <w:pPr>
        <w:pStyle w:val="Szvegtrzsbehzssal"/>
        <w:numPr>
          <w:ilvl w:val="0"/>
          <w:numId w:val="6"/>
        </w:numPr>
        <w:tabs>
          <w:tab w:val="clear" w:pos="720"/>
        </w:tabs>
        <w:ind w:left="284" w:right="283" w:hanging="210"/>
      </w:pPr>
      <w:r w:rsidRPr="00A44E37">
        <w:t>Kenéz vízműgépház ipari PC-k cseréje 5,4 mFt</w:t>
      </w:r>
    </w:p>
    <w:p w:rsidR="00585ED3" w:rsidRPr="00A44E37" w:rsidRDefault="00585ED3" w:rsidP="00585ED3">
      <w:pPr>
        <w:pStyle w:val="Szvegtrzsbehzssal"/>
        <w:numPr>
          <w:ilvl w:val="0"/>
          <w:numId w:val="6"/>
        </w:numPr>
        <w:tabs>
          <w:tab w:val="clear" w:pos="720"/>
        </w:tabs>
        <w:ind w:left="284" w:right="283" w:hanging="210"/>
      </w:pPr>
      <w:r w:rsidRPr="00A44E37">
        <w:t>Körmend Somogyi B. utca ivóvíz hálózat rekonstrukció 8,5 mFt</w:t>
      </w:r>
    </w:p>
    <w:p w:rsidR="00C47327" w:rsidRPr="00A44E37" w:rsidRDefault="00C47327" w:rsidP="00585ED3">
      <w:pPr>
        <w:pStyle w:val="Szvegtrzsbehzssal"/>
        <w:numPr>
          <w:ilvl w:val="0"/>
          <w:numId w:val="6"/>
        </w:numPr>
        <w:tabs>
          <w:tab w:val="clear" w:pos="720"/>
        </w:tabs>
        <w:ind w:left="284" w:right="283" w:hanging="210"/>
      </w:pPr>
      <w:r w:rsidRPr="00A44E37">
        <w:t>Szentgotthárd vízhálózat rekonstrukció 3,2 mFt</w:t>
      </w:r>
    </w:p>
    <w:p w:rsidR="00585ED3" w:rsidRPr="00A44E37" w:rsidRDefault="00585ED3" w:rsidP="00585ED3">
      <w:pPr>
        <w:pStyle w:val="Szvegtrzsbehzssal"/>
        <w:numPr>
          <w:ilvl w:val="0"/>
          <w:numId w:val="6"/>
        </w:numPr>
        <w:tabs>
          <w:tab w:val="clear" w:pos="720"/>
        </w:tabs>
        <w:ind w:left="284" w:right="283" w:hanging="210"/>
      </w:pPr>
      <w:r w:rsidRPr="00A44E37">
        <w:t>Répcelak, vízmű telep acélcső átvezetések bélelése, felújítása, 1. medence 5,6 mFt</w:t>
      </w:r>
    </w:p>
    <w:p w:rsidR="00C47327" w:rsidRPr="00A44E37" w:rsidRDefault="00C47327" w:rsidP="00C47327">
      <w:pPr>
        <w:pStyle w:val="Szvegtrzsbehzssal"/>
        <w:numPr>
          <w:ilvl w:val="0"/>
          <w:numId w:val="6"/>
        </w:numPr>
        <w:tabs>
          <w:tab w:val="clear" w:pos="720"/>
        </w:tabs>
        <w:ind w:left="284" w:right="283" w:hanging="210"/>
      </w:pPr>
      <w:r w:rsidRPr="00A44E37">
        <w:t>Gérce, vastalanító átalakítása, vasiszapülepítő létesítése 2,5 mFt</w:t>
      </w:r>
    </w:p>
    <w:p w:rsidR="00A16ACB" w:rsidRPr="00A44E37" w:rsidRDefault="00A16ACB" w:rsidP="00A16ACB">
      <w:pPr>
        <w:pStyle w:val="Szvegtrzsbehzssal"/>
        <w:numPr>
          <w:ilvl w:val="0"/>
          <w:numId w:val="6"/>
        </w:numPr>
        <w:tabs>
          <w:tab w:val="clear" w:pos="720"/>
        </w:tabs>
        <w:ind w:left="284" w:right="283" w:hanging="210"/>
      </w:pPr>
      <w:r w:rsidRPr="00A44E37">
        <w:lastRenderedPageBreak/>
        <w:t>Sárvár Bercsényi, Dorottya és Tizenháromváros utca vízhálózat rekonstrukció 15,4 mFt</w:t>
      </w:r>
      <w:r w:rsidR="00585ED3" w:rsidRPr="00A44E37">
        <w:t>, Várkerület utca, Újhegy utca vízhálózat rekonstrukció és bővítés 12 mFt</w:t>
      </w:r>
    </w:p>
    <w:p w:rsidR="00585ED3" w:rsidRPr="00D042D5" w:rsidRDefault="00585ED3" w:rsidP="00A44E37">
      <w:pPr>
        <w:pStyle w:val="Szvegtrzsbehzssal"/>
        <w:ind w:left="74" w:right="283" w:firstLine="0"/>
        <w:rPr>
          <w:sz w:val="12"/>
          <w:szCs w:val="12"/>
        </w:rPr>
      </w:pPr>
    </w:p>
    <w:p w:rsidR="00585ED3" w:rsidRPr="00A44E37" w:rsidRDefault="00585ED3" w:rsidP="00585ED3">
      <w:pPr>
        <w:rPr>
          <w:bCs/>
          <w:i/>
          <w:iCs/>
          <w:szCs w:val="24"/>
        </w:rPr>
      </w:pPr>
      <w:r w:rsidRPr="00A44E37">
        <w:rPr>
          <w:bCs/>
          <w:i/>
          <w:iCs/>
          <w:szCs w:val="24"/>
        </w:rPr>
        <w:t>Külső kivitelezésben</w:t>
      </w:r>
    </w:p>
    <w:p w:rsidR="00585ED3" w:rsidRPr="00A44E37" w:rsidRDefault="00176306" w:rsidP="00176306">
      <w:pPr>
        <w:pStyle w:val="Szvegtrzsbehzssal"/>
        <w:numPr>
          <w:ilvl w:val="0"/>
          <w:numId w:val="6"/>
        </w:numPr>
        <w:tabs>
          <w:tab w:val="clear" w:pos="720"/>
        </w:tabs>
        <w:ind w:left="284" w:right="283" w:hanging="210"/>
      </w:pPr>
      <w:r w:rsidRPr="00A44E37">
        <w:t>Kőszeg, Táncsics u. útfelújítás előtti vezeték rekonstrukció földmunka 8,9 mFt</w:t>
      </w:r>
    </w:p>
    <w:p w:rsidR="00C47327" w:rsidRPr="00CD6816" w:rsidRDefault="00C47327" w:rsidP="00C47327">
      <w:pPr>
        <w:pStyle w:val="Szvegtrzsbehzssal"/>
        <w:numPr>
          <w:ilvl w:val="0"/>
          <w:numId w:val="6"/>
        </w:numPr>
        <w:tabs>
          <w:tab w:val="clear" w:pos="720"/>
        </w:tabs>
        <w:ind w:left="284" w:right="283" w:hanging="210"/>
      </w:pPr>
      <w:r w:rsidRPr="00CD6816">
        <w:t>Répcelak, vízmű telep acélcső átvezetések bélelése, felújítása, 2. medence 2,2 mFt</w:t>
      </w:r>
    </w:p>
    <w:p w:rsidR="00176306" w:rsidRPr="00CD6816" w:rsidRDefault="00176306" w:rsidP="00585ED3">
      <w:pPr>
        <w:pStyle w:val="Szvegtrzsbehzssal"/>
        <w:ind w:right="283"/>
      </w:pPr>
    </w:p>
    <w:p w:rsidR="00A16ACB" w:rsidRPr="00CD6816" w:rsidRDefault="00A16ACB" w:rsidP="00A16ACB">
      <w:pPr>
        <w:pStyle w:val="Nincstrkz"/>
        <w:jc w:val="both"/>
        <w:rPr>
          <w:bCs/>
          <w:i/>
          <w:iCs/>
          <w:sz w:val="24"/>
        </w:rPr>
      </w:pPr>
      <w:r w:rsidRPr="00CD6816">
        <w:rPr>
          <w:bCs/>
          <w:i/>
          <w:iCs/>
          <w:sz w:val="24"/>
        </w:rPr>
        <w:t>Szennyvízközmű-használati díj terhére</w:t>
      </w:r>
    </w:p>
    <w:p w:rsidR="00A16ACB" w:rsidRPr="00CD6816" w:rsidRDefault="00A16ACB" w:rsidP="00A16ACB">
      <w:pPr>
        <w:rPr>
          <w:bCs/>
          <w:i/>
          <w:iCs/>
          <w:szCs w:val="24"/>
        </w:rPr>
      </w:pPr>
      <w:r w:rsidRPr="00CD6816">
        <w:rPr>
          <w:bCs/>
          <w:i/>
          <w:iCs/>
          <w:szCs w:val="24"/>
        </w:rPr>
        <w:t>Saját kivitelezés és beszerzés</w:t>
      </w:r>
    </w:p>
    <w:p w:rsidR="007F15C1" w:rsidRPr="00CD6816" w:rsidRDefault="007F15C1" w:rsidP="00D042D5">
      <w:pPr>
        <w:pStyle w:val="Szvegtrzsbehzssal"/>
        <w:numPr>
          <w:ilvl w:val="0"/>
          <w:numId w:val="6"/>
        </w:numPr>
        <w:tabs>
          <w:tab w:val="clear" w:pos="720"/>
        </w:tabs>
        <w:ind w:left="284" w:right="283" w:hanging="210"/>
      </w:pPr>
      <w:r w:rsidRPr="00CD6816">
        <w:t>Csempeszkopács I. sz. átemelő felújítása 7 mFt</w:t>
      </w:r>
    </w:p>
    <w:p w:rsidR="007F15C1" w:rsidRPr="00CD6816" w:rsidRDefault="007F15C1" w:rsidP="00D042D5">
      <w:pPr>
        <w:pStyle w:val="Szvegtrzsbehzssal"/>
        <w:numPr>
          <w:ilvl w:val="0"/>
          <w:numId w:val="6"/>
        </w:numPr>
        <w:tabs>
          <w:tab w:val="clear" w:pos="720"/>
        </w:tabs>
        <w:ind w:left="284" w:right="283" w:hanging="210"/>
      </w:pPr>
      <w:r w:rsidRPr="00CD6816">
        <w:t>Szentgotthárd 3. sz. szennyvízátemelő villamos és gépészeti rekonstrukciója 12,7 mFt</w:t>
      </w:r>
    </w:p>
    <w:p w:rsidR="007F15C1" w:rsidRPr="00CD6816" w:rsidRDefault="007F15C1" w:rsidP="00D042D5">
      <w:pPr>
        <w:pStyle w:val="Szvegtrzsbehzssal"/>
        <w:numPr>
          <w:ilvl w:val="0"/>
          <w:numId w:val="6"/>
        </w:numPr>
        <w:tabs>
          <w:tab w:val="clear" w:pos="720"/>
        </w:tabs>
        <w:ind w:left="284" w:right="283" w:hanging="210"/>
      </w:pPr>
      <w:r w:rsidRPr="00CD6816">
        <w:t>Egyházashetye szennyvíztisztító telep gépészeti rekonstrukció 3 mFt</w:t>
      </w:r>
    </w:p>
    <w:p w:rsidR="00A16ACB" w:rsidRPr="00CD6816" w:rsidRDefault="00A16ACB" w:rsidP="00A16ACB">
      <w:pPr>
        <w:pStyle w:val="Szvegtrzsbehzssal"/>
        <w:numPr>
          <w:ilvl w:val="0"/>
          <w:numId w:val="6"/>
        </w:numPr>
        <w:tabs>
          <w:tab w:val="clear" w:pos="720"/>
        </w:tabs>
        <w:ind w:left="284" w:right="283" w:hanging="210"/>
      </w:pPr>
      <w:r w:rsidRPr="00CD6816">
        <w:t>Sárvár Bercsényi, Dorottya és Tizenháromváros utca útfelújítást megelőző szennyvízhálózat rekonstrukció 6,4 mFt</w:t>
      </w:r>
    </w:p>
    <w:p w:rsidR="004069E4" w:rsidRDefault="00A16ACB" w:rsidP="00A16ACB">
      <w:pPr>
        <w:pStyle w:val="Szvegtrzsbehzssal"/>
        <w:numPr>
          <w:ilvl w:val="0"/>
          <w:numId w:val="6"/>
        </w:numPr>
        <w:tabs>
          <w:tab w:val="clear" w:pos="720"/>
        </w:tabs>
        <w:ind w:left="284" w:right="283" w:hanging="210"/>
      </w:pPr>
      <w:r w:rsidRPr="00CD6816">
        <w:t>Celldömölk Ság</w:t>
      </w:r>
      <w:r w:rsidR="007F15C1" w:rsidRPr="00CD6816">
        <w:t>i</w:t>
      </w:r>
      <w:r w:rsidRPr="00CD6816">
        <w:t xml:space="preserve"> u. szennyvízhálózat rekonstrukció </w:t>
      </w:r>
      <w:r w:rsidR="007F15C1" w:rsidRPr="00CD6816">
        <w:t>15</w:t>
      </w:r>
      <w:r w:rsidRPr="00CD6816">
        <w:t xml:space="preserve"> mFt</w:t>
      </w:r>
    </w:p>
    <w:p w:rsidR="004069E4" w:rsidRDefault="004069E4">
      <w:pPr>
        <w:jc w:val="left"/>
      </w:pPr>
      <w:r>
        <w:br w:type="page"/>
      </w:r>
    </w:p>
    <w:p w:rsidR="00D80322" w:rsidRDefault="00D80322" w:rsidP="00B11D07">
      <w:pPr>
        <w:pStyle w:val="Nincstrkz"/>
        <w:jc w:val="both"/>
        <w:rPr>
          <w:bCs/>
          <w:i/>
          <w:iCs/>
          <w:sz w:val="24"/>
        </w:rPr>
      </w:pPr>
    </w:p>
    <w:p w:rsidR="00B11D07" w:rsidRPr="00CD6816" w:rsidRDefault="00A16ACB" w:rsidP="00B11D07">
      <w:pPr>
        <w:pStyle w:val="Nincstrkz"/>
        <w:jc w:val="both"/>
        <w:rPr>
          <w:bCs/>
          <w:i/>
          <w:iCs/>
          <w:sz w:val="24"/>
        </w:rPr>
      </w:pPr>
      <w:r w:rsidRPr="00CD6816">
        <w:rPr>
          <w:bCs/>
          <w:i/>
          <w:iCs/>
          <w:sz w:val="24"/>
        </w:rPr>
        <w:t>Külső kivitelezésben</w:t>
      </w:r>
      <w:r w:rsidR="00B11D07" w:rsidRPr="00CD6816">
        <w:rPr>
          <w:bCs/>
          <w:i/>
          <w:iCs/>
          <w:sz w:val="24"/>
        </w:rPr>
        <w:t xml:space="preserve"> </w:t>
      </w:r>
    </w:p>
    <w:p w:rsidR="00B11D07" w:rsidRPr="00CD6816" w:rsidRDefault="00B11D07" w:rsidP="003B24C9">
      <w:pPr>
        <w:pStyle w:val="Szvegtrzsbehzssal"/>
        <w:numPr>
          <w:ilvl w:val="0"/>
          <w:numId w:val="6"/>
        </w:numPr>
        <w:tabs>
          <w:tab w:val="clear" w:pos="720"/>
        </w:tabs>
        <w:ind w:left="284" w:right="283" w:hanging="210"/>
      </w:pPr>
      <w:r w:rsidRPr="00CD6816">
        <w:t>Szombathely, Északi Ipari Park közműhálózatának bővítése 214 mFt</w:t>
      </w:r>
    </w:p>
    <w:p w:rsidR="003B24C9" w:rsidRPr="00CD6816" w:rsidRDefault="003B24C9" w:rsidP="003B24C9">
      <w:pPr>
        <w:pStyle w:val="Szvegtrzsbehzssal"/>
        <w:numPr>
          <w:ilvl w:val="0"/>
          <w:numId w:val="6"/>
        </w:numPr>
        <w:tabs>
          <w:tab w:val="clear" w:pos="720"/>
        </w:tabs>
        <w:ind w:left="284" w:right="283" w:hanging="210"/>
      </w:pPr>
      <w:r w:rsidRPr="00CD6816">
        <w:t>Szombathely, szennyvíztisztító telep gázmotorok nagyfelújítása 28 mFt, 3.sz. levegőztető medence szivattyújának nagyszervize 6 mFt</w:t>
      </w:r>
    </w:p>
    <w:p w:rsidR="00B11D07" w:rsidRPr="00CD6816" w:rsidRDefault="003B24C9" w:rsidP="003B24C9">
      <w:pPr>
        <w:pStyle w:val="Szvegtrzsbehzssal"/>
        <w:numPr>
          <w:ilvl w:val="0"/>
          <w:numId w:val="6"/>
        </w:numPr>
        <w:tabs>
          <w:tab w:val="clear" w:pos="720"/>
        </w:tabs>
        <w:ind w:left="284" w:right="283" w:hanging="210"/>
      </w:pPr>
      <w:r w:rsidRPr="00CD6816">
        <w:t>Szombathely szennyvízhálózat HAVARIA munkák (Szőkeföldi, Nádor és Vasút u.) 68,7 mFt</w:t>
      </w:r>
    </w:p>
    <w:p w:rsidR="00A16ACB" w:rsidRPr="00CD6816" w:rsidRDefault="00A16ACB" w:rsidP="00A16ACB">
      <w:pPr>
        <w:pStyle w:val="Szvegtrzsbehzssal"/>
        <w:numPr>
          <w:ilvl w:val="0"/>
          <w:numId w:val="6"/>
        </w:numPr>
        <w:tabs>
          <w:tab w:val="clear" w:pos="720"/>
        </w:tabs>
        <w:ind w:left="284" w:right="283" w:hanging="210"/>
      </w:pPr>
      <w:r w:rsidRPr="00CD6816">
        <w:t>Vasvár Szentmihályfalvi utca és Március 15. tér szennyvízcsatorna bélelés 8,1 mFt</w:t>
      </w:r>
    </w:p>
    <w:p w:rsidR="007F15C1" w:rsidRPr="00CD6816" w:rsidRDefault="007F15C1" w:rsidP="007F15C1">
      <w:pPr>
        <w:pStyle w:val="Szvegtrzsbehzssal"/>
        <w:numPr>
          <w:ilvl w:val="0"/>
          <w:numId w:val="6"/>
        </w:numPr>
        <w:tabs>
          <w:tab w:val="clear" w:pos="720"/>
        </w:tabs>
        <w:ind w:left="284" w:right="283" w:hanging="210"/>
      </w:pPr>
      <w:r w:rsidRPr="00CD6816">
        <w:t>Szentgotthárd 3. sz. szennyvízátemelő villamos rekonstrukciója 6,2 mFt</w:t>
      </w:r>
    </w:p>
    <w:p w:rsidR="007F15C1" w:rsidRPr="00CD6816" w:rsidRDefault="007F15C1" w:rsidP="007F15C1">
      <w:pPr>
        <w:pStyle w:val="Szvegtrzsbehzssal"/>
        <w:numPr>
          <w:ilvl w:val="0"/>
          <w:numId w:val="6"/>
        </w:numPr>
        <w:tabs>
          <w:tab w:val="clear" w:pos="720"/>
        </w:tabs>
        <w:ind w:left="284" w:right="283" w:hanging="210"/>
      </w:pPr>
      <w:r w:rsidRPr="00CD6816">
        <w:t>Sárvár szennyvíztisztító telep erősáramú és folyamatirányító rendszerének felújítása 13,2 mFt</w:t>
      </w:r>
    </w:p>
    <w:p w:rsidR="00E747BE" w:rsidRPr="00CD6816" w:rsidRDefault="00E747BE" w:rsidP="00E747BE">
      <w:pPr>
        <w:pStyle w:val="Szvegtrzsbehzssal"/>
        <w:numPr>
          <w:ilvl w:val="0"/>
          <w:numId w:val="6"/>
        </w:numPr>
        <w:tabs>
          <w:tab w:val="clear" w:pos="720"/>
        </w:tabs>
        <w:ind w:left="284" w:right="283" w:hanging="210"/>
      </w:pPr>
      <w:r w:rsidRPr="00CD6816">
        <w:rPr>
          <w:iCs/>
        </w:rPr>
        <w:t xml:space="preserve">Víziközművek Energiahatékonyságának Fejlesztése (VEF) pályázati forrásból </w:t>
      </w:r>
      <w:r w:rsidRPr="00CD6816">
        <w:t xml:space="preserve">(önrész 50 %, pályázati forrás 50 %) </w:t>
      </w:r>
      <w:r w:rsidRPr="00CD6816">
        <w:rPr>
          <w:iCs/>
        </w:rPr>
        <w:t>beszerzett centrifugák, fúvók, szennyvízszivattyúk, napelemek beszerzésének és beépítésének önrésze és a szükséges önrész-többlet 208,5 mFt</w:t>
      </w:r>
    </w:p>
    <w:p w:rsidR="00A16ACB" w:rsidRPr="002B7280" w:rsidRDefault="00A16ACB" w:rsidP="00A16ACB">
      <w:pPr>
        <w:rPr>
          <w:sz w:val="12"/>
          <w:szCs w:val="12"/>
        </w:rPr>
      </w:pPr>
    </w:p>
    <w:p w:rsidR="00A16ACB" w:rsidRPr="00CD6816" w:rsidRDefault="00A16ACB" w:rsidP="00A16ACB">
      <w:pPr>
        <w:pStyle w:val="Cmsor2"/>
        <w:rPr>
          <w:i w:val="0"/>
          <w:iCs w:val="0"/>
          <w:sz w:val="22"/>
        </w:rPr>
      </w:pPr>
      <w:bookmarkStart w:id="67" w:name="_Toc112068751"/>
      <w:bookmarkStart w:id="68" w:name="_Toc132629497"/>
      <w:r w:rsidRPr="00CD6816">
        <w:rPr>
          <w:i w:val="0"/>
          <w:iCs w:val="0"/>
          <w:sz w:val="22"/>
        </w:rPr>
        <w:t>Egyéb megrendelésre végzett főbb építőipari munkák és beszerzések</w:t>
      </w:r>
      <w:bookmarkEnd w:id="67"/>
      <w:bookmarkEnd w:id="68"/>
    </w:p>
    <w:p w:rsidR="00D042D5" w:rsidRPr="00CD6816" w:rsidRDefault="00D042D5" w:rsidP="00D042D5">
      <w:pPr>
        <w:pStyle w:val="Szvegtrzsbehzssal"/>
        <w:numPr>
          <w:ilvl w:val="0"/>
          <w:numId w:val="6"/>
        </w:numPr>
        <w:tabs>
          <w:tab w:val="clear" w:pos="720"/>
        </w:tabs>
        <w:ind w:left="284" w:right="283" w:hanging="210"/>
      </w:pPr>
      <w:r w:rsidRPr="00CD6816">
        <w:t>Kőszeg, Kethelyi út ivóvízhálózat bővítés kivitelezési munkái 4,3 mFt, Hegyalja utca - Mélyút utca felújítása, útépítés, csapadékvíz elvezetés 3,7 mFt</w:t>
      </w:r>
    </w:p>
    <w:p w:rsidR="00D042D5" w:rsidRPr="00CD6816" w:rsidRDefault="00D042D5" w:rsidP="00D042D5">
      <w:pPr>
        <w:pStyle w:val="Szvegtrzsbehzssal"/>
        <w:numPr>
          <w:ilvl w:val="0"/>
          <w:numId w:val="6"/>
        </w:numPr>
        <w:tabs>
          <w:tab w:val="clear" w:pos="720"/>
        </w:tabs>
        <w:ind w:left="284" w:right="283" w:hanging="210"/>
      </w:pPr>
      <w:r w:rsidRPr="00CD6816">
        <w:t>Sé, Deák Ferenc u. vízellátásának kiépítése 4,4 mFt</w:t>
      </w:r>
    </w:p>
    <w:p w:rsidR="00D042D5" w:rsidRPr="00CD6816" w:rsidRDefault="00D042D5" w:rsidP="00D042D5">
      <w:pPr>
        <w:pStyle w:val="Szvegtrzsbehzssal"/>
        <w:numPr>
          <w:ilvl w:val="0"/>
          <w:numId w:val="6"/>
        </w:numPr>
        <w:tabs>
          <w:tab w:val="clear" w:pos="720"/>
        </w:tabs>
        <w:ind w:left="284" w:right="283" w:hanging="210"/>
      </w:pPr>
      <w:r w:rsidRPr="00CD6816">
        <w:t>Csipkerek vízhálózat bővítés 7,9 mFt</w:t>
      </w:r>
    </w:p>
    <w:p w:rsidR="00D042D5" w:rsidRPr="00CD6816" w:rsidRDefault="00D042D5" w:rsidP="00D042D5">
      <w:pPr>
        <w:pStyle w:val="Szvegtrzsbehzssal"/>
        <w:numPr>
          <w:ilvl w:val="0"/>
          <w:numId w:val="6"/>
        </w:numPr>
        <w:tabs>
          <w:tab w:val="clear" w:pos="720"/>
        </w:tabs>
        <w:ind w:left="284" w:right="283" w:hanging="210"/>
      </w:pPr>
      <w:r w:rsidRPr="00CD6816">
        <w:t>Nemescsó, szennyvízátemelő terveztetés, engedélyeztetés, kiépítés, 7,8 mFt</w:t>
      </w:r>
    </w:p>
    <w:p w:rsidR="00A16ACB" w:rsidRPr="00CD6816" w:rsidRDefault="00A16ACB" w:rsidP="00A16ACB">
      <w:pPr>
        <w:pStyle w:val="Szvegtrzsbehzssal"/>
        <w:numPr>
          <w:ilvl w:val="0"/>
          <w:numId w:val="6"/>
        </w:numPr>
        <w:tabs>
          <w:tab w:val="clear" w:pos="720"/>
        </w:tabs>
        <w:ind w:left="284" w:right="283" w:hanging="210"/>
        <w:rPr>
          <w:b/>
          <w:bCs/>
          <w:i/>
          <w:iCs/>
          <w:sz w:val="28"/>
          <w:szCs w:val="28"/>
        </w:rPr>
      </w:pPr>
      <w:r w:rsidRPr="00CD6816">
        <w:rPr>
          <w:iCs/>
        </w:rPr>
        <w:t xml:space="preserve">Víziközművek Energiahatékonyságának Fejlesztése (VEF) pályázati forrásból </w:t>
      </w:r>
      <w:r w:rsidRPr="00CD6816">
        <w:t xml:space="preserve">(önrész 50 %, pályázati forrás 50 %) </w:t>
      </w:r>
      <w:r w:rsidRPr="00CD6816">
        <w:rPr>
          <w:iCs/>
        </w:rPr>
        <w:t>beszerzett centrifugák, fúvók, szennyvízszivattyúk</w:t>
      </w:r>
      <w:r w:rsidR="00C400DA" w:rsidRPr="00CD6816">
        <w:rPr>
          <w:iCs/>
        </w:rPr>
        <w:t>, napelemek</w:t>
      </w:r>
      <w:r w:rsidRPr="00CD6816">
        <w:rPr>
          <w:iCs/>
        </w:rPr>
        <w:t xml:space="preserve"> beszerzésének és beépítésének pályázati támogatás része, 155,9 mFt</w:t>
      </w:r>
    </w:p>
    <w:p w:rsidR="00D042D5" w:rsidRPr="00CD6816" w:rsidRDefault="00D042D5" w:rsidP="00D042D5">
      <w:pPr>
        <w:pStyle w:val="Szvegtrzsbehzssal"/>
        <w:numPr>
          <w:ilvl w:val="0"/>
          <w:numId w:val="6"/>
        </w:numPr>
        <w:tabs>
          <w:tab w:val="clear" w:pos="720"/>
        </w:tabs>
        <w:ind w:left="284" w:right="283" w:hanging="210"/>
      </w:pPr>
      <w:r w:rsidRPr="00CD6816">
        <w:t>Kisértékű víz- csatorna bekötések, egyéb munkák 155,8 mFt</w:t>
      </w:r>
    </w:p>
    <w:p w:rsidR="00A16ACB" w:rsidRDefault="00A16ACB" w:rsidP="00A16ACB"/>
    <w:p w:rsidR="00A16ACB" w:rsidRPr="00A16ACB" w:rsidRDefault="00A16ACB" w:rsidP="00A16ACB"/>
    <w:p w:rsidR="00D51AA4" w:rsidRPr="00CD6816" w:rsidRDefault="00D51AA4">
      <w:pPr>
        <w:pStyle w:val="Cmsor1"/>
        <w:rPr>
          <w:szCs w:val="24"/>
        </w:rPr>
      </w:pPr>
      <w:bookmarkStart w:id="69" w:name="_Toc132629498"/>
      <w:r w:rsidRPr="00CD6816">
        <w:rPr>
          <w:szCs w:val="24"/>
        </w:rPr>
        <w:t>VIII. A</w:t>
      </w:r>
      <w:r w:rsidR="00D40B11">
        <w:rPr>
          <w:szCs w:val="24"/>
        </w:rPr>
        <w:t xml:space="preserve"> </w:t>
      </w:r>
      <w:r w:rsidRPr="00CD6816">
        <w:rPr>
          <w:szCs w:val="24"/>
        </w:rPr>
        <w:t>ZRT. MŰKÖDÉSÉNEK SZEMÉLYI FELTÉTELEI</w:t>
      </w:r>
      <w:bookmarkEnd w:id="69"/>
    </w:p>
    <w:p w:rsidR="00D51AA4" w:rsidRPr="00CD6816" w:rsidRDefault="00D51AA4">
      <w:pPr>
        <w:pStyle w:val="Trgymutatcm"/>
        <w:rPr>
          <w:sz w:val="20"/>
        </w:rPr>
      </w:pPr>
    </w:p>
    <w:p w:rsidR="00D51AA4" w:rsidRDefault="00D51AA4">
      <w:pPr>
        <w:pStyle w:val="Cmsor2"/>
        <w:rPr>
          <w:sz w:val="22"/>
        </w:rPr>
      </w:pPr>
      <w:bookmarkStart w:id="70" w:name="_Toc132629499"/>
      <w:r w:rsidRPr="00CD6816">
        <w:rPr>
          <w:sz w:val="22"/>
        </w:rPr>
        <w:t>Korrigált munkajogi létszám</w:t>
      </w:r>
      <w:bookmarkEnd w:id="70"/>
    </w:p>
    <w:p w:rsidR="006640F2" w:rsidRPr="006640F2" w:rsidRDefault="006640F2" w:rsidP="006640F2"/>
    <w:tbl>
      <w:tblPr>
        <w:tblW w:w="9831" w:type="dxa"/>
        <w:tblCellMar>
          <w:left w:w="70" w:type="dxa"/>
          <w:right w:w="70" w:type="dxa"/>
        </w:tblCellMar>
        <w:tblLook w:val="04A0" w:firstRow="1" w:lastRow="0" w:firstColumn="1" w:lastColumn="0" w:noHBand="0" w:noVBand="1"/>
      </w:tblPr>
      <w:tblGrid>
        <w:gridCol w:w="3860"/>
        <w:gridCol w:w="251"/>
        <w:gridCol w:w="709"/>
        <w:gridCol w:w="200"/>
        <w:gridCol w:w="251"/>
        <w:gridCol w:w="541"/>
        <w:gridCol w:w="368"/>
        <w:gridCol w:w="251"/>
        <w:gridCol w:w="515"/>
        <w:gridCol w:w="354"/>
        <w:gridCol w:w="251"/>
        <w:gridCol w:w="671"/>
        <w:gridCol w:w="258"/>
        <w:gridCol w:w="251"/>
        <w:gridCol w:w="591"/>
        <w:gridCol w:w="258"/>
        <w:gridCol w:w="251"/>
      </w:tblGrid>
      <w:tr w:rsidR="006640F2" w:rsidRPr="006640F2" w:rsidTr="006640F2">
        <w:trPr>
          <w:gridAfter w:val="1"/>
          <w:wAfter w:w="251" w:type="dxa"/>
          <w:trHeight w:val="600"/>
        </w:trPr>
        <w:tc>
          <w:tcPr>
            <w:tcW w:w="3860" w:type="dxa"/>
            <w:tcBorders>
              <w:top w:val="single" w:sz="4" w:space="0" w:color="auto"/>
              <w:left w:val="nil"/>
              <w:bottom w:val="single" w:sz="4" w:space="0" w:color="auto"/>
              <w:right w:val="nil"/>
            </w:tcBorders>
            <w:shd w:val="clear" w:color="auto" w:fill="auto"/>
            <w:vAlign w:val="bottom"/>
            <w:hideMark/>
          </w:tcPr>
          <w:p w:rsidR="006640F2" w:rsidRPr="006640F2" w:rsidRDefault="006640F2" w:rsidP="006640F2">
            <w:pPr>
              <w:jc w:val="left"/>
              <w:rPr>
                <w:rFonts w:ascii="Times New Roman CE" w:hAnsi="Times New Roman CE" w:cs="Times New Roman CE"/>
                <w:i/>
                <w:iCs/>
                <w:sz w:val="23"/>
                <w:szCs w:val="23"/>
              </w:rPr>
            </w:pPr>
            <w:r w:rsidRPr="006640F2">
              <w:rPr>
                <w:rFonts w:ascii="Times New Roman CE" w:hAnsi="Times New Roman CE" w:cs="Times New Roman CE"/>
                <w:i/>
                <w:iCs/>
                <w:sz w:val="23"/>
                <w:szCs w:val="23"/>
              </w:rPr>
              <w:t> </w:t>
            </w:r>
          </w:p>
        </w:tc>
        <w:tc>
          <w:tcPr>
            <w:tcW w:w="1160" w:type="dxa"/>
            <w:gridSpan w:val="3"/>
            <w:tcBorders>
              <w:top w:val="single" w:sz="4" w:space="0" w:color="auto"/>
              <w:left w:val="nil"/>
              <w:bottom w:val="single" w:sz="4" w:space="0" w:color="auto"/>
              <w:right w:val="nil"/>
            </w:tcBorders>
            <w:shd w:val="clear" w:color="auto" w:fill="auto"/>
            <w:vAlign w:val="center"/>
            <w:hideMark/>
          </w:tcPr>
          <w:p w:rsidR="006640F2" w:rsidRPr="006640F2" w:rsidRDefault="006640F2" w:rsidP="006640F2">
            <w:pPr>
              <w:jc w:val="center"/>
              <w:rPr>
                <w:rFonts w:ascii="Times New Roman CE" w:hAnsi="Times New Roman CE" w:cs="Times New Roman CE"/>
                <w:i/>
                <w:iCs/>
                <w:sz w:val="23"/>
                <w:szCs w:val="23"/>
              </w:rPr>
            </w:pPr>
            <w:r w:rsidRPr="006640F2">
              <w:rPr>
                <w:rFonts w:ascii="Times New Roman CE" w:hAnsi="Times New Roman CE" w:cs="Times New Roman CE"/>
                <w:i/>
                <w:iCs/>
                <w:sz w:val="23"/>
                <w:szCs w:val="23"/>
              </w:rPr>
              <w:t>2021. évi</w:t>
            </w:r>
            <w:r w:rsidRPr="006640F2">
              <w:rPr>
                <w:rFonts w:ascii="Times New Roman CE" w:hAnsi="Times New Roman CE" w:cs="Times New Roman CE"/>
                <w:i/>
                <w:iCs/>
                <w:sz w:val="23"/>
                <w:szCs w:val="23"/>
              </w:rPr>
              <w:br/>
              <w:t xml:space="preserve"> tény </w:t>
            </w:r>
          </w:p>
        </w:tc>
        <w:tc>
          <w:tcPr>
            <w:tcW w:w="1160" w:type="dxa"/>
            <w:gridSpan w:val="3"/>
            <w:tcBorders>
              <w:top w:val="single" w:sz="4" w:space="0" w:color="auto"/>
              <w:left w:val="nil"/>
              <w:bottom w:val="single" w:sz="4" w:space="0" w:color="auto"/>
              <w:right w:val="nil"/>
            </w:tcBorders>
            <w:shd w:val="clear" w:color="auto" w:fill="auto"/>
            <w:vAlign w:val="center"/>
            <w:hideMark/>
          </w:tcPr>
          <w:p w:rsidR="006640F2" w:rsidRPr="006640F2" w:rsidRDefault="006640F2" w:rsidP="006640F2">
            <w:pPr>
              <w:jc w:val="center"/>
              <w:rPr>
                <w:rFonts w:ascii="Times New Roman CE" w:hAnsi="Times New Roman CE" w:cs="Times New Roman CE"/>
                <w:i/>
                <w:iCs/>
                <w:sz w:val="23"/>
                <w:szCs w:val="23"/>
              </w:rPr>
            </w:pPr>
            <w:r w:rsidRPr="006640F2">
              <w:rPr>
                <w:rFonts w:ascii="Times New Roman CE" w:hAnsi="Times New Roman CE" w:cs="Times New Roman CE"/>
                <w:i/>
                <w:iCs/>
                <w:sz w:val="23"/>
                <w:szCs w:val="23"/>
              </w:rPr>
              <w:t>2022. évi</w:t>
            </w:r>
            <w:r w:rsidRPr="006640F2">
              <w:rPr>
                <w:rFonts w:ascii="Times New Roman CE" w:hAnsi="Times New Roman CE" w:cs="Times New Roman CE"/>
                <w:i/>
                <w:iCs/>
                <w:sz w:val="23"/>
                <w:szCs w:val="23"/>
              </w:rPr>
              <w:br/>
              <w:t xml:space="preserve"> terv</w:t>
            </w:r>
          </w:p>
        </w:tc>
        <w:tc>
          <w:tcPr>
            <w:tcW w:w="1120" w:type="dxa"/>
            <w:gridSpan w:val="3"/>
            <w:tcBorders>
              <w:top w:val="single" w:sz="4" w:space="0" w:color="auto"/>
              <w:left w:val="nil"/>
              <w:bottom w:val="single" w:sz="4" w:space="0" w:color="auto"/>
              <w:right w:val="nil"/>
            </w:tcBorders>
            <w:shd w:val="clear" w:color="auto" w:fill="auto"/>
            <w:vAlign w:val="center"/>
            <w:hideMark/>
          </w:tcPr>
          <w:p w:rsidR="006640F2" w:rsidRPr="006640F2" w:rsidRDefault="006640F2" w:rsidP="006640F2">
            <w:pPr>
              <w:jc w:val="center"/>
              <w:rPr>
                <w:rFonts w:ascii="Times New Roman CE" w:hAnsi="Times New Roman CE" w:cs="Times New Roman CE"/>
                <w:i/>
                <w:iCs/>
                <w:sz w:val="23"/>
                <w:szCs w:val="23"/>
              </w:rPr>
            </w:pPr>
            <w:r w:rsidRPr="006640F2">
              <w:rPr>
                <w:rFonts w:ascii="Times New Roman CE" w:hAnsi="Times New Roman CE" w:cs="Times New Roman CE"/>
                <w:i/>
                <w:iCs/>
                <w:sz w:val="23"/>
                <w:szCs w:val="23"/>
              </w:rPr>
              <w:t>2022. évi</w:t>
            </w:r>
            <w:r w:rsidRPr="006640F2">
              <w:rPr>
                <w:rFonts w:ascii="Times New Roman CE" w:hAnsi="Times New Roman CE" w:cs="Times New Roman CE"/>
                <w:i/>
                <w:iCs/>
                <w:sz w:val="23"/>
                <w:szCs w:val="23"/>
              </w:rPr>
              <w:br/>
              <w:t xml:space="preserve"> tény </w:t>
            </w:r>
          </w:p>
        </w:tc>
        <w:tc>
          <w:tcPr>
            <w:tcW w:w="1180" w:type="dxa"/>
            <w:gridSpan w:val="3"/>
            <w:tcBorders>
              <w:top w:val="single" w:sz="4" w:space="0" w:color="auto"/>
              <w:left w:val="nil"/>
              <w:bottom w:val="single" w:sz="4" w:space="0" w:color="auto"/>
              <w:right w:val="nil"/>
            </w:tcBorders>
            <w:shd w:val="clear" w:color="auto" w:fill="auto"/>
            <w:vAlign w:val="center"/>
            <w:hideMark/>
          </w:tcPr>
          <w:p w:rsidR="006640F2" w:rsidRPr="006640F2" w:rsidRDefault="006640F2" w:rsidP="006640F2">
            <w:pPr>
              <w:jc w:val="center"/>
              <w:rPr>
                <w:rFonts w:ascii="Times New Roman CE" w:hAnsi="Times New Roman CE" w:cs="Times New Roman CE"/>
                <w:i/>
                <w:iCs/>
                <w:sz w:val="23"/>
                <w:szCs w:val="23"/>
              </w:rPr>
            </w:pPr>
            <w:r w:rsidRPr="006640F2">
              <w:rPr>
                <w:rFonts w:ascii="Times New Roman CE" w:hAnsi="Times New Roman CE" w:cs="Times New Roman CE"/>
                <w:i/>
                <w:iCs/>
                <w:sz w:val="23"/>
                <w:szCs w:val="23"/>
              </w:rPr>
              <w:t xml:space="preserve">tény/ bázis    </w:t>
            </w:r>
          </w:p>
        </w:tc>
        <w:tc>
          <w:tcPr>
            <w:tcW w:w="1100" w:type="dxa"/>
            <w:gridSpan w:val="3"/>
            <w:tcBorders>
              <w:top w:val="single" w:sz="4" w:space="0" w:color="auto"/>
              <w:left w:val="nil"/>
              <w:bottom w:val="single" w:sz="4" w:space="0" w:color="auto"/>
              <w:right w:val="nil"/>
            </w:tcBorders>
            <w:shd w:val="clear" w:color="auto" w:fill="auto"/>
            <w:vAlign w:val="center"/>
            <w:hideMark/>
          </w:tcPr>
          <w:p w:rsidR="006640F2" w:rsidRPr="006640F2" w:rsidRDefault="006640F2" w:rsidP="006640F2">
            <w:pPr>
              <w:jc w:val="center"/>
              <w:rPr>
                <w:rFonts w:ascii="Times New Roman CE" w:hAnsi="Times New Roman CE" w:cs="Times New Roman CE"/>
                <w:i/>
                <w:iCs/>
                <w:sz w:val="23"/>
                <w:szCs w:val="23"/>
              </w:rPr>
            </w:pPr>
            <w:r w:rsidRPr="006640F2">
              <w:rPr>
                <w:rFonts w:ascii="Times New Roman CE" w:hAnsi="Times New Roman CE" w:cs="Times New Roman CE"/>
                <w:i/>
                <w:iCs/>
                <w:sz w:val="23"/>
                <w:szCs w:val="23"/>
              </w:rPr>
              <w:t xml:space="preserve">tény/ terv    </w:t>
            </w:r>
          </w:p>
        </w:tc>
      </w:tr>
      <w:tr w:rsidR="006640F2" w:rsidRPr="006640F2" w:rsidTr="006640F2">
        <w:trPr>
          <w:gridAfter w:val="2"/>
          <w:wAfter w:w="509" w:type="dxa"/>
          <w:trHeight w:val="300"/>
        </w:trPr>
        <w:tc>
          <w:tcPr>
            <w:tcW w:w="3860" w:type="dxa"/>
            <w:tcBorders>
              <w:top w:val="nil"/>
              <w:left w:val="nil"/>
              <w:bottom w:val="nil"/>
              <w:right w:val="nil"/>
            </w:tcBorders>
            <w:shd w:val="clear" w:color="auto" w:fill="auto"/>
            <w:noWrap/>
            <w:vAlign w:val="bottom"/>
            <w:hideMark/>
          </w:tcPr>
          <w:p w:rsidR="006640F2" w:rsidRPr="006640F2" w:rsidRDefault="006640F2" w:rsidP="006640F2">
            <w:pPr>
              <w:jc w:val="left"/>
              <w:rPr>
                <w:rFonts w:ascii="Times New Roman CE" w:hAnsi="Times New Roman CE" w:cs="Times New Roman CE"/>
                <w:sz w:val="23"/>
                <w:szCs w:val="23"/>
              </w:rPr>
            </w:pPr>
            <w:r w:rsidRPr="006640F2">
              <w:rPr>
                <w:rFonts w:ascii="Times New Roman CE" w:hAnsi="Times New Roman CE" w:cs="Times New Roman CE"/>
                <w:sz w:val="23"/>
                <w:szCs w:val="23"/>
              </w:rPr>
              <w:t>Teljes munkaidős</w:t>
            </w:r>
          </w:p>
        </w:tc>
        <w:tc>
          <w:tcPr>
            <w:tcW w:w="960" w:type="dxa"/>
            <w:gridSpan w:val="2"/>
            <w:tcBorders>
              <w:top w:val="nil"/>
              <w:left w:val="nil"/>
              <w:bottom w:val="nil"/>
              <w:right w:val="nil"/>
            </w:tcBorders>
            <w:shd w:val="clear" w:color="auto" w:fill="auto"/>
            <w:noWrap/>
            <w:vAlign w:val="bottom"/>
            <w:hideMark/>
          </w:tcPr>
          <w:p w:rsidR="006640F2" w:rsidRPr="006640F2" w:rsidRDefault="006640F2" w:rsidP="006640F2">
            <w:pPr>
              <w:jc w:val="right"/>
              <w:rPr>
                <w:rFonts w:ascii="Times New Roman CE" w:hAnsi="Times New Roman CE" w:cs="Times New Roman CE"/>
                <w:sz w:val="23"/>
                <w:szCs w:val="23"/>
              </w:rPr>
            </w:pPr>
            <w:r w:rsidRPr="006640F2">
              <w:rPr>
                <w:rFonts w:ascii="Times New Roman CE" w:hAnsi="Times New Roman CE" w:cs="Times New Roman CE"/>
                <w:sz w:val="23"/>
                <w:szCs w:val="23"/>
              </w:rPr>
              <w:t>562</w:t>
            </w:r>
          </w:p>
        </w:tc>
        <w:tc>
          <w:tcPr>
            <w:tcW w:w="992" w:type="dxa"/>
            <w:gridSpan w:val="3"/>
            <w:tcBorders>
              <w:top w:val="nil"/>
              <w:left w:val="nil"/>
              <w:bottom w:val="nil"/>
              <w:right w:val="nil"/>
            </w:tcBorders>
            <w:shd w:val="clear" w:color="auto" w:fill="auto"/>
            <w:noWrap/>
            <w:vAlign w:val="bottom"/>
            <w:hideMark/>
          </w:tcPr>
          <w:p w:rsidR="006640F2" w:rsidRPr="006640F2" w:rsidRDefault="006640F2" w:rsidP="006640F2">
            <w:pPr>
              <w:jc w:val="right"/>
              <w:rPr>
                <w:rFonts w:ascii="Times New Roman CE" w:hAnsi="Times New Roman CE" w:cs="Times New Roman CE"/>
                <w:sz w:val="23"/>
                <w:szCs w:val="23"/>
              </w:rPr>
            </w:pPr>
            <w:r w:rsidRPr="006640F2">
              <w:rPr>
                <w:rFonts w:ascii="Times New Roman CE" w:hAnsi="Times New Roman CE" w:cs="Times New Roman CE"/>
                <w:sz w:val="23"/>
                <w:szCs w:val="23"/>
              </w:rPr>
              <w:t>574</w:t>
            </w:r>
          </w:p>
        </w:tc>
        <w:tc>
          <w:tcPr>
            <w:tcW w:w="1134" w:type="dxa"/>
            <w:gridSpan w:val="3"/>
            <w:tcBorders>
              <w:top w:val="nil"/>
              <w:left w:val="nil"/>
              <w:bottom w:val="nil"/>
              <w:right w:val="nil"/>
            </w:tcBorders>
            <w:shd w:val="clear" w:color="auto" w:fill="auto"/>
            <w:noWrap/>
            <w:vAlign w:val="bottom"/>
            <w:hideMark/>
          </w:tcPr>
          <w:p w:rsidR="006640F2" w:rsidRPr="006640F2" w:rsidRDefault="006640F2" w:rsidP="006640F2">
            <w:pPr>
              <w:jc w:val="right"/>
              <w:rPr>
                <w:rFonts w:ascii="Times New Roman CE" w:hAnsi="Times New Roman CE" w:cs="Times New Roman CE"/>
                <w:sz w:val="23"/>
                <w:szCs w:val="23"/>
              </w:rPr>
            </w:pPr>
            <w:r w:rsidRPr="006640F2">
              <w:rPr>
                <w:rFonts w:ascii="Times New Roman CE" w:hAnsi="Times New Roman CE" w:cs="Times New Roman CE"/>
                <w:sz w:val="23"/>
                <w:szCs w:val="23"/>
              </w:rPr>
              <w:t>530</w:t>
            </w:r>
          </w:p>
        </w:tc>
        <w:tc>
          <w:tcPr>
            <w:tcW w:w="1276" w:type="dxa"/>
            <w:gridSpan w:val="3"/>
            <w:tcBorders>
              <w:top w:val="nil"/>
              <w:left w:val="nil"/>
              <w:bottom w:val="nil"/>
              <w:right w:val="nil"/>
            </w:tcBorders>
            <w:shd w:val="clear" w:color="auto" w:fill="auto"/>
            <w:noWrap/>
            <w:vAlign w:val="bottom"/>
            <w:hideMark/>
          </w:tcPr>
          <w:p w:rsidR="006640F2" w:rsidRPr="006640F2" w:rsidRDefault="006640F2" w:rsidP="006640F2">
            <w:pPr>
              <w:jc w:val="right"/>
              <w:rPr>
                <w:rFonts w:ascii="Times New Roman CE" w:hAnsi="Times New Roman CE" w:cs="Times New Roman CE"/>
                <w:sz w:val="23"/>
                <w:szCs w:val="23"/>
              </w:rPr>
            </w:pPr>
            <w:r w:rsidRPr="006640F2">
              <w:rPr>
                <w:rFonts w:ascii="Times New Roman CE" w:hAnsi="Times New Roman CE" w:cs="Times New Roman CE"/>
                <w:sz w:val="23"/>
                <w:szCs w:val="23"/>
              </w:rPr>
              <w:t>94,3%</w:t>
            </w:r>
          </w:p>
        </w:tc>
        <w:tc>
          <w:tcPr>
            <w:tcW w:w="1100" w:type="dxa"/>
            <w:gridSpan w:val="3"/>
            <w:tcBorders>
              <w:top w:val="nil"/>
              <w:left w:val="nil"/>
              <w:bottom w:val="nil"/>
              <w:right w:val="nil"/>
            </w:tcBorders>
            <w:shd w:val="clear" w:color="auto" w:fill="auto"/>
            <w:noWrap/>
            <w:vAlign w:val="bottom"/>
            <w:hideMark/>
          </w:tcPr>
          <w:p w:rsidR="006640F2" w:rsidRPr="006640F2" w:rsidRDefault="006640F2" w:rsidP="006640F2">
            <w:pPr>
              <w:jc w:val="right"/>
              <w:rPr>
                <w:rFonts w:ascii="Times New Roman CE" w:hAnsi="Times New Roman CE" w:cs="Times New Roman CE"/>
                <w:sz w:val="23"/>
                <w:szCs w:val="23"/>
              </w:rPr>
            </w:pPr>
            <w:r w:rsidRPr="006640F2">
              <w:rPr>
                <w:rFonts w:ascii="Times New Roman CE" w:hAnsi="Times New Roman CE" w:cs="Times New Roman CE"/>
                <w:sz w:val="23"/>
                <w:szCs w:val="23"/>
              </w:rPr>
              <w:t>92,3%</w:t>
            </w:r>
          </w:p>
        </w:tc>
      </w:tr>
      <w:tr w:rsidR="006640F2" w:rsidRPr="006640F2" w:rsidTr="006640F2">
        <w:trPr>
          <w:gridAfter w:val="2"/>
          <w:wAfter w:w="509" w:type="dxa"/>
          <w:trHeight w:val="300"/>
        </w:trPr>
        <w:tc>
          <w:tcPr>
            <w:tcW w:w="3860" w:type="dxa"/>
            <w:tcBorders>
              <w:top w:val="nil"/>
              <w:left w:val="nil"/>
              <w:bottom w:val="single" w:sz="4" w:space="0" w:color="auto"/>
              <w:right w:val="nil"/>
            </w:tcBorders>
            <w:shd w:val="clear" w:color="auto" w:fill="auto"/>
            <w:noWrap/>
            <w:vAlign w:val="bottom"/>
            <w:hideMark/>
          </w:tcPr>
          <w:p w:rsidR="006640F2" w:rsidRPr="006640F2" w:rsidRDefault="006640F2" w:rsidP="006640F2">
            <w:pPr>
              <w:jc w:val="left"/>
              <w:rPr>
                <w:rFonts w:ascii="Times New Roman CE" w:hAnsi="Times New Roman CE" w:cs="Times New Roman CE"/>
                <w:sz w:val="23"/>
                <w:szCs w:val="23"/>
              </w:rPr>
            </w:pPr>
            <w:r w:rsidRPr="006640F2">
              <w:rPr>
                <w:rFonts w:ascii="Times New Roman CE" w:hAnsi="Times New Roman CE" w:cs="Times New Roman CE"/>
                <w:sz w:val="23"/>
                <w:szCs w:val="23"/>
              </w:rPr>
              <w:t>Nem teljes munkaidős*</w:t>
            </w:r>
          </w:p>
        </w:tc>
        <w:tc>
          <w:tcPr>
            <w:tcW w:w="960" w:type="dxa"/>
            <w:gridSpan w:val="2"/>
            <w:tcBorders>
              <w:top w:val="nil"/>
              <w:left w:val="nil"/>
              <w:bottom w:val="single" w:sz="4" w:space="0" w:color="auto"/>
              <w:right w:val="nil"/>
            </w:tcBorders>
            <w:shd w:val="clear" w:color="auto" w:fill="auto"/>
            <w:noWrap/>
            <w:vAlign w:val="bottom"/>
            <w:hideMark/>
          </w:tcPr>
          <w:p w:rsidR="006640F2" w:rsidRPr="006640F2" w:rsidRDefault="006640F2" w:rsidP="006640F2">
            <w:pPr>
              <w:jc w:val="right"/>
              <w:rPr>
                <w:rFonts w:ascii="Times New Roman CE" w:hAnsi="Times New Roman CE" w:cs="Times New Roman CE"/>
                <w:sz w:val="23"/>
                <w:szCs w:val="23"/>
              </w:rPr>
            </w:pPr>
            <w:r w:rsidRPr="006640F2">
              <w:rPr>
                <w:rFonts w:ascii="Times New Roman CE" w:hAnsi="Times New Roman CE" w:cs="Times New Roman CE"/>
                <w:sz w:val="23"/>
                <w:szCs w:val="23"/>
              </w:rPr>
              <w:t>14</w:t>
            </w:r>
          </w:p>
        </w:tc>
        <w:tc>
          <w:tcPr>
            <w:tcW w:w="992" w:type="dxa"/>
            <w:gridSpan w:val="3"/>
            <w:tcBorders>
              <w:top w:val="nil"/>
              <w:left w:val="nil"/>
              <w:bottom w:val="single" w:sz="4" w:space="0" w:color="auto"/>
              <w:right w:val="nil"/>
            </w:tcBorders>
            <w:shd w:val="clear" w:color="auto" w:fill="auto"/>
            <w:noWrap/>
            <w:vAlign w:val="bottom"/>
            <w:hideMark/>
          </w:tcPr>
          <w:p w:rsidR="006640F2" w:rsidRPr="006640F2" w:rsidRDefault="006640F2" w:rsidP="006640F2">
            <w:pPr>
              <w:jc w:val="right"/>
              <w:rPr>
                <w:rFonts w:ascii="Times New Roman CE" w:hAnsi="Times New Roman CE" w:cs="Times New Roman CE"/>
                <w:sz w:val="23"/>
                <w:szCs w:val="23"/>
              </w:rPr>
            </w:pPr>
            <w:r w:rsidRPr="006640F2">
              <w:rPr>
                <w:rFonts w:ascii="Times New Roman CE" w:hAnsi="Times New Roman CE" w:cs="Times New Roman CE"/>
                <w:sz w:val="23"/>
                <w:szCs w:val="23"/>
              </w:rPr>
              <w:t>15</w:t>
            </w:r>
          </w:p>
        </w:tc>
        <w:tc>
          <w:tcPr>
            <w:tcW w:w="1134" w:type="dxa"/>
            <w:gridSpan w:val="3"/>
            <w:tcBorders>
              <w:top w:val="nil"/>
              <w:left w:val="nil"/>
              <w:bottom w:val="single" w:sz="4" w:space="0" w:color="auto"/>
              <w:right w:val="nil"/>
            </w:tcBorders>
            <w:shd w:val="clear" w:color="auto" w:fill="auto"/>
            <w:noWrap/>
            <w:vAlign w:val="bottom"/>
            <w:hideMark/>
          </w:tcPr>
          <w:p w:rsidR="006640F2" w:rsidRPr="006640F2" w:rsidRDefault="006640F2" w:rsidP="006640F2">
            <w:pPr>
              <w:jc w:val="right"/>
              <w:rPr>
                <w:rFonts w:ascii="Times New Roman CE" w:hAnsi="Times New Roman CE" w:cs="Times New Roman CE"/>
                <w:sz w:val="23"/>
                <w:szCs w:val="23"/>
              </w:rPr>
            </w:pPr>
            <w:r w:rsidRPr="006640F2">
              <w:rPr>
                <w:rFonts w:ascii="Times New Roman CE" w:hAnsi="Times New Roman CE" w:cs="Times New Roman CE"/>
                <w:sz w:val="23"/>
                <w:szCs w:val="23"/>
              </w:rPr>
              <w:t>18</w:t>
            </w:r>
          </w:p>
        </w:tc>
        <w:tc>
          <w:tcPr>
            <w:tcW w:w="1276" w:type="dxa"/>
            <w:gridSpan w:val="3"/>
            <w:tcBorders>
              <w:top w:val="nil"/>
              <w:left w:val="nil"/>
              <w:bottom w:val="single" w:sz="4" w:space="0" w:color="auto"/>
              <w:right w:val="nil"/>
            </w:tcBorders>
            <w:shd w:val="clear" w:color="auto" w:fill="auto"/>
            <w:noWrap/>
            <w:vAlign w:val="bottom"/>
            <w:hideMark/>
          </w:tcPr>
          <w:p w:rsidR="006640F2" w:rsidRPr="006640F2" w:rsidRDefault="006640F2" w:rsidP="006640F2">
            <w:pPr>
              <w:jc w:val="right"/>
              <w:rPr>
                <w:rFonts w:ascii="Times New Roman CE" w:hAnsi="Times New Roman CE" w:cs="Times New Roman CE"/>
                <w:sz w:val="23"/>
                <w:szCs w:val="23"/>
              </w:rPr>
            </w:pPr>
            <w:r w:rsidRPr="006640F2">
              <w:rPr>
                <w:rFonts w:ascii="Times New Roman CE" w:hAnsi="Times New Roman CE" w:cs="Times New Roman CE"/>
                <w:sz w:val="23"/>
                <w:szCs w:val="23"/>
              </w:rPr>
              <w:t>128,6%</w:t>
            </w:r>
          </w:p>
        </w:tc>
        <w:tc>
          <w:tcPr>
            <w:tcW w:w="1100" w:type="dxa"/>
            <w:gridSpan w:val="3"/>
            <w:tcBorders>
              <w:top w:val="nil"/>
              <w:left w:val="nil"/>
              <w:bottom w:val="single" w:sz="4" w:space="0" w:color="auto"/>
              <w:right w:val="nil"/>
            </w:tcBorders>
            <w:shd w:val="clear" w:color="auto" w:fill="auto"/>
            <w:noWrap/>
            <w:vAlign w:val="bottom"/>
            <w:hideMark/>
          </w:tcPr>
          <w:p w:rsidR="006640F2" w:rsidRPr="006640F2" w:rsidRDefault="006640F2" w:rsidP="006640F2">
            <w:pPr>
              <w:jc w:val="right"/>
              <w:rPr>
                <w:rFonts w:ascii="Times New Roman CE" w:hAnsi="Times New Roman CE" w:cs="Times New Roman CE"/>
                <w:sz w:val="23"/>
                <w:szCs w:val="23"/>
              </w:rPr>
            </w:pPr>
            <w:r w:rsidRPr="006640F2">
              <w:rPr>
                <w:rFonts w:ascii="Times New Roman CE" w:hAnsi="Times New Roman CE" w:cs="Times New Roman CE"/>
                <w:sz w:val="23"/>
                <w:szCs w:val="23"/>
              </w:rPr>
              <w:t>120,0%</w:t>
            </w:r>
          </w:p>
        </w:tc>
      </w:tr>
      <w:tr w:rsidR="006640F2" w:rsidRPr="006640F2" w:rsidTr="006640F2">
        <w:trPr>
          <w:gridAfter w:val="2"/>
          <w:wAfter w:w="509" w:type="dxa"/>
          <w:trHeight w:val="300"/>
        </w:trPr>
        <w:tc>
          <w:tcPr>
            <w:tcW w:w="3860" w:type="dxa"/>
            <w:tcBorders>
              <w:top w:val="nil"/>
              <w:left w:val="nil"/>
              <w:bottom w:val="nil"/>
              <w:right w:val="nil"/>
            </w:tcBorders>
            <w:shd w:val="clear" w:color="auto" w:fill="auto"/>
            <w:noWrap/>
            <w:vAlign w:val="bottom"/>
            <w:hideMark/>
          </w:tcPr>
          <w:p w:rsidR="006640F2" w:rsidRPr="006640F2" w:rsidRDefault="006640F2" w:rsidP="006640F2">
            <w:pPr>
              <w:jc w:val="left"/>
              <w:rPr>
                <w:rFonts w:ascii="Times New Roman CE" w:hAnsi="Times New Roman CE" w:cs="Times New Roman CE"/>
                <w:i/>
                <w:iCs/>
                <w:sz w:val="23"/>
                <w:szCs w:val="23"/>
              </w:rPr>
            </w:pPr>
            <w:r w:rsidRPr="006640F2">
              <w:rPr>
                <w:rFonts w:ascii="Times New Roman CE" w:hAnsi="Times New Roman CE" w:cs="Times New Roman CE"/>
                <w:i/>
                <w:iCs/>
                <w:sz w:val="23"/>
                <w:szCs w:val="23"/>
              </w:rPr>
              <w:t>Összesen</w:t>
            </w:r>
          </w:p>
        </w:tc>
        <w:tc>
          <w:tcPr>
            <w:tcW w:w="960" w:type="dxa"/>
            <w:gridSpan w:val="2"/>
            <w:tcBorders>
              <w:top w:val="nil"/>
              <w:left w:val="nil"/>
              <w:bottom w:val="nil"/>
              <w:right w:val="nil"/>
            </w:tcBorders>
            <w:shd w:val="clear" w:color="auto" w:fill="auto"/>
            <w:noWrap/>
            <w:vAlign w:val="bottom"/>
            <w:hideMark/>
          </w:tcPr>
          <w:p w:rsidR="006640F2" w:rsidRPr="006640F2" w:rsidRDefault="006640F2" w:rsidP="006640F2">
            <w:pPr>
              <w:jc w:val="right"/>
              <w:rPr>
                <w:rFonts w:ascii="Times New Roman CE" w:hAnsi="Times New Roman CE" w:cs="Times New Roman CE"/>
                <w:i/>
                <w:iCs/>
                <w:sz w:val="23"/>
                <w:szCs w:val="23"/>
              </w:rPr>
            </w:pPr>
            <w:r w:rsidRPr="006640F2">
              <w:rPr>
                <w:rFonts w:ascii="Times New Roman CE" w:hAnsi="Times New Roman CE" w:cs="Times New Roman CE"/>
                <w:i/>
                <w:iCs/>
                <w:sz w:val="23"/>
                <w:szCs w:val="23"/>
              </w:rPr>
              <w:t>576</w:t>
            </w:r>
          </w:p>
        </w:tc>
        <w:tc>
          <w:tcPr>
            <w:tcW w:w="992" w:type="dxa"/>
            <w:gridSpan w:val="3"/>
            <w:tcBorders>
              <w:top w:val="nil"/>
              <w:left w:val="nil"/>
              <w:bottom w:val="nil"/>
              <w:right w:val="nil"/>
            </w:tcBorders>
            <w:shd w:val="clear" w:color="auto" w:fill="auto"/>
            <w:noWrap/>
            <w:vAlign w:val="bottom"/>
            <w:hideMark/>
          </w:tcPr>
          <w:p w:rsidR="006640F2" w:rsidRPr="006640F2" w:rsidRDefault="006640F2" w:rsidP="006640F2">
            <w:pPr>
              <w:jc w:val="right"/>
              <w:rPr>
                <w:rFonts w:ascii="Times New Roman CE" w:hAnsi="Times New Roman CE" w:cs="Times New Roman CE"/>
                <w:i/>
                <w:iCs/>
                <w:sz w:val="23"/>
                <w:szCs w:val="23"/>
              </w:rPr>
            </w:pPr>
            <w:r w:rsidRPr="006640F2">
              <w:rPr>
                <w:rFonts w:ascii="Times New Roman CE" w:hAnsi="Times New Roman CE" w:cs="Times New Roman CE"/>
                <w:i/>
                <w:iCs/>
                <w:sz w:val="23"/>
                <w:szCs w:val="23"/>
              </w:rPr>
              <w:t>589</w:t>
            </w:r>
          </w:p>
        </w:tc>
        <w:tc>
          <w:tcPr>
            <w:tcW w:w="1134" w:type="dxa"/>
            <w:gridSpan w:val="3"/>
            <w:tcBorders>
              <w:top w:val="nil"/>
              <w:left w:val="nil"/>
              <w:bottom w:val="nil"/>
              <w:right w:val="nil"/>
            </w:tcBorders>
            <w:shd w:val="clear" w:color="auto" w:fill="auto"/>
            <w:noWrap/>
            <w:vAlign w:val="bottom"/>
            <w:hideMark/>
          </w:tcPr>
          <w:p w:rsidR="006640F2" w:rsidRPr="006640F2" w:rsidRDefault="006640F2" w:rsidP="006640F2">
            <w:pPr>
              <w:jc w:val="right"/>
              <w:rPr>
                <w:rFonts w:ascii="Times New Roman CE" w:hAnsi="Times New Roman CE" w:cs="Times New Roman CE"/>
                <w:i/>
                <w:iCs/>
                <w:sz w:val="23"/>
                <w:szCs w:val="23"/>
              </w:rPr>
            </w:pPr>
            <w:r w:rsidRPr="006640F2">
              <w:rPr>
                <w:rFonts w:ascii="Times New Roman CE" w:hAnsi="Times New Roman CE" w:cs="Times New Roman CE"/>
                <w:i/>
                <w:iCs/>
                <w:sz w:val="23"/>
                <w:szCs w:val="23"/>
              </w:rPr>
              <w:t>548</w:t>
            </w:r>
          </w:p>
        </w:tc>
        <w:tc>
          <w:tcPr>
            <w:tcW w:w="1276" w:type="dxa"/>
            <w:gridSpan w:val="3"/>
            <w:tcBorders>
              <w:top w:val="nil"/>
              <w:left w:val="nil"/>
              <w:bottom w:val="nil"/>
              <w:right w:val="nil"/>
            </w:tcBorders>
            <w:shd w:val="clear" w:color="auto" w:fill="auto"/>
            <w:noWrap/>
            <w:vAlign w:val="bottom"/>
            <w:hideMark/>
          </w:tcPr>
          <w:p w:rsidR="006640F2" w:rsidRPr="006640F2" w:rsidRDefault="006640F2" w:rsidP="006640F2">
            <w:pPr>
              <w:jc w:val="right"/>
              <w:rPr>
                <w:rFonts w:ascii="Times New Roman CE" w:hAnsi="Times New Roman CE" w:cs="Times New Roman CE"/>
                <w:i/>
                <w:iCs/>
                <w:sz w:val="23"/>
                <w:szCs w:val="23"/>
              </w:rPr>
            </w:pPr>
            <w:r w:rsidRPr="006640F2">
              <w:rPr>
                <w:rFonts w:ascii="Times New Roman CE" w:hAnsi="Times New Roman CE" w:cs="Times New Roman CE"/>
                <w:i/>
                <w:iCs/>
                <w:sz w:val="23"/>
                <w:szCs w:val="23"/>
              </w:rPr>
              <w:t>95,1%</w:t>
            </w:r>
          </w:p>
        </w:tc>
        <w:tc>
          <w:tcPr>
            <w:tcW w:w="1100" w:type="dxa"/>
            <w:gridSpan w:val="3"/>
            <w:tcBorders>
              <w:top w:val="nil"/>
              <w:left w:val="nil"/>
              <w:bottom w:val="nil"/>
              <w:right w:val="nil"/>
            </w:tcBorders>
            <w:shd w:val="clear" w:color="auto" w:fill="auto"/>
            <w:noWrap/>
            <w:vAlign w:val="bottom"/>
            <w:hideMark/>
          </w:tcPr>
          <w:p w:rsidR="006640F2" w:rsidRPr="006640F2" w:rsidRDefault="006640F2" w:rsidP="006640F2">
            <w:pPr>
              <w:jc w:val="right"/>
              <w:rPr>
                <w:rFonts w:ascii="Times New Roman CE" w:hAnsi="Times New Roman CE" w:cs="Times New Roman CE"/>
                <w:sz w:val="23"/>
                <w:szCs w:val="23"/>
              </w:rPr>
            </w:pPr>
            <w:r w:rsidRPr="006640F2">
              <w:rPr>
                <w:rFonts w:ascii="Times New Roman CE" w:hAnsi="Times New Roman CE" w:cs="Times New Roman CE"/>
                <w:sz w:val="23"/>
                <w:szCs w:val="23"/>
              </w:rPr>
              <w:t>93,0%</w:t>
            </w:r>
          </w:p>
        </w:tc>
      </w:tr>
      <w:tr w:rsidR="00223657" w:rsidRPr="00CD6816" w:rsidTr="006640F2">
        <w:trPr>
          <w:gridAfter w:val="1"/>
          <w:wAfter w:w="251" w:type="dxa"/>
          <w:trHeight w:val="80"/>
        </w:trPr>
        <w:tc>
          <w:tcPr>
            <w:tcW w:w="3860" w:type="dxa"/>
            <w:tcBorders>
              <w:top w:val="nil"/>
              <w:left w:val="nil"/>
              <w:bottom w:val="nil"/>
              <w:right w:val="nil"/>
            </w:tcBorders>
            <w:shd w:val="clear" w:color="auto" w:fill="auto"/>
            <w:noWrap/>
            <w:vAlign w:val="bottom"/>
            <w:hideMark/>
          </w:tcPr>
          <w:p w:rsidR="00223657" w:rsidRPr="00CD6816" w:rsidRDefault="00223657" w:rsidP="006640F2">
            <w:pPr>
              <w:jc w:val="left"/>
              <w:rPr>
                <w:rFonts w:ascii="Times New Roman CE" w:hAnsi="Times New Roman CE" w:cs="Times New Roman CE"/>
                <w:sz w:val="8"/>
                <w:szCs w:val="8"/>
              </w:rPr>
            </w:pPr>
          </w:p>
        </w:tc>
        <w:tc>
          <w:tcPr>
            <w:tcW w:w="1160" w:type="dxa"/>
            <w:gridSpan w:val="3"/>
            <w:tcBorders>
              <w:top w:val="nil"/>
              <w:left w:val="nil"/>
              <w:bottom w:val="nil"/>
              <w:right w:val="nil"/>
            </w:tcBorders>
            <w:shd w:val="clear" w:color="auto" w:fill="auto"/>
            <w:noWrap/>
            <w:vAlign w:val="bottom"/>
            <w:hideMark/>
          </w:tcPr>
          <w:p w:rsidR="00223657" w:rsidRPr="00CD6816" w:rsidRDefault="00223657" w:rsidP="00223657">
            <w:pPr>
              <w:jc w:val="left"/>
              <w:rPr>
                <w:sz w:val="8"/>
                <w:szCs w:val="8"/>
              </w:rPr>
            </w:pPr>
          </w:p>
        </w:tc>
        <w:tc>
          <w:tcPr>
            <w:tcW w:w="1160" w:type="dxa"/>
            <w:gridSpan w:val="3"/>
            <w:tcBorders>
              <w:top w:val="nil"/>
              <w:left w:val="nil"/>
              <w:bottom w:val="nil"/>
              <w:right w:val="nil"/>
            </w:tcBorders>
            <w:shd w:val="clear" w:color="auto" w:fill="auto"/>
            <w:noWrap/>
            <w:vAlign w:val="bottom"/>
            <w:hideMark/>
          </w:tcPr>
          <w:p w:rsidR="00223657" w:rsidRPr="00CD6816" w:rsidRDefault="00223657" w:rsidP="00223657">
            <w:pPr>
              <w:jc w:val="left"/>
              <w:rPr>
                <w:sz w:val="8"/>
                <w:szCs w:val="8"/>
              </w:rPr>
            </w:pPr>
          </w:p>
        </w:tc>
        <w:tc>
          <w:tcPr>
            <w:tcW w:w="1120" w:type="dxa"/>
            <w:gridSpan w:val="3"/>
            <w:tcBorders>
              <w:top w:val="nil"/>
              <w:left w:val="nil"/>
              <w:bottom w:val="nil"/>
              <w:right w:val="nil"/>
            </w:tcBorders>
            <w:shd w:val="clear" w:color="auto" w:fill="auto"/>
            <w:noWrap/>
            <w:vAlign w:val="bottom"/>
            <w:hideMark/>
          </w:tcPr>
          <w:p w:rsidR="00223657" w:rsidRPr="00CD6816" w:rsidRDefault="00223657" w:rsidP="00223657">
            <w:pPr>
              <w:jc w:val="left"/>
              <w:rPr>
                <w:sz w:val="8"/>
                <w:szCs w:val="8"/>
              </w:rPr>
            </w:pPr>
          </w:p>
        </w:tc>
        <w:tc>
          <w:tcPr>
            <w:tcW w:w="1180" w:type="dxa"/>
            <w:gridSpan w:val="3"/>
            <w:tcBorders>
              <w:top w:val="nil"/>
              <w:left w:val="nil"/>
              <w:bottom w:val="nil"/>
              <w:right w:val="nil"/>
            </w:tcBorders>
            <w:shd w:val="clear" w:color="auto" w:fill="auto"/>
            <w:noWrap/>
            <w:vAlign w:val="bottom"/>
            <w:hideMark/>
          </w:tcPr>
          <w:p w:rsidR="00223657" w:rsidRPr="00CD6816" w:rsidRDefault="00223657" w:rsidP="00223657">
            <w:pPr>
              <w:jc w:val="left"/>
              <w:rPr>
                <w:sz w:val="8"/>
                <w:szCs w:val="8"/>
              </w:rPr>
            </w:pPr>
          </w:p>
        </w:tc>
        <w:tc>
          <w:tcPr>
            <w:tcW w:w="1100" w:type="dxa"/>
            <w:gridSpan w:val="3"/>
            <w:tcBorders>
              <w:top w:val="nil"/>
              <w:left w:val="nil"/>
              <w:bottom w:val="nil"/>
              <w:right w:val="nil"/>
            </w:tcBorders>
            <w:shd w:val="clear" w:color="auto" w:fill="auto"/>
            <w:noWrap/>
            <w:vAlign w:val="bottom"/>
            <w:hideMark/>
          </w:tcPr>
          <w:p w:rsidR="00223657" w:rsidRPr="00CD6816" w:rsidRDefault="00223657" w:rsidP="00223657">
            <w:pPr>
              <w:jc w:val="center"/>
              <w:rPr>
                <w:sz w:val="8"/>
                <w:szCs w:val="8"/>
              </w:rPr>
            </w:pPr>
          </w:p>
        </w:tc>
      </w:tr>
      <w:tr w:rsidR="00223657" w:rsidRPr="00CD6816" w:rsidTr="006640F2">
        <w:trPr>
          <w:trHeight w:val="88"/>
        </w:trPr>
        <w:tc>
          <w:tcPr>
            <w:tcW w:w="4111" w:type="dxa"/>
            <w:gridSpan w:val="2"/>
            <w:tcBorders>
              <w:top w:val="nil"/>
              <w:left w:val="nil"/>
              <w:bottom w:val="nil"/>
              <w:right w:val="nil"/>
            </w:tcBorders>
            <w:shd w:val="clear" w:color="auto" w:fill="auto"/>
            <w:noWrap/>
            <w:vAlign w:val="bottom"/>
            <w:hideMark/>
          </w:tcPr>
          <w:p w:rsidR="00223657" w:rsidRPr="00CD6816" w:rsidRDefault="00223657" w:rsidP="00223657">
            <w:pPr>
              <w:jc w:val="left"/>
              <w:rPr>
                <w:sz w:val="20"/>
              </w:rPr>
            </w:pPr>
            <w:r w:rsidRPr="00CD6816">
              <w:rPr>
                <w:sz w:val="20"/>
              </w:rPr>
              <w:t>* havi 60 óra alatt foglalkoztatottak nélkül</w:t>
            </w:r>
          </w:p>
        </w:tc>
        <w:tc>
          <w:tcPr>
            <w:tcW w:w="1160" w:type="dxa"/>
            <w:gridSpan w:val="3"/>
            <w:tcBorders>
              <w:top w:val="nil"/>
              <w:left w:val="nil"/>
              <w:bottom w:val="nil"/>
              <w:right w:val="nil"/>
            </w:tcBorders>
            <w:shd w:val="clear" w:color="auto" w:fill="auto"/>
            <w:noWrap/>
            <w:vAlign w:val="bottom"/>
            <w:hideMark/>
          </w:tcPr>
          <w:p w:rsidR="00223657" w:rsidRPr="00CD6816" w:rsidRDefault="00223657" w:rsidP="00223657">
            <w:pPr>
              <w:jc w:val="left"/>
              <w:rPr>
                <w:sz w:val="20"/>
              </w:rPr>
            </w:pPr>
          </w:p>
        </w:tc>
        <w:tc>
          <w:tcPr>
            <w:tcW w:w="1160" w:type="dxa"/>
            <w:gridSpan w:val="3"/>
            <w:tcBorders>
              <w:top w:val="nil"/>
              <w:left w:val="nil"/>
              <w:bottom w:val="nil"/>
              <w:right w:val="nil"/>
            </w:tcBorders>
            <w:shd w:val="clear" w:color="auto" w:fill="auto"/>
            <w:noWrap/>
            <w:vAlign w:val="bottom"/>
            <w:hideMark/>
          </w:tcPr>
          <w:p w:rsidR="00223657" w:rsidRPr="00CD6816" w:rsidRDefault="00223657" w:rsidP="00223657">
            <w:pPr>
              <w:jc w:val="left"/>
              <w:rPr>
                <w:sz w:val="20"/>
              </w:rPr>
            </w:pPr>
          </w:p>
        </w:tc>
        <w:tc>
          <w:tcPr>
            <w:tcW w:w="1120" w:type="dxa"/>
            <w:gridSpan w:val="3"/>
            <w:tcBorders>
              <w:top w:val="nil"/>
              <w:left w:val="nil"/>
              <w:bottom w:val="nil"/>
              <w:right w:val="nil"/>
            </w:tcBorders>
            <w:shd w:val="clear" w:color="auto" w:fill="auto"/>
            <w:noWrap/>
            <w:vAlign w:val="bottom"/>
            <w:hideMark/>
          </w:tcPr>
          <w:p w:rsidR="00223657" w:rsidRPr="00CD6816" w:rsidRDefault="00223657" w:rsidP="00223657">
            <w:pPr>
              <w:jc w:val="left"/>
              <w:rPr>
                <w:sz w:val="20"/>
              </w:rPr>
            </w:pPr>
          </w:p>
        </w:tc>
        <w:tc>
          <w:tcPr>
            <w:tcW w:w="1180" w:type="dxa"/>
            <w:gridSpan w:val="3"/>
            <w:tcBorders>
              <w:top w:val="nil"/>
              <w:left w:val="nil"/>
              <w:bottom w:val="nil"/>
              <w:right w:val="nil"/>
            </w:tcBorders>
            <w:shd w:val="clear" w:color="auto" w:fill="auto"/>
            <w:noWrap/>
            <w:vAlign w:val="bottom"/>
            <w:hideMark/>
          </w:tcPr>
          <w:p w:rsidR="00223657" w:rsidRPr="00CD6816" w:rsidRDefault="00223657" w:rsidP="00223657">
            <w:pPr>
              <w:jc w:val="left"/>
              <w:rPr>
                <w:sz w:val="20"/>
              </w:rPr>
            </w:pPr>
          </w:p>
        </w:tc>
        <w:tc>
          <w:tcPr>
            <w:tcW w:w="1100" w:type="dxa"/>
            <w:gridSpan w:val="3"/>
            <w:tcBorders>
              <w:top w:val="nil"/>
              <w:left w:val="nil"/>
              <w:bottom w:val="nil"/>
              <w:right w:val="nil"/>
            </w:tcBorders>
            <w:shd w:val="clear" w:color="auto" w:fill="auto"/>
            <w:noWrap/>
            <w:vAlign w:val="bottom"/>
            <w:hideMark/>
          </w:tcPr>
          <w:p w:rsidR="00223657" w:rsidRPr="00CD6816" w:rsidRDefault="00223657" w:rsidP="00223657">
            <w:pPr>
              <w:jc w:val="center"/>
              <w:rPr>
                <w:sz w:val="20"/>
              </w:rPr>
            </w:pPr>
          </w:p>
        </w:tc>
      </w:tr>
    </w:tbl>
    <w:p w:rsidR="00223657" w:rsidRPr="00CD6816" w:rsidRDefault="00223657">
      <w:pPr>
        <w:pStyle w:val="llb"/>
        <w:tabs>
          <w:tab w:val="clear" w:pos="4536"/>
          <w:tab w:val="clear" w:pos="9072"/>
        </w:tabs>
        <w:outlineLvl w:val="0"/>
        <w:rPr>
          <w:szCs w:val="24"/>
        </w:rPr>
      </w:pPr>
    </w:p>
    <w:p w:rsidR="00D51AA4" w:rsidRDefault="00D51AA4">
      <w:pPr>
        <w:pStyle w:val="Cmsor2"/>
        <w:jc w:val="left"/>
        <w:rPr>
          <w:snapToGrid w:val="0"/>
          <w:sz w:val="22"/>
        </w:rPr>
      </w:pPr>
      <w:bookmarkStart w:id="71" w:name="_Toc132629500"/>
      <w:r w:rsidRPr="00CD6816">
        <w:rPr>
          <w:snapToGrid w:val="0"/>
          <w:sz w:val="22"/>
        </w:rPr>
        <w:t>A munkavállalók éves átlagos statisztikai állományi létszáma állománycsoportonként</w:t>
      </w:r>
      <w:bookmarkEnd w:id="71"/>
      <w:r w:rsidRPr="00CD6816">
        <w:rPr>
          <w:snapToGrid w:val="0"/>
          <w:sz w:val="22"/>
        </w:rPr>
        <w:t xml:space="preserve"> </w:t>
      </w:r>
    </w:p>
    <w:tbl>
      <w:tblPr>
        <w:tblW w:w="7551" w:type="dxa"/>
        <w:tblCellMar>
          <w:left w:w="70" w:type="dxa"/>
          <w:right w:w="70" w:type="dxa"/>
        </w:tblCellMar>
        <w:tblLook w:val="04A0" w:firstRow="1" w:lastRow="0" w:firstColumn="1" w:lastColumn="0" w:noHBand="0" w:noVBand="1"/>
      </w:tblPr>
      <w:tblGrid>
        <w:gridCol w:w="3860"/>
        <w:gridCol w:w="16"/>
        <w:gridCol w:w="235"/>
        <w:gridCol w:w="909"/>
        <w:gridCol w:w="32"/>
        <w:gridCol w:w="219"/>
        <w:gridCol w:w="825"/>
        <w:gridCol w:w="84"/>
        <w:gridCol w:w="48"/>
        <w:gridCol w:w="203"/>
        <w:gridCol w:w="869"/>
        <w:gridCol w:w="64"/>
        <w:gridCol w:w="187"/>
      </w:tblGrid>
      <w:tr w:rsidR="006640F2" w:rsidRPr="006640F2" w:rsidTr="006640F2">
        <w:trPr>
          <w:gridAfter w:val="1"/>
          <w:wAfter w:w="187" w:type="dxa"/>
          <w:trHeight w:val="300"/>
        </w:trPr>
        <w:tc>
          <w:tcPr>
            <w:tcW w:w="3876" w:type="dxa"/>
            <w:gridSpan w:val="2"/>
            <w:tcBorders>
              <w:top w:val="nil"/>
              <w:left w:val="nil"/>
              <w:bottom w:val="nil"/>
              <w:right w:val="nil"/>
            </w:tcBorders>
            <w:shd w:val="clear" w:color="auto" w:fill="auto"/>
            <w:noWrap/>
            <w:vAlign w:val="bottom"/>
            <w:hideMark/>
          </w:tcPr>
          <w:p w:rsidR="006640F2" w:rsidRPr="006640F2" w:rsidRDefault="006640F2" w:rsidP="006640F2">
            <w:pPr>
              <w:jc w:val="left"/>
              <w:rPr>
                <w:sz w:val="20"/>
                <w:szCs w:val="24"/>
              </w:rPr>
            </w:pPr>
          </w:p>
        </w:tc>
        <w:tc>
          <w:tcPr>
            <w:tcW w:w="1176" w:type="dxa"/>
            <w:gridSpan w:val="3"/>
            <w:tcBorders>
              <w:top w:val="nil"/>
              <w:left w:val="nil"/>
              <w:bottom w:val="single" w:sz="4" w:space="0" w:color="auto"/>
              <w:right w:val="nil"/>
            </w:tcBorders>
            <w:shd w:val="clear" w:color="auto" w:fill="auto"/>
            <w:noWrap/>
            <w:vAlign w:val="bottom"/>
            <w:hideMark/>
          </w:tcPr>
          <w:p w:rsidR="006640F2" w:rsidRPr="006640F2" w:rsidRDefault="006640F2" w:rsidP="006640F2">
            <w:pPr>
              <w:jc w:val="right"/>
              <w:rPr>
                <w:rFonts w:ascii="Times New Roman CE" w:hAnsi="Times New Roman CE" w:cs="Times New Roman CE"/>
                <w:sz w:val="23"/>
                <w:szCs w:val="23"/>
              </w:rPr>
            </w:pPr>
            <w:r w:rsidRPr="006640F2">
              <w:rPr>
                <w:rFonts w:ascii="Times New Roman CE" w:hAnsi="Times New Roman CE" w:cs="Times New Roman CE"/>
                <w:sz w:val="23"/>
                <w:szCs w:val="23"/>
              </w:rPr>
              <w:t xml:space="preserve"> 2021. év </w:t>
            </w:r>
          </w:p>
        </w:tc>
        <w:tc>
          <w:tcPr>
            <w:tcW w:w="1176" w:type="dxa"/>
            <w:gridSpan w:val="4"/>
            <w:tcBorders>
              <w:top w:val="nil"/>
              <w:left w:val="nil"/>
              <w:bottom w:val="single" w:sz="4" w:space="0" w:color="auto"/>
              <w:right w:val="nil"/>
            </w:tcBorders>
            <w:shd w:val="clear" w:color="auto" w:fill="auto"/>
            <w:noWrap/>
            <w:vAlign w:val="bottom"/>
            <w:hideMark/>
          </w:tcPr>
          <w:p w:rsidR="006640F2" w:rsidRPr="006640F2" w:rsidRDefault="006640F2" w:rsidP="006640F2">
            <w:pPr>
              <w:jc w:val="right"/>
              <w:rPr>
                <w:rFonts w:ascii="Times New Roman CE" w:hAnsi="Times New Roman CE" w:cs="Times New Roman CE"/>
                <w:sz w:val="23"/>
                <w:szCs w:val="23"/>
              </w:rPr>
            </w:pPr>
            <w:r w:rsidRPr="006640F2">
              <w:rPr>
                <w:rFonts w:ascii="Times New Roman CE" w:hAnsi="Times New Roman CE" w:cs="Times New Roman CE"/>
                <w:sz w:val="23"/>
                <w:szCs w:val="23"/>
              </w:rPr>
              <w:t xml:space="preserve"> 2022. év </w:t>
            </w:r>
          </w:p>
        </w:tc>
        <w:tc>
          <w:tcPr>
            <w:tcW w:w="1136" w:type="dxa"/>
            <w:gridSpan w:val="3"/>
            <w:tcBorders>
              <w:top w:val="nil"/>
              <w:left w:val="nil"/>
              <w:bottom w:val="single" w:sz="4" w:space="0" w:color="auto"/>
              <w:right w:val="nil"/>
            </w:tcBorders>
            <w:shd w:val="clear" w:color="auto" w:fill="auto"/>
            <w:noWrap/>
            <w:vAlign w:val="bottom"/>
            <w:hideMark/>
          </w:tcPr>
          <w:p w:rsidR="006640F2" w:rsidRPr="006640F2" w:rsidRDefault="006640F2" w:rsidP="006640F2">
            <w:pPr>
              <w:jc w:val="center"/>
              <w:rPr>
                <w:i/>
                <w:iCs/>
                <w:sz w:val="23"/>
                <w:szCs w:val="23"/>
              </w:rPr>
            </w:pPr>
            <w:r w:rsidRPr="006640F2">
              <w:rPr>
                <w:i/>
                <w:iCs/>
                <w:sz w:val="23"/>
                <w:szCs w:val="23"/>
              </w:rPr>
              <w:t>Index</w:t>
            </w:r>
          </w:p>
        </w:tc>
      </w:tr>
      <w:tr w:rsidR="006640F2" w:rsidRPr="006640F2" w:rsidTr="006640F2">
        <w:trPr>
          <w:trHeight w:val="300"/>
        </w:trPr>
        <w:tc>
          <w:tcPr>
            <w:tcW w:w="3876" w:type="dxa"/>
            <w:gridSpan w:val="2"/>
            <w:tcBorders>
              <w:top w:val="nil"/>
              <w:left w:val="nil"/>
              <w:bottom w:val="nil"/>
              <w:right w:val="nil"/>
            </w:tcBorders>
            <w:shd w:val="clear" w:color="auto" w:fill="auto"/>
            <w:noWrap/>
            <w:vAlign w:val="bottom"/>
            <w:hideMark/>
          </w:tcPr>
          <w:p w:rsidR="006640F2" w:rsidRPr="006640F2" w:rsidRDefault="006640F2" w:rsidP="006640F2">
            <w:pPr>
              <w:jc w:val="left"/>
              <w:rPr>
                <w:rFonts w:ascii="Times New Roman CE" w:hAnsi="Times New Roman CE" w:cs="Times New Roman CE"/>
                <w:sz w:val="23"/>
                <w:szCs w:val="23"/>
              </w:rPr>
            </w:pPr>
            <w:r w:rsidRPr="006640F2">
              <w:rPr>
                <w:rFonts w:ascii="Times New Roman CE" w:hAnsi="Times New Roman CE" w:cs="Times New Roman CE"/>
                <w:sz w:val="23"/>
                <w:szCs w:val="23"/>
              </w:rPr>
              <w:t>Teljes munkaidős</w:t>
            </w:r>
          </w:p>
        </w:tc>
        <w:tc>
          <w:tcPr>
            <w:tcW w:w="1176" w:type="dxa"/>
            <w:gridSpan w:val="3"/>
            <w:tcBorders>
              <w:top w:val="nil"/>
              <w:left w:val="nil"/>
              <w:bottom w:val="nil"/>
              <w:right w:val="nil"/>
            </w:tcBorders>
            <w:shd w:val="clear" w:color="auto" w:fill="auto"/>
            <w:noWrap/>
            <w:vAlign w:val="bottom"/>
            <w:hideMark/>
          </w:tcPr>
          <w:p w:rsidR="006640F2" w:rsidRPr="006640F2" w:rsidRDefault="006640F2" w:rsidP="006640F2">
            <w:pPr>
              <w:jc w:val="right"/>
              <w:rPr>
                <w:rFonts w:ascii="Times New Roman CE" w:hAnsi="Times New Roman CE" w:cs="Times New Roman CE"/>
                <w:sz w:val="23"/>
                <w:szCs w:val="23"/>
              </w:rPr>
            </w:pPr>
            <w:r w:rsidRPr="006640F2">
              <w:rPr>
                <w:rFonts w:ascii="Times New Roman CE" w:hAnsi="Times New Roman CE" w:cs="Times New Roman CE"/>
                <w:sz w:val="23"/>
                <w:szCs w:val="23"/>
              </w:rPr>
              <w:t>553,6</w:t>
            </w:r>
          </w:p>
        </w:tc>
        <w:tc>
          <w:tcPr>
            <w:tcW w:w="1044" w:type="dxa"/>
            <w:gridSpan w:val="2"/>
            <w:tcBorders>
              <w:top w:val="nil"/>
              <w:left w:val="nil"/>
              <w:bottom w:val="nil"/>
              <w:right w:val="nil"/>
            </w:tcBorders>
            <w:shd w:val="clear" w:color="auto" w:fill="auto"/>
            <w:noWrap/>
            <w:vAlign w:val="bottom"/>
            <w:hideMark/>
          </w:tcPr>
          <w:p w:rsidR="006640F2" w:rsidRPr="006640F2" w:rsidRDefault="006640F2" w:rsidP="006640F2">
            <w:pPr>
              <w:jc w:val="right"/>
              <w:rPr>
                <w:rFonts w:ascii="Times New Roman CE" w:hAnsi="Times New Roman CE" w:cs="Times New Roman CE"/>
                <w:sz w:val="23"/>
                <w:szCs w:val="23"/>
              </w:rPr>
            </w:pPr>
            <w:r w:rsidRPr="006640F2">
              <w:rPr>
                <w:rFonts w:ascii="Times New Roman CE" w:hAnsi="Times New Roman CE" w:cs="Times New Roman CE"/>
                <w:sz w:val="23"/>
                <w:szCs w:val="23"/>
              </w:rPr>
              <w:t>528,1</w:t>
            </w:r>
          </w:p>
        </w:tc>
        <w:tc>
          <w:tcPr>
            <w:tcW w:w="1455" w:type="dxa"/>
            <w:gridSpan w:val="6"/>
            <w:tcBorders>
              <w:top w:val="nil"/>
              <w:left w:val="nil"/>
              <w:bottom w:val="nil"/>
              <w:right w:val="nil"/>
            </w:tcBorders>
            <w:shd w:val="clear" w:color="auto" w:fill="auto"/>
            <w:noWrap/>
            <w:vAlign w:val="bottom"/>
            <w:hideMark/>
          </w:tcPr>
          <w:p w:rsidR="006640F2" w:rsidRPr="006640F2" w:rsidRDefault="006640F2" w:rsidP="006640F2">
            <w:pPr>
              <w:jc w:val="center"/>
              <w:rPr>
                <w:rFonts w:ascii="Times New Roman CE" w:hAnsi="Times New Roman CE" w:cs="Times New Roman CE"/>
                <w:sz w:val="23"/>
                <w:szCs w:val="23"/>
              </w:rPr>
            </w:pPr>
            <w:r w:rsidRPr="006640F2">
              <w:rPr>
                <w:rFonts w:ascii="Times New Roman CE" w:hAnsi="Times New Roman CE" w:cs="Times New Roman CE"/>
                <w:sz w:val="23"/>
                <w:szCs w:val="23"/>
              </w:rPr>
              <w:t>95,4%</w:t>
            </w:r>
          </w:p>
        </w:tc>
      </w:tr>
      <w:tr w:rsidR="006640F2" w:rsidRPr="006640F2" w:rsidTr="006640F2">
        <w:trPr>
          <w:trHeight w:val="300"/>
        </w:trPr>
        <w:tc>
          <w:tcPr>
            <w:tcW w:w="3876" w:type="dxa"/>
            <w:gridSpan w:val="2"/>
            <w:tcBorders>
              <w:top w:val="nil"/>
              <w:left w:val="nil"/>
              <w:bottom w:val="single" w:sz="4" w:space="0" w:color="auto"/>
              <w:right w:val="nil"/>
            </w:tcBorders>
            <w:shd w:val="clear" w:color="auto" w:fill="auto"/>
            <w:noWrap/>
            <w:vAlign w:val="bottom"/>
            <w:hideMark/>
          </w:tcPr>
          <w:p w:rsidR="006640F2" w:rsidRPr="006640F2" w:rsidRDefault="006640F2" w:rsidP="006640F2">
            <w:pPr>
              <w:jc w:val="left"/>
              <w:rPr>
                <w:rFonts w:ascii="Times New Roman CE" w:hAnsi="Times New Roman CE" w:cs="Times New Roman CE"/>
                <w:sz w:val="23"/>
                <w:szCs w:val="23"/>
              </w:rPr>
            </w:pPr>
            <w:r w:rsidRPr="006640F2">
              <w:rPr>
                <w:rFonts w:ascii="Times New Roman CE" w:hAnsi="Times New Roman CE" w:cs="Times New Roman CE"/>
                <w:sz w:val="23"/>
                <w:szCs w:val="23"/>
              </w:rPr>
              <w:t>Nem teljes munkaidős*</w:t>
            </w:r>
          </w:p>
        </w:tc>
        <w:tc>
          <w:tcPr>
            <w:tcW w:w="1176" w:type="dxa"/>
            <w:gridSpan w:val="3"/>
            <w:tcBorders>
              <w:top w:val="nil"/>
              <w:left w:val="nil"/>
              <w:bottom w:val="single" w:sz="4" w:space="0" w:color="auto"/>
              <w:right w:val="nil"/>
            </w:tcBorders>
            <w:shd w:val="clear" w:color="auto" w:fill="auto"/>
            <w:noWrap/>
            <w:vAlign w:val="bottom"/>
            <w:hideMark/>
          </w:tcPr>
          <w:p w:rsidR="006640F2" w:rsidRPr="006640F2" w:rsidRDefault="006640F2" w:rsidP="006640F2">
            <w:pPr>
              <w:jc w:val="right"/>
              <w:rPr>
                <w:rFonts w:ascii="Times New Roman CE" w:hAnsi="Times New Roman CE" w:cs="Times New Roman CE"/>
                <w:sz w:val="23"/>
                <w:szCs w:val="23"/>
              </w:rPr>
            </w:pPr>
            <w:r w:rsidRPr="006640F2">
              <w:rPr>
                <w:rFonts w:ascii="Times New Roman CE" w:hAnsi="Times New Roman CE" w:cs="Times New Roman CE"/>
                <w:sz w:val="23"/>
                <w:szCs w:val="23"/>
              </w:rPr>
              <w:t>16,3</w:t>
            </w:r>
          </w:p>
        </w:tc>
        <w:tc>
          <w:tcPr>
            <w:tcW w:w="1044" w:type="dxa"/>
            <w:gridSpan w:val="2"/>
            <w:tcBorders>
              <w:top w:val="nil"/>
              <w:left w:val="nil"/>
              <w:bottom w:val="single" w:sz="4" w:space="0" w:color="auto"/>
              <w:right w:val="nil"/>
            </w:tcBorders>
            <w:shd w:val="clear" w:color="auto" w:fill="auto"/>
            <w:noWrap/>
            <w:vAlign w:val="bottom"/>
            <w:hideMark/>
          </w:tcPr>
          <w:p w:rsidR="006640F2" w:rsidRPr="006640F2" w:rsidRDefault="006640F2" w:rsidP="006640F2">
            <w:pPr>
              <w:jc w:val="right"/>
              <w:rPr>
                <w:rFonts w:ascii="Times New Roman CE" w:hAnsi="Times New Roman CE" w:cs="Times New Roman CE"/>
                <w:sz w:val="23"/>
                <w:szCs w:val="23"/>
              </w:rPr>
            </w:pPr>
            <w:r w:rsidRPr="006640F2">
              <w:rPr>
                <w:rFonts w:ascii="Times New Roman CE" w:hAnsi="Times New Roman CE" w:cs="Times New Roman CE"/>
                <w:sz w:val="23"/>
                <w:szCs w:val="23"/>
              </w:rPr>
              <w:t>16,8</w:t>
            </w:r>
          </w:p>
        </w:tc>
        <w:tc>
          <w:tcPr>
            <w:tcW w:w="1455" w:type="dxa"/>
            <w:gridSpan w:val="6"/>
            <w:tcBorders>
              <w:top w:val="nil"/>
              <w:left w:val="nil"/>
              <w:bottom w:val="single" w:sz="4" w:space="0" w:color="auto"/>
              <w:right w:val="nil"/>
            </w:tcBorders>
            <w:shd w:val="clear" w:color="auto" w:fill="auto"/>
            <w:noWrap/>
            <w:vAlign w:val="bottom"/>
            <w:hideMark/>
          </w:tcPr>
          <w:p w:rsidR="006640F2" w:rsidRPr="006640F2" w:rsidRDefault="006640F2" w:rsidP="006640F2">
            <w:pPr>
              <w:jc w:val="center"/>
              <w:rPr>
                <w:rFonts w:ascii="Times New Roman CE" w:hAnsi="Times New Roman CE" w:cs="Times New Roman CE"/>
                <w:sz w:val="23"/>
                <w:szCs w:val="23"/>
              </w:rPr>
            </w:pPr>
            <w:r w:rsidRPr="006640F2">
              <w:rPr>
                <w:rFonts w:ascii="Times New Roman CE" w:hAnsi="Times New Roman CE" w:cs="Times New Roman CE"/>
                <w:sz w:val="23"/>
                <w:szCs w:val="23"/>
              </w:rPr>
              <w:t>103,1%</w:t>
            </w:r>
          </w:p>
        </w:tc>
      </w:tr>
      <w:tr w:rsidR="006640F2" w:rsidRPr="006640F2" w:rsidTr="006640F2">
        <w:trPr>
          <w:trHeight w:val="300"/>
        </w:trPr>
        <w:tc>
          <w:tcPr>
            <w:tcW w:w="3876" w:type="dxa"/>
            <w:gridSpan w:val="2"/>
            <w:tcBorders>
              <w:top w:val="nil"/>
              <w:left w:val="nil"/>
              <w:bottom w:val="nil"/>
              <w:right w:val="nil"/>
            </w:tcBorders>
            <w:shd w:val="clear" w:color="auto" w:fill="auto"/>
            <w:noWrap/>
            <w:vAlign w:val="bottom"/>
            <w:hideMark/>
          </w:tcPr>
          <w:p w:rsidR="006640F2" w:rsidRPr="006640F2" w:rsidRDefault="006640F2" w:rsidP="006640F2">
            <w:pPr>
              <w:jc w:val="left"/>
              <w:rPr>
                <w:rFonts w:ascii="Times New Roman CE" w:hAnsi="Times New Roman CE" w:cs="Times New Roman CE"/>
                <w:sz w:val="23"/>
                <w:szCs w:val="23"/>
              </w:rPr>
            </w:pPr>
            <w:r w:rsidRPr="006640F2">
              <w:rPr>
                <w:rFonts w:ascii="Times New Roman CE" w:hAnsi="Times New Roman CE" w:cs="Times New Roman CE"/>
                <w:sz w:val="23"/>
                <w:szCs w:val="23"/>
              </w:rPr>
              <w:t>Összesen</w:t>
            </w:r>
          </w:p>
        </w:tc>
        <w:tc>
          <w:tcPr>
            <w:tcW w:w="1176" w:type="dxa"/>
            <w:gridSpan w:val="3"/>
            <w:tcBorders>
              <w:top w:val="nil"/>
              <w:left w:val="nil"/>
              <w:bottom w:val="nil"/>
              <w:right w:val="nil"/>
            </w:tcBorders>
            <w:shd w:val="clear" w:color="auto" w:fill="auto"/>
            <w:noWrap/>
            <w:vAlign w:val="bottom"/>
            <w:hideMark/>
          </w:tcPr>
          <w:p w:rsidR="006640F2" w:rsidRPr="006640F2" w:rsidRDefault="006640F2" w:rsidP="006640F2">
            <w:pPr>
              <w:jc w:val="right"/>
              <w:rPr>
                <w:rFonts w:ascii="Times New Roman CE" w:hAnsi="Times New Roman CE" w:cs="Times New Roman CE"/>
                <w:sz w:val="23"/>
                <w:szCs w:val="23"/>
              </w:rPr>
            </w:pPr>
            <w:r w:rsidRPr="006640F2">
              <w:rPr>
                <w:rFonts w:ascii="Times New Roman CE" w:hAnsi="Times New Roman CE" w:cs="Times New Roman CE"/>
                <w:sz w:val="23"/>
                <w:szCs w:val="23"/>
              </w:rPr>
              <w:t>569,9</w:t>
            </w:r>
          </w:p>
        </w:tc>
        <w:tc>
          <w:tcPr>
            <w:tcW w:w="1044" w:type="dxa"/>
            <w:gridSpan w:val="2"/>
            <w:tcBorders>
              <w:top w:val="nil"/>
              <w:left w:val="nil"/>
              <w:bottom w:val="nil"/>
              <w:right w:val="nil"/>
            </w:tcBorders>
            <w:shd w:val="clear" w:color="auto" w:fill="auto"/>
            <w:noWrap/>
            <w:vAlign w:val="bottom"/>
            <w:hideMark/>
          </w:tcPr>
          <w:p w:rsidR="006640F2" w:rsidRPr="006640F2" w:rsidRDefault="006640F2" w:rsidP="006640F2">
            <w:pPr>
              <w:jc w:val="right"/>
              <w:rPr>
                <w:rFonts w:ascii="Times New Roman CE" w:hAnsi="Times New Roman CE" w:cs="Times New Roman CE"/>
                <w:sz w:val="23"/>
                <w:szCs w:val="23"/>
              </w:rPr>
            </w:pPr>
            <w:r w:rsidRPr="006640F2">
              <w:rPr>
                <w:rFonts w:ascii="Times New Roman CE" w:hAnsi="Times New Roman CE" w:cs="Times New Roman CE"/>
                <w:sz w:val="23"/>
                <w:szCs w:val="23"/>
              </w:rPr>
              <w:t>544,9</w:t>
            </w:r>
          </w:p>
        </w:tc>
        <w:tc>
          <w:tcPr>
            <w:tcW w:w="1455" w:type="dxa"/>
            <w:gridSpan w:val="6"/>
            <w:tcBorders>
              <w:top w:val="nil"/>
              <w:left w:val="nil"/>
              <w:bottom w:val="nil"/>
              <w:right w:val="nil"/>
            </w:tcBorders>
            <w:shd w:val="clear" w:color="auto" w:fill="auto"/>
            <w:noWrap/>
            <w:vAlign w:val="bottom"/>
            <w:hideMark/>
          </w:tcPr>
          <w:p w:rsidR="006640F2" w:rsidRPr="006640F2" w:rsidRDefault="006640F2" w:rsidP="006640F2">
            <w:pPr>
              <w:jc w:val="center"/>
              <w:rPr>
                <w:rFonts w:ascii="Times New Roman CE" w:hAnsi="Times New Roman CE" w:cs="Times New Roman CE"/>
                <w:i/>
                <w:iCs/>
                <w:sz w:val="23"/>
                <w:szCs w:val="23"/>
              </w:rPr>
            </w:pPr>
            <w:r w:rsidRPr="006640F2">
              <w:rPr>
                <w:rFonts w:ascii="Times New Roman CE" w:hAnsi="Times New Roman CE" w:cs="Times New Roman CE"/>
                <w:i/>
                <w:iCs/>
                <w:sz w:val="23"/>
                <w:szCs w:val="23"/>
              </w:rPr>
              <w:t>95,6%</w:t>
            </w:r>
          </w:p>
        </w:tc>
      </w:tr>
      <w:tr w:rsidR="004B2AA0" w:rsidRPr="00CD6816" w:rsidTr="006640F2">
        <w:trPr>
          <w:gridAfter w:val="2"/>
          <w:wAfter w:w="251" w:type="dxa"/>
          <w:trHeight w:val="80"/>
        </w:trPr>
        <w:tc>
          <w:tcPr>
            <w:tcW w:w="3860" w:type="dxa"/>
            <w:tcBorders>
              <w:top w:val="nil"/>
              <w:left w:val="nil"/>
              <w:bottom w:val="nil"/>
              <w:right w:val="nil"/>
            </w:tcBorders>
            <w:shd w:val="clear" w:color="auto" w:fill="auto"/>
            <w:noWrap/>
            <w:vAlign w:val="bottom"/>
            <w:hideMark/>
          </w:tcPr>
          <w:p w:rsidR="004B2AA0" w:rsidRPr="00CD6816" w:rsidRDefault="004B2AA0" w:rsidP="006640F2">
            <w:pPr>
              <w:jc w:val="left"/>
              <w:rPr>
                <w:rFonts w:ascii="Times New Roman CE" w:hAnsi="Times New Roman CE" w:cs="Times New Roman CE"/>
                <w:i/>
                <w:iCs/>
                <w:sz w:val="12"/>
                <w:szCs w:val="12"/>
              </w:rPr>
            </w:pPr>
          </w:p>
        </w:tc>
        <w:tc>
          <w:tcPr>
            <w:tcW w:w="1160" w:type="dxa"/>
            <w:gridSpan w:val="3"/>
            <w:tcBorders>
              <w:top w:val="nil"/>
              <w:left w:val="nil"/>
              <w:bottom w:val="nil"/>
              <w:right w:val="nil"/>
            </w:tcBorders>
            <w:shd w:val="clear" w:color="auto" w:fill="auto"/>
            <w:noWrap/>
            <w:vAlign w:val="bottom"/>
            <w:hideMark/>
          </w:tcPr>
          <w:p w:rsidR="004B2AA0" w:rsidRPr="00CD6816" w:rsidRDefault="004B2AA0" w:rsidP="004B2AA0">
            <w:pPr>
              <w:jc w:val="left"/>
              <w:rPr>
                <w:sz w:val="12"/>
                <w:szCs w:val="12"/>
              </w:rPr>
            </w:pPr>
          </w:p>
        </w:tc>
        <w:tc>
          <w:tcPr>
            <w:tcW w:w="1160" w:type="dxa"/>
            <w:gridSpan w:val="4"/>
            <w:tcBorders>
              <w:top w:val="nil"/>
              <w:left w:val="nil"/>
              <w:bottom w:val="nil"/>
              <w:right w:val="nil"/>
            </w:tcBorders>
            <w:shd w:val="clear" w:color="auto" w:fill="auto"/>
            <w:noWrap/>
            <w:vAlign w:val="bottom"/>
            <w:hideMark/>
          </w:tcPr>
          <w:p w:rsidR="004B2AA0" w:rsidRPr="00CD6816" w:rsidRDefault="004B2AA0" w:rsidP="004B2AA0">
            <w:pPr>
              <w:jc w:val="left"/>
              <w:rPr>
                <w:sz w:val="12"/>
                <w:szCs w:val="12"/>
              </w:rPr>
            </w:pPr>
          </w:p>
        </w:tc>
        <w:tc>
          <w:tcPr>
            <w:tcW w:w="1120" w:type="dxa"/>
            <w:gridSpan w:val="3"/>
            <w:tcBorders>
              <w:top w:val="nil"/>
              <w:left w:val="nil"/>
              <w:bottom w:val="nil"/>
              <w:right w:val="nil"/>
            </w:tcBorders>
            <w:shd w:val="clear" w:color="auto" w:fill="auto"/>
            <w:noWrap/>
            <w:vAlign w:val="bottom"/>
            <w:hideMark/>
          </w:tcPr>
          <w:p w:rsidR="004B2AA0" w:rsidRPr="00CD6816" w:rsidRDefault="004B2AA0" w:rsidP="004B2AA0">
            <w:pPr>
              <w:jc w:val="left"/>
              <w:rPr>
                <w:sz w:val="12"/>
                <w:szCs w:val="12"/>
              </w:rPr>
            </w:pPr>
          </w:p>
        </w:tc>
      </w:tr>
      <w:tr w:rsidR="004B2AA0" w:rsidRPr="00CD6816" w:rsidTr="006640F2">
        <w:trPr>
          <w:trHeight w:val="80"/>
        </w:trPr>
        <w:tc>
          <w:tcPr>
            <w:tcW w:w="4111" w:type="dxa"/>
            <w:gridSpan w:val="3"/>
            <w:tcBorders>
              <w:top w:val="nil"/>
              <w:left w:val="nil"/>
              <w:bottom w:val="nil"/>
              <w:right w:val="nil"/>
            </w:tcBorders>
            <w:shd w:val="clear" w:color="auto" w:fill="auto"/>
            <w:noWrap/>
            <w:vAlign w:val="bottom"/>
            <w:hideMark/>
          </w:tcPr>
          <w:p w:rsidR="004B2AA0" w:rsidRPr="00CD6816" w:rsidRDefault="004B2AA0" w:rsidP="004B2AA0">
            <w:pPr>
              <w:jc w:val="left"/>
              <w:rPr>
                <w:sz w:val="20"/>
              </w:rPr>
            </w:pPr>
            <w:r w:rsidRPr="00CD6816">
              <w:rPr>
                <w:sz w:val="20"/>
              </w:rPr>
              <w:t>* havi 60 óra alatt foglalkoztatottak nélkül</w:t>
            </w:r>
          </w:p>
        </w:tc>
        <w:tc>
          <w:tcPr>
            <w:tcW w:w="1160" w:type="dxa"/>
            <w:gridSpan w:val="3"/>
            <w:tcBorders>
              <w:top w:val="nil"/>
              <w:left w:val="nil"/>
              <w:bottom w:val="nil"/>
              <w:right w:val="nil"/>
            </w:tcBorders>
            <w:shd w:val="clear" w:color="auto" w:fill="auto"/>
            <w:noWrap/>
            <w:vAlign w:val="bottom"/>
            <w:hideMark/>
          </w:tcPr>
          <w:p w:rsidR="004B2AA0" w:rsidRPr="00CD6816" w:rsidRDefault="004B2AA0" w:rsidP="004B2AA0">
            <w:pPr>
              <w:jc w:val="left"/>
              <w:rPr>
                <w:sz w:val="20"/>
              </w:rPr>
            </w:pPr>
          </w:p>
        </w:tc>
        <w:tc>
          <w:tcPr>
            <w:tcW w:w="1160" w:type="dxa"/>
            <w:gridSpan w:val="4"/>
            <w:tcBorders>
              <w:top w:val="nil"/>
              <w:left w:val="nil"/>
              <w:bottom w:val="nil"/>
              <w:right w:val="nil"/>
            </w:tcBorders>
            <w:shd w:val="clear" w:color="auto" w:fill="auto"/>
            <w:noWrap/>
            <w:vAlign w:val="bottom"/>
            <w:hideMark/>
          </w:tcPr>
          <w:p w:rsidR="004B2AA0" w:rsidRPr="00CD6816" w:rsidRDefault="004B2AA0" w:rsidP="004B2AA0">
            <w:pPr>
              <w:jc w:val="left"/>
              <w:rPr>
                <w:sz w:val="20"/>
              </w:rPr>
            </w:pPr>
          </w:p>
        </w:tc>
        <w:tc>
          <w:tcPr>
            <w:tcW w:w="1120" w:type="dxa"/>
            <w:gridSpan w:val="3"/>
            <w:tcBorders>
              <w:top w:val="nil"/>
              <w:left w:val="nil"/>
              <w:bottom w:val="nil"/>
              <w:right w:val="nil"/>
            </w:tcBorders>
            <w:shd w:val="clear" w:color="auto" w:fill="auto"/>
            <w:noWrap/>
            <w:vAlign w:val="bottom"/>
            <w:hideMark/>
          </w:tcPr>
          <w:p w:rsidR="004B2AA0" w:rsidRPr="00CD6816" w:rsidRDefault="004B2AA0" w:rsidP="004B2AA0">
            <w:pPr>
              <w:jc w:val="left"/>
              <w:rPr>
                <w:sz w:val="20"/>
              </w:rPr>
            </w:pPr>
          </w:p>
        </w:tc>
      </w:tr>
    </w:tbl>
    <w:p w:rsidR="004B2AA0" w:rsidRPr="00CD6816" w:rsidRDefault="004B2AA0" w:rsidP="00B16F67">
      <w:pPr>
        <w:pStyle w:val="Szvegtrzs3"/>
        <w:tabs>
          <w:tab w:val="clear" w:pos="567"/>
          <w:tab w:val="clear" w:pos="7938"/>
        </w:tabs>
        <w:ind w:right="317"/>
        <w:rPr>
          <w:sz w:val="16"/>
          <w:szCs w:val="16"/>
        </w:rPr>
      </w:pPr>
    </w:p>
    <w:p w:rsidR="004B2AA0" w:rsidRPr="00CD6816" w:rsidRDefault="00D51AA4" w:rsidP="00CA7ACA">
      <w:pPr>
        <w:pStyle w:val="Szvegtrzs3"/>
        <w:tabs>
          <w:tab w:val="clear" w:pos="567"/>
          <w:tab w:val="clear" w:pos="7938"/>
        </w:tabs>
        <w:ind w:right="34"/>
        <w:rPr>
          <w:szCs w:val="24"/>
        </w:rPr>
      </w:pPr>
      <w:r w:rsidRPr="00CD6816">
        <w:rPr>
          <w:szCs w:val="24"/>
        </w:rPr>
        <w:t>A</w:t>
      </w:r>
      <w:r w:rsidR="007C7045">
        <w:rPr>
          <w:szCs w:val="24"/>
        </w:rPr>
        <w:t xml:space="preserve"> társaság</w:t>
      </w:r>
      <w:r w:rsidRPr="00CD6816">
        <w:rPr>
          <w:szCs w:val="24"/>
        </w:rPr>
        <w:t xml:space="preserve"> üzleti terve szerint 20</w:t>
      </w:r>
      <w:r w:rsidR="000D15DA" w:rsidRPr="00CD6816">
        <w:rPr>
          <w:szCs w:val="24"/>
        </w:rPr>
        <w:t>2</w:t>
      </w:r>
      <w:r w:rsidR="006640F2">
        <w:rPr>
          <w:szCs w:val="24"/>
        </w:rPr>
        <w:t>2</w:t>
      </w:r>
      <w:r w:rsidRPr="00CD6816">
        <w:rPr>
          <w:szCs w:val="24"/>
        </w:rPr>
        <w:t xml:space="preserve">. december 31-i időpontban betölthető álláshelyek száma </w:t>
      </w:r>
      <w:r w:rsidR="006640F2">
        <w:rPr>
          <w:szCs w:val="24"/>
        </w:rPr>
        <w:t>589</w:t>
      </w:r>
      <w:r w:rsidR="004231C5" w:rsidRPr="00CD6816">
        <w:rPr>
          <w:szCs w:val="24"/>
        </w:rPr>
        <w:t xml:space="preserve"> </w:t>
      </w:r>
      <w:r w:rsidR="004B2AA0" w:rsidRPr="00CD6816">
        <w:rPr>
          <w:szCs w:val="24"/>
        </w:rPr>
        <w:t>fő.</w:t>
      </w:r>
    </w:p>
    <w:p w:rsidR="00B16F67" w:rsidRPr="00CD6816" w:rsidRDefault="004B2AA0" w:rsidP="00CA7ACA">
      <w:pPr>
        <w:pStyle w:val="Szvegtrzs3"/>
        <w:tabs>
          <w:tab w:val="clear" w:pos="567"/>
          <w:tab w:val="clear" w:pos="7938"/>
        </w:tabs>
        <w:ind w:right="34"/>
        <w:rPr>
          <w:szCs w:val="24"/>
        </w:rPr>
      </w:pPr>
      <w:r w:rsidRPr="00CD6816">
        <w:t>A 202</w:t>
      </w:r>
      <w:r w:rsidR="006640F2">
        <w:t>2</w:t>
      </w:r>
      <w:r w:rsidRPr="00CD6816">
        <w:t>. december 31-ei munkajogi állományi létszám 5</w:t>
      </w:r>
      <w:r w:rsidR="006640F2">
        <w:t>48</w:t>
      </w:r>
      <w:r w:rsidRPr="00CD6816">
        <w:t xml:space="preserve"> fő, szemben a tervezett </w:t>
      </w:r>
      <w:r w:rsidR="006640F2">
        <w:t>589</w:t>
      </w:r>
      <w:r w:rsidRPr="00CD6816">
        <w:t xml:space="preserve"> és a 202</w:t>
      </w:r>
      <w:r w:rsidR="006640F2">
        <w:t>1</w:t>
      </w:r>
      <w:r w:rsidRPr="00CD6816">
        <w:t>. december 31-ei 5</w:t>
      </w:r>
      <w:r w:rsidR="006640F2">
        <w:t>76</w:t>
      </w:r>
      <w:r w:rsidRPr="00CD6816">
        <w:t xml:space="preserve"> fővel szemben</w:t>
      </w:r>
      <w:r w:rsidR="00086BA3" w:rsidRPr="00CD6816">
        <w:rPr>
          <w:szCs w:val="24"/>
        </w:rPr>
        <w:t>.</w:t>
      </w:r>
    </w:p>
    <w:p w:rsidR="00E3756E" w:rsidRPr="00CD6816" w:rsidRDefault="00E3756E" w:rsidP="00CA7ACA">
      <w:pPr>
        <w:pStyle w:val="Szvegtrzs3"/>
        <w:tabs>
          <w:tab w:val="clear" w:pos="567"/>
          <w:tab w:val="clear" w:pos="7938"/>
        </w:tabs>
        <w:ind w:right="34"/>
        <w:rPr>
          <w:szCs w:val="24"/>
        </w:rPr>
      </w:pPr>
      <w:r w:rsidRPr="00CD6816">
        <w:rPr>
          <w:szCs w:val="24"/>
        </w:rPr>
        <w:t>A betöltetlen státuszok száma 202</w:t>
      </w:r>
      <w:r w:rsidR="006640F2">
        <w:rPr>
          <w:szCs w:val="24"/>
        </w:rPr>
        <w:t>2</w:t>
      </w:r>
      <w:r w:rsidRPr="00CD6816">
        <w:rPr>
          <w:szCs w:val="24"/>
        </w:rPr>
        <w:t xml:space="preserve">.december 31-én </w:t>
      </w:r>
      <w:r w:rsidR="006640F2">
        <w:rPr>
          <w:szCs w:val="24"/>
        </w:rPr>
        <w:t>33</w:t>
      </w:r>
      <w:r w:rsidR="00753872" w:rsidRPr="00CD6816">
        <w:rPr>
          <w:szCs w:val="24"/>
        </w:rPr>
        <w:t xml:space="preserve"> fő.</w:t>
      </w:r>
    </w:p>
    <w:p w:rsidR="004B2AA0" w:rsidRPr="007C7045" w:rsidRDefault="004B2AA0" w:rsidP="004B2AA0">
      <w:pPr>
        <w:pStyle w:val="Szvegtrzs"/>
        <w:tabs>
          <w:tab w:val="left" w:pos="567"/>
          <w:tab w:val="left" w:pos="1134"/>
          <w:tab w:val="right" w:pos="3686"/>
          <w:tab w:val="right" w:pos="5103"/>
          <w:tab w:val="right" w:pos="6946"/>
        </w:tabs>
        <w:rPr>
          <w:sz w:val="24"/>
          <w:szCs w:val="24"/>
        </w:rPr>
      </w:pPr>
      <w:r w:rsidRPr="007C7045">
        <w:rPr>
          <w:sz w:val="24"/>
          <w:szCs w:val="24"/>
        </w:rPr>
        <w:t>202</w:t>
      </w:r>
      <w:r w:rsidR="006640F2" w:rsidRPr="007C7045">
        <w:rPr>
          <w:sz w:val="24"/>
          <w:szCs w:val="24"/>
        </w:rPr>
        <w:t>2</w:t>
      </w:r>
      <w:r w:rsidRPr="007C7045">
        <w:rPr>
          <w:sz w:val="24"/>
          <w:szCs w:val="24"/>
        </w:rPr>
        <w:t>. év során</w:t>
      </w:r>
      <w:r w:rsidR="00E34E07" w:rsidRPr="007C7045">
        <w:rPr>
          <w:sz w:val="24"/>
          <w:szCs w:val="24"/>
        </w:rPr>
        <w:t xml:space="preserve"> </w:t>
      </w:r>
      <w:r w:rsidR="009F3935" w:rsidRPr="007C7045">
        <w:rPr>
          <w:sz w:val="24"/>
          <w:szCs w:val="24"/>
        </w:rPr>
        <w:t>36 belépő</w:t>
      </w:r>
      <w:r w:rsidR="00E34E07" w:rsidRPr="007C7045">
        <w:rPr>
          <w:sz w:val="24"/>
          <w:szCs w:val="24"/>
        </w:rPr>
        <w:t xml:space="preserve"> és</w:t>
      </w:r>
      <w:r w:rsidR="009F3935" w:rsidRPr="007C7045">
        <w:rPr>
          <w:sz w:val="24"/>
          <w:szCs w:val="24"/>
        </w:rPr>
        <w:t xml:space="preserve"> 54</w:t>
      </w:r>
      <w:r w:rsidR="00E34E07" w:rsidRPr="007C7045">
        <w:rPr>
          <w:sz w:val="24"/>
          <w:szCs w:val="24"/>
        </w:rPr>
        <w:t xml:space="preserve"> kilépő</w:t>
      </w:r>
      <w:r w:rsidR="009F3935" w:rsidRPr="007C7045">
        <w:rPr>
          <w:sz w:val="24"/>
          <w:szCs w:val="24"/>
        </w:rPr>
        <w:t xml:space="preserve">, míg </w:t>
      </w:r>
      <w:r w:rsidR="00E34E07" w:rsidRPr="007C7045">
        <w:rPr>
          <w:sz w:val="24"/>
          <w:szCs w:val="24"/>
        </w:rPr>
        <w:t xml:space="preserve">2021. évben 67 belépő és </w:t>
      </w:r>
      <w:r w:rsidR="009F3935" w:rsidRPr="007C7045">
        <w:rPr>
          <w:sz w:val="24"/>
          <w:szCs w:val="24"/>
        </w:rPr>
        <w:t xml:space="preserve">71 kilépő </w:t>
      </w:r>
      <w:r w:rsidR="00E34E07" w:rsidRPr="007C7045">
        <w:rPr>
          <w:sz w:val="24"/>
          <w:szCs w:val="24"/>
        </w:rPr>
        <w:t>munkavállaló volt.</w:t>
      </w:r>
    </w:p>
    <w:p w:rsidR="004B2AA0" w:rsidRPr="00CD6816" w:rsidRDefault="004B2AA0" w:rsidP="004B2AA0">
      <w:pPr>
        <w:pStyle w:val="Szvegtrzs"/>
        <w:tabs>
          <w:tab w:val="left" w:pos="567"/>
          <w:tab w:val="left" w:pos="1134"/>
          <w:tab w:val="right" w:pos="3686"/>
          <w:tab w:val="right" w:pos="5103"/>
          <w:tab w:val="right" w:pos="6946"/>
        </w:tabs>
        <w:rPr>
          <w:sz w:val="24"/>
          <w:szCs w:val="24"/>
        </w:rPr>
      </w:pPr>
      <w:r w:rsidRPr="00CD6816">
        <w:rPr>
          <w:sz w:val="24"/>
          <w:szCs w:val="24"/>
        </w:rPr>
        <w:t>A ki- és belépések magas száma mellett nehézséget okoz a munkakörök betöltése.</w:t>
      </w:r>
    </w:p>
    <w:p w:rsidR="004069E4" w:rsidRDefault="00D51AA4" w:rsidP="00CA7ACA">
      <w:pPr>
        <w:pStyle w:val="Szvegtrzs3"/>
        <w:tabs>
          <w:tab w:val="clear" w:pos="567"/>
          <w:tab w:val="clear" w:pos="7938"/>
        </w:tabs>
        <w:ind w:right="34"/>
        <w:rPr>
          <w:bCs/>
          <w:iCs/>
          <w:snapToGrid w:val="0"/>
          <w:szCs w:val="24"/>
        </w:rPr>
      </w:pPr>
      <w:r w:rsidRPr="00CD6816">
        <w:rPr>
          <w:bCs/>
          <w:iCs/>
          <w:snapToGrid w:val="0"/>
          <w:szCs w:val="24"/>
        </w:rPr>
        <w:t xml:space="preserve">A munkavállalók éves átlagos statisztikai állományi létszáma </w:t>
      </w:r>
      <w:r w:rsidR="00907E64" w:rsidRPr="00CD6816">
        <w:rPr>
          <w:bCs/>
          <w:iCs/>
          <w:snapToGrid w:val="0"/>
          <w:szCs w:val="24"/>
        </w:rPr>
        <w:t>5</w:t>
      </w:r>
      <w:r w:rsidR="006640F2">
        <w:rPr>
          <w:bCs/>
          <w:iCs/>
          <w:snapToGrid w:val="0"/>
          <w:szCs w:val="24"/>
        </w:rPr>
        <w:t xml:space="preserve">44,9 </w:t>
      </w:r>
      <w:r w:rsidRPr="00CD6816">
        <w:rPr>
          <w:bCs/>
          <w:iCs/>
          <w:snapToGrid w:val="0"/>
          <w:szCs w:val="24"/>
        </w:rPr>
        <w:t>fő, az előző évhez képest</w:t>
      </w:r>
      <w:r w:rsidR="002C76DD" w:rsidRPr="00CD6816">
        <w:rPr>
          <w:bCs/>
          <w:iCs/>
          <w:snapToGrid w:val="0"/>
          <w:szCs w:val="24"/>
        </w:rPr>
        <w:br/>
      </w:r>
      <w:r w:rsidR="006640F2">
        <w:rPr>
          <w:bCs/>
          <w:iCs/>
          <w:snapToGrid w:val="0"/>
          <w:szCs w:val="24"/>
        </w:rPr>
        <w:t>25</w:t>
      </w:r>
      <w:r w:rsidRPr="00CD6816">
        <w:rPr>
          <w:bCs/>
          <w:iCs/>
          <w:snapToGrid w:val="0"/>
          <w:szCs w:val="24"/>
        </w:rPr>
        <w:t xml:space="preserve"> fővel </w:t>
      </w:r>
      <w:r w:rsidR="004B2AA0" w:rsidRPr="00CD6816">
        <w:rPr>
          <w:bCs/>
          <w:iCs/>
          <w:snapToGrid w:val="0"/>
          <w:szCs w:val="24"/>
        </w:rPr>
        <w:t>alacsonyabb</w:t>
      </w:r>
      <w:r w:rsidR="00831770" w:rsidRPr="00CD6816">
        <w:rPr>
          <w:bCs/>
          <w:iCs/>
          <w:snapToGrid w:val="0"/>
          <w:szCs w:val="24"/>
        </w:rPr>
        <w:t>.</w:t>
      </w:r>
    </w:p>
    <w:p w:rsidR="004069E4" w:rsidRDefault="004069E4">
      <w:pPr>
        <w:jc w:val="left"/>
        <w:rPr>
          <w:bCs/>
          <w:iCs/>
          <w:snapToGrid w:val="0"/>
          <w:szCs w:val="24"/>
        </w:rPr>
      </w:pPr>
      <w:r>
        <w:rPr>
          <w:bCs/>
          <w:iCs/>
          <w:snapToGrid w:val="0"/>
          <w:szCs w:val="24"/>
        </w:rPr>
        <w:br w:type="page"/>
      </w:r>
    </w:p>
    <w:p w:rsidR="00E736F6" w:rsidRPr="00D80322" w:rsidRDefault="00E736F6" w:rsidP="00D80322">
      <w:pPr>
        <w:rPr>
          <w:rFonts w:eastAsiaTheme="minorHAnsi"/>
          <w:szCs w:val="24"/>
          <w:lang w:eastAsia="en-US"/>
        </w:rPr>
      </w:pPr>
    </w:p>
    <w:p w:rsidR="00D51AA4" w:rsidRPr="00CD6816" w:rsidRDefault="00D51AA4">
      <w:pPr>
        <w:pStyle w:val="Cmsor2"/>
        <w:rPr>
          <w:sz w:val="22"/>
        </w:rPr>
      </w:pPr>
      <w:bookmarkStart w:id="72" w:name="_Toc132629501"/>
      <w:r w:rsidRPr="00CD6816">
        <w:rPr>
          <w:sz w:val="22"/>
        </w:rPr>
        <w:t>Bérköltség állománycsoportonként</w:t>
      </w:r>
      <w:bookmarkEnd w:id="72"/>
      <w:r w:rsidRPr="00CD6816">
        <w:rPr>
          <w:sz w:val="22"/>
        </w:rPr>
        <w:t xml:space="preserve"> </w:t>
      </w:r>
    </w:p>
    <w:tbl>
      <w:tblPr>
        <w:tblW w:w="9799" w:type="dxa"/>
        <w:tblCellMar>
          <w:left w:w="70" w:type="dxa"/>
          <w:right w:w="70" w:type="dxa"/>
        </w:tblCellMar>
        <w:tblLook w:val="04A0" w:firstRow="1" w:lastRow="0" w:firstColumn="1" w:lastColumn="0" w:noHBand="0" w:noVBand="1"/>
      </w:tblPr>
      <w:tblGrid>
        <w:gridCol w:w="3828"/>
        <w:gridCol w:w="171"/>
        <w:gridCol w:w="1005"/>
        <w:gridCol w:w="171"/>
        <w:gridCol w:w="1005"/>
        <w:gridCol w:w="171"/>
        <w:gridCol w:w="965"/>
        <w:gridCol w:w="171"/>
        <w:gridCol w:w="1025"/>
        <w:gridCol w:w="171"/>
        <w:gridCol w:w="945"/>
        <w:gridCol w:w="171"/>
      </w:tblGrid>
      <w:tr w:rsidR="006640F2" w:rsidRPr="006640F2" w:rsidTr="009F3935">
        <w:trPr>
          <w:trHeight w:val="300"/>
        </w:trPr>
        <w:tc>
          <w:tcPr>
            <w:tcW w:w="3999" w:type="dxa"/>
            <w:gridSpan w:val="2"/>
            <w:tcBorders>
              <w:top w:val="nil"/>
              <w:left w:val="nil"/>
              <w:bottom w:val="nil"/>
              <w:right w:val="nil"/>
            </w:tcBorders>
            <w:shd w:val="clear" w:color="auto" w:fill="auto"/>
            <w:noWrap/>
            <w:vAlign w:val="bottom"/>
            <w:hideMark/>
          </w:tcPr>
          <w:p w:rsidR="006640F2" w:rsidRPr="006640F2" w:rsidRDefault="006640F2" w:rsidP="006640F2">
            <w:pPr>
              <w:jc w:val="left"/>
              <w:rPr>
                <w:sz w:val="20"/>
                <w:szCs w:val="24"/>
              </w:rPr>
            </w:pPr>
          </w:p>
        </w:tc>
        <w:tc>
          <w:tcPr>
            <w:tcW w:w="1176" w:type="dxa"/>
            <w:gridSpan w:val="2"/>
            <w:tcBorders>
              <w:top w:val="nil"/>
              <w:left w:val="nil"/>
              <w:bottom w:val="nil"/>
              <w:right w:val="nil"/>
            </w:tcBorders>
            <w:shd w:val="clear" w:color="auto" w:fill="auto"/>
            <w:noWrap/>
            <w:vAlign w:val="bottom"/>
            <w:hideMark/>
          </w:tcPr>
          <w:p w:rsidR="006640F2" w:rsidRPr="006640F2" w:rsidRDefault="006640F2" w:rsidP="006640F2">
            <w:pPr>
              <w:jc w:val="left"/>
              <w:rPr>
                <w:sz w:val="20"/>
              </w:rPr>
            </w:pPr>
          </w:p>
        </w:tc>
        <w:tc>
          <w:tcPr>
            <w:tcW w:w="1176" w:type="dxa"/>
            <w:gridSpan w:val="2"/>
            <w:tcBorders>
              <w:top w:val="nil"/>
              <w:left w:val="nil"/>
              <w:bottom w:val="nil"/>
              <w:right w:val="nil"/>
            </w:tcBorders>
            <w:shd w:val="clear" w:color="auto" w:fill="auto"/>
            <w:noWrap/>
            <w:vAlign w:val="bottom"/>
            <w:hideMark/>
          </w:tcPr>
          <w:p w:rsidR="006640F2" w:rsidRPr="006640F2" w:rsidRDefault="006640F2" w:rsidP="006640F2">
            <w:pPr>
              <w:jc w:val="left"/>
              <w:rPr>
                <w:sz w:val="20"/>
              </w:rPr>
            </w:pPr>
          </w:p>
        </w:tc>
        <w:tc>
          <w:tcPr>
            <w:tcW w:w="1136" w:type="dxa"/>
            <w:gridSpan w:val="2"/>
            <w:tcBorders>
              <w:top w:val="nil"/>
              <w:left w:val="nil"/>
              <w:bottom w:val="nil"/>
              <w:right w:val="nil"/>
            </w:tcBorders>
            <w:shd w:val="clear" w:color="auto" w:fill="auto"/>
            <w:noWrap/>
            <w:vAlign w:val="bottom"/>
            <w:hideMark/>
          </w:tcPr>
          <w:p w:rsidR="006640F2" w:rsidRPr="006640F2" w:rsidRDefault="006640F2" w:rsidP="006640F2">
            <w:pPr>
              <w:jc w:val="left"/>
              <w:rPr>
                <w:sz w:val="20"/>
              </w:rPr>
            </w:pPr>
          </w:p>
        </w:tc>
        <w:tc>
          <w:tcPr>
            <w:tcW w:w="1196" w:type="dxa"/>
            <w:gridSpan w:val="2"/>
            <w:tcBorders>
              <w:top w:val="nil"/>
              <w:left w:val="nil"/>
              <w:bottom w:val="nil"/>
              <w:right w:val="nil"/>
            </w:tcBorders>
            <w:shd w:val="clear" w:color="auto" w:fill="auto"/>
            <w:noWrap/>
            <w:vAlign w:val="bottom"/>
            <w:hideMark/>
          </w:tcPr>
          <w:p w:rsidR="006640F2" w:rsidRPr="006640F2" w:rsidRDefault="006640F2" w:rsidP="006640F2">
            <w:pPr>
              <w:jc w:val="left"/>
              <w:rPr>
                <w:sz w:val="20"/>
              </w:rPr>
            </w:pPr>
          </w:p>
        </w:tc>
        <w:tc>
          <w:tcPr>
            <w:tcW w:w="1116" w:type="dxa"/>
            <w:gridSpan w:val="2"/>
            <w:tcBorders>
              <w:top w:val="nil"/>
              <w:left w:val="nil"/>
              <w:bottom w:val="nil"/>
              <w:right w:val="nil"/>
            </w:tcBorders>
            <w:shd w:val="clear" w:color="auto" w:fill="auto"/>
            <w:noWrap/>
            <w:vAlign w:val="bottom"/>
            <w:hideMark/>
          </w:tcPr>
          <w:p w:rsidR="006640F2" w:rsidRPr="006640F2" w:rsidRDefault="006640F2" w:rsidP="006640F2">
            <w:pPr>
              <w:jc w:val="right"/>
              <w:rPr>
                <w:rFonts w:ascii="Times New Roman CE" w:hAnsi="Times New Roman CE" w:cs="Times New Roman CE"/>
                <w:sz w:val="23"/>
                <w:szCs w:val="23"/>
              </w:rPr>
            </w:pPr>
            <w:r w:rsidRPr="006640F2">
              <w:rPr>
                <w:rFonts w:ascii="Times New Roman CE" w:hAnsi="Times New Roman CE" w:cs="Times New Roman CE"/>
                <w:sz w:val="23"/>
                <w:szCs w:val="23"/>
              </w:rPr>
              <w:t>eFt</w:t>
            </w:r>
          </w:p>
        </w:tc>
      </w:tr>
      <w:tr w:rsidR="006640F2" w:rsidRPr="006640F2" w:rsidTr="009F3935">
        <w:trPr>
          <w:trHeight w:val="600"/>
        </w:trPr>
        <w:tc>
          <w:tcPr>
            <w:tcW w:w="3999" w:type="dxa"/>
            <w:gridSpan w:val="2"/>
            <w:tcBorders>
              <w:top w:val="single" w:sz="4" w:space="0" w:color="auto"/>
              <w:left w:val="nil"/>
              <w:bottom w:val="single" w:sz="4" w:space="0" w:color="auto"/>
              <w:right w:val="nil"/>
            </w:tcBorders>
            <w:shd w:val="clear" w:color="auto" w:fill="auto"/>
            <w:noWrap/>
            <w:vAlign w:val="bottom"/>
            <w:hideMark/>
          </w:tcPr>
          <w:p w:rsidR="006640F2" w:rsidRPr="006640F2" w:rsidRDefault="006640F2" w:rsidP="006640F2">
            <w:pPr>
              <w:jc w:val="left"/>
              <w:rPr>
                <w:rFonts w:ascii="Times New Roman CE" w:hAnsi="Times New Roman CE" w:cs="Times New Roman CE"/>
                <w:b/>
                <w:bCs/>
                <w:sz w:val="23"/>
                <w:szCs w:val="23"/>
              </w:rPr>
            </w:pPr>
            <w:r w:rsidRPr="006640F2">
              <w:rPr>
                <w:rFonts w:ascii="Times New Roman CE" w:hAnsi="Times New Roman CE" w:cs="Times New Roman CE"/>
                <w:b/>
                <w:bCs/>
                <w:sz w:val="23"/>
                <w:szCs w:val="23"/>
              </w:rPr>
              <w:t> </w:t>
            </w:r>
          </w:p>
        </w:tc>
        <w:tc>
          <w:tcPr>
            <w:tcW w:w="1176" w:type="dxa"/>
            <w:gridSpan w:val="2"/>
            <w:tcBorders>
              <w:top w:val="single" w:sz="4" w:space="0" w:color="auto"/>
              <w:left w:val="nil"/>
              <w:bottom w:val="single" w:sz="4" w:space="0" w:color="auto"/>
              <w:right w:val="nil"/>
            </w:tcBorders>
            <w:shd w:val="clear" w:color="auto" w:fill="auto"/>
            <w:vAlign w:val="center"/>
            <w:hideMark/>
          </w:tcPr>
          <w:p w:rsidR="006640F2" w:rsidRPr="006640F2" w:rsidRDefault="006640F2" w:rsidP="006640F2">
            <w:pPr>
              <w:jc w:val="center"/>
              <w:rPr>
                <w:rFonts w:ascii="Times New Roman CE" w:hAnsi="Times New Roman CE" w:cs="Times New Roman CE"/>
                <w:i/>
                <w:iCs/>
                <w:sz w:val="23"/>
                <w:szCs w:val="23"/>
              </w:rPr>
            </w:pPr>
            <w:r w:rsidRPr="006640F2">
              <w:rPr>
                <w:rFonts w:ascii="Times New Roman CE" w:hAnsi="Times New Roman CE" w:cs="Times New Roman CE"/>
                <w:i/>
                <w:iCs/>
                <w:sz w:val="23"/>
                <w:szCs w:val="23"/>
              </w:rPr>
              <w:t>2021. évi</w:t>
            </w:r>
            <w:r w:rsidRPr="006640F2">
              <w:rPr>
                <w:rFonts w:ascii="Times New Roman CE" w:hAnsi="Times New Roman CE" w:cs="Times New Roman CE"/>
                <w:i/>
                <w:iCs/>
                <w:sz w:val="23"/>
                <w:szCs w:val="23"/>
              </w:rPr>
              <w:br/>
              <w:t xml:space="preserve"> tény </w:t>
            </w:r>
          </w:p>
        </w:tc>
        <w:tc>
          <w:tcPr>
            <w:tcW w:w="1176" w:type="dxa"/>
            <w:gridSpan w:val="2"/>
            <w:tcBorders>
              <w:top w:val="single" w:sz="4" w:space="0" w:color="auto"/>
              <w:left w:val="nil"/>
              <w:bottom w:val="single" w:sz="4" w:space="0" w:color="auto"/>
              <w:right w:val="nil"/>
            </w:tcBorders>
            <w:shd w:val="clear" w:color="auto" w:fill="auto"/>
            <w:vAlign w:val="center"/>
            <w:hideMark/>
          </w:tcPr>
          <w:p w:rsidR="006640F2" w:rsidRPr="006640F2" w:rsidRDefault="006640F2" w:rsidP="006640F2">
            <w:pPr>
              <w:jc w:val="center"/>
              <w:rPr>
                <w:rFonts w:ascii="Times New Roman CE" w:hAnsi="Times New Roman CE" w:cs="Times New Roman CE"/>
                <w:i/>
                <w:iCs/>
                <w:sz w:val="23"/>
                <w:szCs w:val="23"/>
              </w:rPr>
            </w:pPr>
            <w:r w:rsidRPr="006640F2">
              <w:rPr>
                <w:rFonts w:ascii="Times New Roman CE" w:hAnsi="Times New Roman CE" w:cs="Times New Roman CE"/>
                <w:i/>
                <w:iCs/>
                <w:sz w:val="23"/>
                <w:szCs w:val="23"/>
              </w:rPr>
              <w:t>2022. évi</w:t>
            </w:r>
            <w:r w:rsidRPr="006640F2">
              <w:rPr>
                <w:rFonts w:ascii="Times New Roman CE" w:hAnsi="Times New Roman CE" w:cs="Times New Roman CE"/>
                <w:i/>
                <w:iCs/>
                <w:sz w:val="23"/>
                <w:szCs w:val="23"/>
              </w:rPr>
              <w:br/>
              <w:t xml:space="preserve"> terv</w:t>
            </w:r>
          </w:p>
        </w:tc>
        <w:tc>
          <w:tcPr>
            <w:tcW w:w="1136" w:type="dxa"/>
            <w:gridSpan w:val="2"/>
            <w:tcBorders>
              <w:top w:val="single" w:sz="4" w:space="0" w:color="auto"/>
              <w:left w:val="nil"/>
              <w:bottom w:val="single" w:sz="4" w:space="0" w:color="auto"/>
              <w:right w:val="nil"/>
            </w:tcBorders>
            <w:shd w:val="clear" w:color="auto" w:fill="auto"/>
            <w:vAlign w:val="center"/>
            <w:hideMark/>
          </w:tcPr>
          <w:p w:rsidR="006640F2" w:rsidRPr="006640F2" w:rsidRDefault="006640F2" w:rsidP="006640F2">
            <w:pPr>
              <w:jc w:val="center"/>
              <w:rPr>
                <w:rFonts w:ascii="Times New Roman CE" w:hAnsi="Times New Roman CE" w:cs="Times New Roman CE"/>
                <w:i/>
                <w:iCs/>
                <w:sz w:val="23"/>
                <w:szCs w:val="23"/>
              </w:rPr>
            </w:pPr>
            <w:r w:rsidRPr="006640F2">
              <w:rPr>
                <w:rFonts w:ascii="Times New Roman CE" w:hAnsi="Times New Roman CE" w:cs="Times New Roman CE"/>
                <w:i/>
                <w:iCs/>
                <w:sz w:val="23"/>
                <w:szCs w:val="23"/>
              </w:rPr>
              <w:t>2022. évi</w:t>
            </w:r>
            <w:r w:rsidRPr="006640F2">
              <w:rPr>
                <w:rFonts w:ascii="Times New Roman CE" w:hAnsi="Times New Roman CE" w:cs="Times New Roman CE"/>
                <w:i/>
                <w:iCs/>
                <w:sz w:val="23"/>
                <w:szCs w:val="23"/>
              </w:rPr>
              <w:br/>
              <w:t xml:space="preserve"> tény </w:t>
            </w:r>
          </w:p>
        </w:tc>
        <w:tc>
          <w:tcPr>
            <w:tcW w:w="1196" w:type="dxa"/>
            <w:gridSpan w:val="2"/>
            <w:tcBorders>
              <w:top w:val="single" w:sz="4" w:space="0" w:color="auto"/>
              <w:left w:val="nil"/>
              <w:bottom w:val="single" w:sz="4" w:space="0" w:color="auto"/>
              <w:right w:val="nil"/>
            </w:tcBorders>
            <w:shd w:val="clear" w:color="auto" w:fill="auto"/>
            <w:vAlign w:val="center"/>
            <w:hideMark/>
          </w:tcPr>
          <w:p w:rsidR="006640F2" w:rsidRPr="006640F2" w:rsidRDefault="006640F2" w:rsidP="006640F2">
            <w:pPr>
              <w:jc w:val="center"/>
              <w:rPr>
                <w:rFonts w:ascii="Times New Roman CE" w:hAnsi="Times New Roman CE" w:cs="Times New Roman CE"/>
                <w:i/>
                <w:iCs/>
                <w:sz w:val="23"/>
                <w:szCs w:val="23"/>
              </w:rPr>
            </w:pPr>
            <w:r w:rsidRPr="006640F2">
              <w:rPr>
                <w:rFonts w:ascii="Times New Roman CE" w:hAnsi="Times New Roman CE" w:cs="Times New Roman CE"/>
                <w:i/>
                <w:iCs/>
                <w:sz w:val="23"/>
                <w:szCs w:val="23"/>
              </w:rPr>
              <w:t xml:space="preserve">tény/ bázis    </w:t>
            </w:r>
          </w:p>
        </w:tc>
        <w:tc>
          <w:tcPr>
            <w:tcW w:w="1116" w:type="dxa"/>
            <w:gridSpan w:val="2"/>
            <w:tcBorders>
              <w:top w:val="single" w:sz="4" w:space="0" w:color="auto"/>
              <w:left w:val="nil"/>
              <w:bottom w:val="single" w:sz="4" w:space="0" w:color="auto"/>
              <w:right w:val="nil"/>
            </w:tcBorders>
            <w:shd w:val="clear" w:color="auto" w:fill="auto"/>
            <w:vAlign w:val="center"/>
            <w:hideMark/>
          </w:tcPr>
          <w:p w:rsidR="006640F2" w:rsidRPr="006640F2" w:rsidRDefault="006640F2" w:rsidP="006640F2">
            <w:pPr>
              <w:jc w:val="center"/>
              <w:rPr>
                <w:rFonts w:ascii="Times New Roman CE" w:hAnsi="Times New Roman CE" w:cs="Times New Roman CE"/>
                <w:i/>
                <w:iCs/>
                <w:sz w:val="23"/>
                <w:szCs w:val="23"/>
              </w:rPr>
            </w:pPr>
            <w:r w:rsidRPr="006640F2">
              <w:rPr>
                <w:rFonts w:ascii="Times New Roman CE" w:hAnsi="Times New Roman CE" w:cs="Times New Roman CE"/>
                <w:i/>
                <w:iCs/>
                <w:sz w:val="23"/>
                <w:szCs w:val="23"/>
              </w:rPr>
              <w:t xml:space="preserve">tény/ terv    </w:t>
            </w:r>
          </w:p>
        </w:tc>
      </w:tr>
      <w:tr w:rsidR="006640F2" w:rsidRPr="006640F2" w:rsidTr="009F3935">
        <w:trPr>
          <w:gridAfter w:val="1"/>
          <w:wAfter w:w="171" w:type="dxa"/>
          <w:trHeight w:val="315"/>
        </w:trPr>
        <w:tc>
          <w:tcPr>
            <w:tcW w:w="3828" w:type="dxa"/>
            <w:tcBorders>
              <w:top w:val="nil"/>
              <w:left w:val="nil"/>
              <w:bottom w:val="nil"/>
              <w:right w:val="nil"/>
            </w:tcBorders>
            <w:shd w:val="clear" w:color="auto" w:fill="auto"/>
            <w:noWrap/>
            <w:vAlign w:val="center"/>
            <w:hideMark/>
          </w:tcPr>
          <w:p w:rsidR="006640F2" w:rsidRPr="006640F2" w:rsidRDefault="006640F2" w:rsidP="009F3935">
            <w:pPr>
              <w:jc w:val="left"/>
              <w:rPr>
                <w:rFonts w:ascii="Times New Roman CE" w:hAnsi="Times New Roman CE" w:cs="Times New Roman CE"/>
                <w:sz w:val="23"/>
                <w:szCs w:val="23"/>
              </w:rPr>
            </w:pPr>
            <w:r w:rsidRPr="006640F2">
              <w:rPr>
                <w:rFonts w:ascii="Times New Roman CE" w:hAnsi="Times New Roman CE" w:cs="Times New Roman CE"/>
                <w:sz w:val="23"/>
                <w:szCs w:val="23"/>
              </w:rPr>
              <w:t>Teljes munkaidőben foglalk</w:t>
            </w:r>
            <w:r w:rsidR="009F3935">
              <w:rPr>
                <w:rFonts w:ascii="Times New Roman CE" w:hAnsi="Times New Roman CE" w:cs="Times New Roman CE"/>
                <w:sz w:val="23"/>
                <w:szCs w:val="23"/>
              </w:rPr>
              <w:t>.</w:t>
            </w:r>
            <w:r w:rsidRPr="006640F2">
              <w:rPr>
                <w:rFonts w:ascii="Times New Roman CE" w:hAnsi="Times New Roman CE" w:cs="Times New Roman CE"/>
                <w:sz w:val="23"/>
                <w:szCs w:val="23"/>
              </w:rPr>
              <w:t xml:space="preserve"> bére</w:t>
            </w:r>
          </w:p>
        </w:tc>
        <w:tc>
          <w:tcPr>
            <w:tcW w:w="1176" w:type="dxa"/>
            <w:gridSpan w:val="2"/>
            <w:tcBorders>
              <w:top w:val="nil"/>
              <w:left w:val="nil"/>
              <w:bottom w:val="nil"/>
              <w:right w:val="nil"/>
            </w:tcBorders>
            <w:shd w:val="clear" w:color="auto" w:fill="auto"/>
            <w:noWrap/>
            <w:vAlign w:val="bottom"/>
            <w:hideMark/>
          </w:tcPr>
          <w:p w:rsidR="006640F2" w:rsidRPr="006640F2" w:rsidRDefault="006640F2" w:rsidP="006640F2">
            <w:pPr>
              <w:jc w:val="right"/>
              <w:rPr>
                <w:rFonts w:ascii="Times New Roman CE" w:hAnsi="Times New Roman CE" w:cs="Times New Roman CE"/>
                <w:sz w:val="23"/>
                <w:szCs w:val="23"/>
              </w:rPr>
            </w:pPr>
            <w:r w:rsidRPr="006640F2">
              <w:rPr>
                <w:rFonts w:ascii="Times New Roman CE" w:hAnsi="Times New Roman CE" w:cs="Times New Roman CE"/>
                <w:sz w:val="23"/>
                <w:szCs w:val="23"/>
              </w:rPr>
              <w:t>2 469 549</w:t>
            </w:r>
          </w:p>
        </w:tc>
        <w:tc>
          <w:tcPr>
            <w:tcW w:w="1176" w:type="dxa"/>
            <w:gridSpan w:val="2"/>
            <w:tcBorders>
              <w:top w:val="nil"/>
              <w:left w:val="nil"/>
              <w:bottom w:val="nil"/>
              <w:right w:val="nil"/>
            </w:tcBorders>
            <w:shd w:val="clear" w:color="auto" w:fill="auto"/>
            <w:noWrap/>
            <w:vAlign w:val="bottom"/>
            <w:hideMark/>
          </w:tcPr>
          <w:p w:rsidR="006640F2" w:rsidRPr="006640F2" w:rsidRDefault="006640F2" w:rsidP="006640F2">
            <w:pPr>
              <w:jc w:val="right"/>
              <w:rPr>
                <w:rFonts w:ascii="Times New Roman CE" w:hAnsi="Times New Roman CE" w:cs="Times New Roman CE"/>
                <w:sz w:val="23"/>
                <w:szCs w:val="23"/>
              </w:rPr>
            </w:pPr>
            <w:r w:rsidRPr="006640F2">
              <w:rPr>
                <w:rFonts w:ascii="Times New Roman CE" w:hAnsi="Times New Roman CE" w:cs="Times New Roman CE"/>
                <w:sz w:val="23"/>
                <w:szCs w:val="23"/>
              </w:rPr>
              <w:t>2 680 581</w:t>
            </w:r>
          </w:p>
        </w:tc>
        <w:tc>
          <w:tcPr>
            <w:tcW w:w="1136" w:type="dxa"/>
            <w:gridSpan w:val="2"/>
            <w:tcBorders>
              <w:top w:val="nil"/>
              <w:left w:val="nil"/>
              <w:bottom w:val="nil"/>
              <w:right w:val="nil"/>
            </w:tcBorders>
            <w:shd w:val="clear" w:color="auto" w:fill="auto"/>
            <w:noWrap/>
            <w:vAlign w:val="bottom"/>
            <w:hideMark/>
          </w:tcPr>
          <w:p w:rsidR="006640F2" w:rsidRPr="006640F2" w:rsidRDefault="006640F2" w:rsidP="006640F2">
            <w:pPr>
              <w:jc w:val="right"/>
              <w:rPr>
                <w:rFonts w:ascii="Times New Roman CE" w:hAnsi="Times New Roman CE" w:cs="Times New Roman CE"/>
                <w:sz w:val="23"/>
                <w:szCs w:val="23"/>
              </w:rPr>
            </w:pPr>
            <w:r w:rsidRPr="006640F2">
              <w:rPr>
                <w:rFonts w:ascii="Times New Roman CE" w:hAnsi="Times New Roman CE" w:cs="Times New Roman CE"/>
                <w:sz w:val="23"/>
                <w:szCs w:val="23"/>
              </w:rPr>
              <w:t>2 700 599</w:t>
            </w:r>
          </w:p>
        </w:tc>
        <w:tc>
          <w:tcPr>
            <w:tcW w:w="1196" w:type="dxa"/>
            <w:gridSpan w:val="2"/>
            <w:tcBorders>
              <w:top w:val="nil"/>
              <w:left w:val="nil"/>
              <w:bottom w:val="nil"/>
              <w:right w:val="nil"/>
            </w:tcBorders>
            <w:shd w:val="clear" w:color="auto" w:fill="auto"/>
            <w:noWrap/>
            <w:vAlign w:val="bottom"/>
            <w:hideMark/>
          </w:tcPr>
          <w:p w:rsidR="006640F2" w:rsidRPr="006640F2" w:rsidRDefault="006640F2" w:rsidP="006640F2">
            <w:pPr>
              <w:jc w:val="right"/>
              <w:rPr>
                <w:rFonts w:ascii="Times New Roman CE" w:hAnsi="Times New Roman CE" w:cs="Times New Roman CE"/>
                <w:sz w:val="23"/>
                <w:szCs w:val="23"/>
              </w:rPr>
            </w:pPr>
            <w:r w:rsidRPr="006640F2">
              <w:rPr>
                <w:rFonts w:ascii="Times New Roman CE" w:hAnsi="Times New Roman CE" w:cs="Times New Roman CE"/>
                <w:sz w:val="23"/>
                <w:szCs w:val="23"/>
              </w:rPr>
              <w:t>109,4%</w:t>
            </w:r>
          </w:p>
        </w:tc>
        <w:tc>
          <w:tcPr>
            <w:tcW w:w="1116" w:type="dxa"/>
            <w:gridSpan w:val="2"/>
            <w:tcBorders>
              <w:top w:val="nil"/>
              <w:left w:val="nil"/>
              <w:bottom w:val="nil"/>
              <w:right w:val="nil"/>
            </w:tcBorders>
            <w:shd w:val="clear" w:color="auto" w:fill="auto"/>
            <w:noWrap/>
            <w:vAlign w:val="bottom"/>
            <w:hideMark/>
          </w:tcPr>
          <w:p w:rsidR="006640F2" w:rsidRPr="006640F2" w:rsidRDefault="006640F2" w:rsidP="006640F2">
            <w:pPr>
              <w:jc w:val="right"/>
              <w:rPr>
                <w:rFonts w:ascii="Times New Roman CE" w:hAnsi="Times New Roman CE" w:cs="Times New Roman CE"/>
                <w:sz w:val="23"/>
                <w:szCs w:val="23"/>
              </w:rPr>
            </w:pPr>
            <w:r w:rsidRPr="006640F2">
              <w:rPr>
                <w:rFonts w:ascii="Times New Roman CE" w:hAnsi="Times New Roman CE" w:cs="Times New Roman CE"/>
                <w:sz w:val="23"/>
                <w:szCs w:val="23"/>
              </w:rPr>
              <w:t>100,7%</w:t>
            </w:r>
          </w:p>
        </w:tc>
      </w:tr>
      <w:tr w:rsidR="006640F2" w:rsidRPr="006640F2" w:rsidTr="009F3935">
        <w:trPr>
          <w:gridAfter w:val="1"/>
          <w:wAfter w:w="171" w:type="dxa"/>
          <w:trHeight w:val="300"/>
        </w:trPr>
        <w:tc>
          <w:tcPr>
            <w:tcW w:w="3828" w:type="dxa"/>
            <w:tcBorders>
              <w:top w:val="nil"/>
              <w:left w:val="nil"/>
              <w:bottom w:val="nil"/>
              <w:right w:val="nil"/>
            </w:tcBorders>
            <w:shd w:val="clear" w:color="auto" w:fill="auto"/>
            <w:noWrap/>
            <w:vAlign w:val="center"/>
            <w:hideMark/>
          </w:tcPr>
          <w:p w:rsidR="006640F2" w:rsidRPr="006640F2" w:rsidRDefault="006640F2" w:rsidP="009F3935">
            <w:pPr>
              <w:jc w:val="left"/>
              <w:rPr>
                <w:rFonts w:ascii="Times New Roman CE" w:hAnsi="Times New Roman CE" w:cs="Times New Roman CE"/>
                <w:sz w:val="23"/>
                <w:szCs w:val="23"/>
              </w:rPr>
            </w:pPr>
            <w:r w:rsidRPr="006640F2">
              <w:rPr>
                <w:rFonts w:ascii="Times New Roman CE" w:hAnsi="Times New Roman CE" w:cs="Times New Roman CE"/>
                <w:sz w:val="23"/>
                <w:szCs w:val="23"/>
              </w:rPr>
              <w:t>Részmunkaidőben foglalk</w:t>
            </w:r>
            <w:r w:rsidR="009F3935">
              <w:rPr>
                <w:rFonts w:ascii="Times New Roman CE" w:hAnsi="Times New Roman CE" w:cs="Times New Roman CE"/>
                <w:sz w:val="23"/>
                <w:szCs w:val="23"/>
              </w:rPr>
              <w:t>.</w:t>
            </w:r>
            <w:r w:rsidRPr="006640F2">
              <w:rPr>
                <w:rFonts w:ascii="Times New Roman CE" w:hAnsi="Times New Roman CE" w:cs="Times New Roman CE"/>
                <w:sz w:val="23"/>
                <w:szCs w:val="23"/>
              </w:rPr>
              <w:t xml:space="preserve"> bére</w:t>
            </w:r>
          </w:p>
        </w:tc>
        <w:tc>
          <w:tcPr>
            <w:tcW w:w="1176" w:type="dxa"/>
            <w:gridSpan w:val="2"/>
            <w:tcBorders>
              <w:top w:val="nil"/>
              <w:left w:val="nil"/>
              <w:bottom w:val="nil"/>
              <w:right w:val="nil"/>
            </w:tcBorders>
            <w:shd w:val="clear" w:color="auto" w:fill="auto"/>
            <w:noWrap/>
            <w:vAlign w:val="bottom"/>
            <w:hideMark/>
          </w:tcPr>
          <w:p w:rsidR="006640F2" w:rsidRPr="006640F2" w:rsidRDefault="006640F2" w:rsidP="006640F2">
            <w:pPr>
              <w:jc w:val="right"/>
              <w:rPr>
                <w:rFonts w:ascii="Times New Roman CE" w:hAnsi="Times New Roman CE" w:cs="Times New Roman CE"/>
                <w:sz w:val="23"/>
                <w:szCs w:val="23"/>
              </w:rPr>
            </w:pPr>
            <w:r w:rsidRPr="006640F2">
              <w:rPr>
                <w:rFonts w:ascii="Times New Roman CE" w:hAnsi="Times New Roman CE" w:cs="Times New Roman CE"/>
                <w:sz w:val="23"/>
                <w:szCs w:val="23"/>
              </w:rPr>
              <w:t>40 094</w:t>
            </w:r>
          </w:p>
        </w:tc>
        <w:tc>
          <w:tcPr>
            <w:tcW w:w="1176" w:type="dxa"/>
            <w:gridSpan w:val="2"/>
            <w:tcBorders>
              <w:top w:val="nil"/>
              <w:left w:val="nil"/>
              <w:bottom w:val="nil"/>
              <w:right w:val="nil"/>
            </w:tcBorders>
            <w:shd w:val="clear" w:color="auto" w:fill="auto"/>
            <w:noWrap/>
            <w:vAlign w:val="bottom"/>
            <w:hideMark/>
          </w:tcPr>
          <w:p w:rsidR="006640F2" w:rsidRPr="006640F2" w:rsidRDefault="006640F2" w:rsidP="006640F2">
            <w:pPr>
              <w:jc w:val="right"/>
              <w:rPr>
                <w:rFonts w:ascii="Times New Roman CE" w:hAnsi="Times New Roman CE" w:cs="Times New Roman CE"/>
                <w:sz w:val="23"/>
                <w:szCs w:val="23"/>
              </w:rPr>
            </w:pPr>
            <w:r w:rsidRPr="006640F2">
              <w:rPr>
                <w:rFonts w:ascii="Times New Roman CE" w:hAnsi="Times New Roman CE" w:cs="Times New Roman CE"/>
                <w:sz w:val="23"/>
                <w:szCs w:val="23"/>
              </w:rPr>
              <w:t>43 743</w:t>
            </w:r>
          </w:p>
        </w:tc>
        <w:tc>
          <w:tcPr>
            <w:tcW w:w="1136" w:type="dxa"/>
            <w:gridSpan w:val="2"/>
            <w:tcBorders>
              <w:top w:val="nil"/>
              <w:left w:val="nil"/>
              <w:bottom w:val="nil"/>
              <w:right w:val="nil"/>
            </w:tcBorders>
            <w:shd w:val="clear" w:color="auto" w:fill="auto"/>
            <w:noWrap/>
            <w:vAlign w:val="bottom"/>
            <w:hideMark/>
          </w:tcPr>
          <w:p w:rsidR="006640F2" w:rsidRPr="006640F2" w:rsidRDefault="006640F2" w:rsidP="006640F2">
            <w:pPr>
              <w:jc w:val="right"/>
              <w:rPr>
                <w:rFonts w:ascii="Times New Roman CE" w:hAnsi="Times New Roman CE" w:cs="Times New Roman CE"/>
                <w:sz w:val="23"/>
                <w:szCs w:val="23"/>
              </w:rPr>
            </w:pPr>
            <w:r w:rsidRPr="006640F2">
              <w:rPr>
                <w:rFonts w:ascii="Times New Roman CE" w:hAnsi="Times New Roman CE" w:cs="Times New Roman CE"/>
                <w:sz w:val="23"/>
                <w:szCs w:val="23"/>
              </w:rPr>
              <w:t>45 726</w:t>
            </w:r>
          </w:p>
        </w:tc>
        <w:tc>
          <w:tcPr>
            <w:tcW w:w="1196" w:type="dxa"/>
            <w:gridSpan w:val="2"/>
            <w:tcBorders>
              <w:top w:val="nil"/>
              <w:left w:val="nil"/>
              <w:bottom w:val="nil"/>
              <w:right w:val="nil"/>
            </w:tcBorders>
            <w:shd w:val="clear" w:color="auto" w:fill="auto"/>
            <w:noWrap/>
            <w:vAlign w:val="bottom"/>
            <w:hideMark/>
          </w:tcPr>
          <w:p w:rsidR="006640F2" w:rsidRPr="006640F2" w:rsidRDefault="006640F2" w:rsidP="006640F2">
            <w:pPr>
              <w:jc w:val="right"/>
              <w:rPr>
                <w:rFonts w:ascii="Times New Roman CE" w:hAnsi="Times New Roman CE" w:cs="Times New Roman CE"/>
                <w:sz w:val="23"/>
                <w:szCs w:val="23"/>
              </w:rPr>
            </w:pPr>
            <w:r w:rsidRPr="006640F2">
              <w:rPr>
                <w:rFonts w:ascii="Times New Roman CE" w:hAnsi="Times New Roman CE" w:cs="Times New Roman CE"/>
                <w:sz w:val="23"/>
                <w:szCs w:val="23"/>
              </w:rPr>
              <w:t>114,0%</w:t>
            </w:r>
          </w:p>
        </w:tc>
        <w:tc>
          <w:tcPr>
            <w:tcW w:w="1116" w:type="dxa"/>
            <w:gridSpan w:val="2"/>
            <w:tcBorders>
              <w:top w:val="nil"/>
              <w:left w:val="nil"/>
              <w:bottom w:val="nil"/>
              <w:right w:val="nil"/>
            </w:tcBorders>
            <w:shd w:val="clear" w:color="auto" w:fill="auto"/>
            <w:noWrap/>
            <w:vAlign w:val="bottom"/>
            <w:hideMark/>
          </w:tcPr>
          <w:p w:rsidR="006640F2" w:rsidRPr="006640F2" w:rsidRDefault="006640F2" w:rsidP="006640F2">
            <w:pPr>
              <w:jc w:val="right"/>
              <w:rPr>
                <w:rFonts w:ascii="Times New Roman CE" w:hAnsi="Times New Roman CE" w:cs="Times New Roman CE"/>
                <w:sz w:val="23"/>
                <w:szCs w:val="23"/>
              </w:rPr>
            </w:pPr>
            <w:r w:rsidRPr="006640F2">
              <w:rPr>
                <w:rFonts w:ascii="Times New Roman CE" w:hAnsi="Times New Roman CE" w:cs="Times New Roman CE"/>
                <w:sz w:val="23"/>
                <w:szCs w:val="23"/>
              </w:rPr>
              <w:t>104,5%</w:t>
            </w:r>
          </w:p>
        </w:tc>
      </w:tr>
      <w:tr w:rsidR="006640F2" w:rsidRPr="006640F2" w:rsidTr="009F3935">
        <w:trPr>
          <w:gridAfter w:val="1"/>
          <w:wAfter w:w="171" w:type="dxa"/>
          <w:trHeight w:val="300"/>
        </w:trPr>
        <w:tc>
          <w:tcPr>
            <w:tcW w:w="3828" w:type="dxa"/>
            <w:tcBorders>
              <w:top w:val="nil"/>
              <w:left w:val="nil"/>
              <w:bottom w:val="single" w:sz="4" w:space="0" w:color="auto"/>
              <w:right w:val="nil"/>
            </w:tcBorders>
            <w:shd w:val="clear" w:color="auto" w:fill="auto"/>
            <w:noWrap/>
            <w:vAlign w:val="center"/>
            <w:hideMark/>
          </w:tcPr>
          <w:p w:rsidR="006640F2" w:rsidRPr="006640F2" w:rsidRDefault="006640F2" w:rsidP="006640F2">
            <w:pPr>
              <w:jc w:val="left"/>
              <w:rPr>
                <w:rFonts w:ascii="Times New Roman CE" w:hAnsi="Times New Roman CE" w:cs="Times New Roman CE"/>
                <w:sz w:val="23"/>
                <w:szCs w:val="23"/>
              </w:rPr>
            </w:pPr>
            <w:r w:rsidRPr="006640F2">
              <w:rPr>
                <w:rFonts w:ascii="Times New Roman CE" w:hAnsi="Times New Roman CE" w:cs="Times New Roman CE"/>
                <w:sz w:val="23"/>
                <w:szCs w:val="23"/>
              </w:rPr>
              <w:t xml:space="preserve">Egyéb bérek </w:t>
            </w:r>
          </w:p>
        </w:tc>
        <w:tc>
          <w:tcPr>
            <w:tcW w:w="1176" w:type="dxa"/>
            <w:gridSpan w:val="2"/>
            <w:tcBorders>
              <w:top w:val="nil"/>
              <w:left w:val="nil"/>
              <w:bottom w:val="single" w:sz="4" w:space="0" w:color="auto"/>
              <w:right w:val="nil"/>
            </w:tcBorders>
            <w:shd w:val="clear" w:color="auto" w:fill="auto"/>
            <w:noWrap/>
            <w:vAlign w:val="bottom"/>
            <w:hideMark/>
          </w:tcPr>
          <w:p w:rsidR="006640F2" w:rsidRPr="006640F2" w:rsidRDefault="006640F2" w:rsidP="006640F2">
            <w:pPr>
              <w:jc w:val="right"/>
              <w:rPr>
                <w:rFonts w:ascii="Times New Roman CE" w:hAnsi="Times New Roman CE" w:cs="Times New Roman CE"/>
                <w:sz w:val="23"/>
                <w:szCs w:val="23"/>
              </w:rPr>
            </w:pPr>
            <w:r w:rsidRPr="006640F2">
              <w:rPr>
                <w:rFonts w:ascii="Times New Roman CE" w:hAnsi="Times New Roman CE" w:cs="Times New Roman CE"/>
                <w:sz w:val="23"/>
                <w:szCs w:val="23"/>
              </w:rPr>
              <w:t>16 635</w:t>
            </w:r>
          </w:p>
        </w:tc>
        <w:tc>
          <w:tcPr>
            <w:tcW w:w="1176" w:type="dxa"/>
            <w:gridSpan w:val="2"/>
            <w:tcBorders>
              <w:top w:val="nil"/>
              <w:left w:val="nil"/>
              <w:bottom w:val="single" w:sz="4" w:space="0" w:color="auto"/>
              <w:right w:val="nil"/>
            </w:tcBorders>
            <w:shd w:val="clear" w:color="auto" w:fill="auto"/>
            <w:noWrap/>
            <w:vAlign w:val="bottom"/>
            <w:hideMark/>
          </w:tcPr>
          <w:p w:rsidR="006640F2" w:rsidRPr="006640F2" w:rsidRDefault="006640F2" w:rsidP="006640F2">
            <w:pPr>
              <w:jc w:val="right"/>
              <w:rPr>
                <w:rFonts w:ascii="Times New Roman CE" w:hAnsi="Times New Roman CE" w:cs="Times New Roman CE"/>
                <w:sz w:val="23"/>
                <w:szCs w:val="23"/>
              </w:rPr>
            </w:pPr>
            <w:r w:rsidRPr="006640F2">
              <w:rPr>
                <w:rFonts w:ascii="Times New Roman CE" w:hAnsi="Times New Roman CE" w:cs="Times New Roman CE"/>
                <w:sz w:val="23"/>
                <w:szCs w:val="23"/>
              </w:rPr>
              <w:t>40 881</w:t>
            </w:r>
          </w:p>
        </w:tc>
        <w:tc>
          <w:tcPr>
            <w:tcW w:w="1136" w:type="dxa"/>
            <w:gridSpan w:val="2"/>
            <w:tcBorders>
              <w:top w:val="nil"/>
              <w:left w:val="nil"/>
              <w:bottom w:val="single" w:sz="4" w:space="0" w:color="auto"/>
              <w:right w:val="nil"/>
            </w:tcBorders>
            <w:shd w:val="clear" w:color="auto" w:fill="auto"/>
            <w:noWrap/>
            <w:vAlign w:val="bottom"/>
            <w:hideMark/>
          </w:tcPr>
          <w:p w:rsidR="006640F2" w:rsidRPr="006640F2" w:rsidRDefault="006640F2" w:rsidP="006640F2">
            <w:pPr>
              <w:jc w:val="right"/>
              <w:rPr>
                <w:rFonts w:ascii="Times New Roman CE" w:hAnsi="Times New Roman CE" w:cs="Times New Roman CE"/>
                <w:sz w:val="23"/>
                <w:szCs w:val="23"/>
              </w:rPr>
            </w:pPr>
            <w:r w:rsidRPr="006640F2">
              <w:rPr>
                <w:rFonts w:ascii="Times New Roman CE" w:hAnsi="Times New Roman CE" w:cs="Times New Roman CE"/>
                <w:sz w:val="23"/>
                <w:szCs w:val="23"/>
              </w:rPr>
              <w:t>14 446</w:t>
            </w:r>
          </w:p>
        </w:tc>
        <w:tc>
          <w:tcPr>
            <w:tcW w:w="1196" w:type="dxa"/>
            <w:gridSpan w:val="2"/>
            <w:tcBorders>
              <w:top w:val="nil"/>
              <w:left w:val="nil"/>
              <w:bottom w:val="single" w:sz="4" w:space="0" w:color="auto"/>
              <w:right w:val="nil"/>
            </w:tcBorders>
            <w:shd w:val="clear" w:color="auto" w:fill="auto"/>
            <w:noWrap/>
            <w:vAlign w:val="bottom"/>
            <w:hideMark/>
          </w:tcPr>
          <w:p w:rsidR="006640F2" w:rsidRPr="006640F2" w:rsidRDefault="006640F2" w:rsidP="006640F2">
            <w:pPr>
              <w:jc w:val="right"/>
              <w:rPr>
                <w:rFonts w:ascii="Times New Roman CE" w:hAnsi="Times New Roman CE" w:cs="Times New Roman CE"/>
                <w:sz w:val="23"/>
                <w:szCs w:val="23"/>
              </w:rPr>
            </w:pPr>
            <w:r w:rsidRPr="006640F2">
              <w:rPr>
                <w:rFonts w:ascii="Times New Roman CE" w:hAnsi="Times New Roman CE" w:cs="Times New Roman CE"/>
                <w:sz w:val="23"/>
                <w:szCs w:val="23"/>
              </w:rPr>
              <w:t>86,8%</w:t>
            </w:r>
          </w:p>
        </w:tc>
        <w:tc>
          <w:tcPr>
            <w:tcW w:w="1116" w:type="dxa"/>
            <w:gridSpan w:val="2"/>
            <w:tcBorders>
              <w:top w:val="nil"/>
              <w:left w:val="nil"/>
              <w:bottom w:val="single" w:sz="4" w:space="0" w:color="auto"/>
              <w:right w:val="nil"/>
            </w:tcBorders>
            <w:shd w:val="clear" w:color="auto" w:fill="auto"/>
            <w:noWrap/>
            <w:vAlign w:val="bottom"/>
            <w:hideMark/>
          </w:tcPr>
          <w:p w:rsidR="006640F2" w:rsidRPr="006640F2" w:rsidRDefault="006640F2" w:rsidP="006640F2">
            <w:pPr>
              <w:jc w:val="right"/>
              <w:rPr>
                <w:rFonts w:ascii="Times New Roman CE" w:hAnsi="Times New Roman CE" w:cs="Times New Roman CE"/>
                <w:sz w:val="23"/>
                <w:szCs w:val="23"/>
              </w:rPr>
            </w:pPr>
            <w:r w:rsidRPr="006640F2">
              <w:rPr>
                <w:rFonts w:ascii="Times New Roman CE" w:hAnsi="Times New Roman CE" w:cs="Times New Roman CE"/>
                <w:sz w:val="23"/>
                <w:szCs w:val="23"/>
              </w:rPr>
              <w:t>35,3%</w:t>
            </w:r>
          </w:p>
        </w:tc>
      </w:tr>
      <w:tr w:rsidR="006640F2" w:rsidRPr="007C7045" w:rsidTr="009F3935">
        <w:trPr>
          <w:gridAfter w:val="1"/>
          <w:wAfter w:w="171" w:type="dxa"/>
          <w:trHeight w:val="300"/>
        </w:trPr>
        <w:tc>
          <w:tcPr>
            <w:tcW w:w="3828" w:type="dxa"/>
            <w:tcBorders>
              <w:top w:val="nil"/>
              <w:left w:val="nil"/>
              <w:bottom w:val="nil"/>
              <w:right w:val="nil"/>
            </w:tcBorders>
            <w:shd w:val="clear" w:color="auto" w:fill="auto"/>
            <w:noWrap/>
            <w:vAlign w:val="center"/>
            <w:hideMark/>
          </w:tcPr>
          <w:p w:rsidR="006640F2" w:rsidRPr="007C7045" w:rsidRDefault="006640F2" w:rsidP="006640F2">
            <w:pPr>
              <w:jc w:val="left"/>
              <w:rPr>
                <w:rFonts w:ascii="Times New Roman CE" w:hAnsi="Times New Roman CE" w:cs="Times New Roman CE"/>
                <w:i/>
                <w:iCs/>
                <w:szCs w:val="24"/>
              </w:rPr>
            </w:pPr>
            <w:r w:rsidRPr="007C7045">
              <w:rPr>
                <w:rFonts w:ascii="Times New Roman CE" w:hAnsi="Times New Roman CE" w:cs="Times New Roman CE"/>
                <w:i/>
                <w:iCs/>
                <w:szCs w:val="24"/>
              </w:rPr>
              <w:t>Összesen</w:t>
            </w:r>
          </w:p>
        </w:tc>
        <w:tc>
          <w:tcPr>
            <w:tcW w:w="1176" w:type="dxa"/>
            <w:gridSpan w:val="2"/>
            <w:tcBorders>
              <w:top w:val="nil"/>
              <w:left w:val="nil"/>
              <w:bottom w:val="nil"/>
              <w:right w:val="nil"/>
            </w:tcBorders>
            <w:shd w:val="clear" w:color="auto" w:fill="auto"/>
            <w:noWrap/>
            <w:vAlign w:val="bottom"/>
            <w:hideMark/>
          </w:tcPr>
          <w:p w:rsidR="006640F2" w:rsidRPr="007C7045" w:rsidRDefault="006640F2" w:rsidP="006640F2">
            <w:pPr>
              <w:jc w:val="right"/>
              <w:rPr>
                <w:rFonts w:ascii="Times New Roman CE" w:hAnsi="Times New Roman CE" w:cs="Times New Roman CE"/>
                <w:i/>
                <w:iCs/>
                <w:szCs w:val="24"/>
              </w:rPr>
            </w:pPr>
            <w:r w:rsidRPr="007C7045">
              <w:rPr>
                <w:rFonts w:ascii="Times New Roman CE" w:hAnsi="Times New Roman CE" w:cs="Times New Roman CE"/>
                <w:i/>
                <w:iCs/>
                <w:szCs w:val="24"/>
              </w:rPr>
              <w:t>2 526 278</w:t>
            </w:r>
          </w:p>
        </w:tc>
        <w:tc>
          <w:tcPr>
            <w:tcW w:w="1176" w:type="dxa"/>
            <w:gridSpan w:val="2"/>
            <w:tcBorders>
              <w:top w:val="nil"/>
              <w:left w:val="nil"/>
              <w:bottom w:val="nil"/>
              <w:right w:val="nil"/>
            </w:tcBorders>
            <w:shd w:val="clear" w:color="auto" w:fill="auto"/>
            <w:noWrap/>
            <w:vAlign w:val="bottom"/>
            <w:hideMark/>
          </w:tcPr>
          <w:p w:rsidR="006640F2" w:rsidRPr="007C7045" w:rsidRDefault="006640F2" w:rsidP="006640F2">
            <w:pPr>
              <w:jc w:val="right"/>
              <w:rPr>
                <w:rFonts w:ascii="Times New Roman CE" w:hAnsi="Times New Roman CE" w:cs="Times New Roman CE"/>
                <w:i/>
                <w:iCs/>
                <w:szCs w:val="24"/>
              </w:rPr>
            </w:pPr>
            <w:r w:rsidRPr="007C7045">
              <w:rPr>
                <w:rFonts w:ascii="Times New Roman CE" w:hAnsi="Times New Roman CE" w:cs="Times New Roman CE"/>
                <w:i/>
                <w:iCs/>
                <w:szCs w:val="24"/>
              </w:rPr>
              <w:t>2 765 205</w:t>
            </w:r>
          </w:p>
        </w:tc>
        <w:tc>
          <w:tcPr>
            <w:tcW w:w="1136" w:type="dxa"/>
            <w:gridSpan w:val="2"/>
            <w:tcBorders>
              <w:top w:val="nil"/>
              <w:left w:val="nil"/>
              <w:bottom w:val="nil"/>
              <w:right w:val="nil"/>
            </w:tcBorders>
            <w:shd w:val="clear" w:color="auto" w:fill="auto"/>
            <w:noWrap/>
            <w:vAlign w:val="bottom"/>
            <w:hideMark/>
          </w:tcPr>
          <w:p w:rsidR="006640F2" w:rsidRPr="007C7045" w:rsidRDefault="006640F2" w:rsidP="006640F2">
            <w:pPr>
              <w:jc w:val="right"/>
              <w:rPr>
                <w:rFonts w:ascii="Times New Roman CE" w:hAnsi="Times New Roman CE" w:cs="Times New Roman CE"/>
                <w:i/>
                <w:iCs/>
                <w:szCs w:val="24"/>
              </w:rPr>
            </w:pPr>
            <w:r w:rsidRPr="007C7045">
              <w:rPr>
                <w:rFonts w:ascii="Times New Roman CE" w:hAnsi="Times New Roman CE" w:cs="Times New Roman CE"/>
                <w:i/>
                <w:iCs/>
                <w:szCs w:val="24"/>
              </w:rPr>
              <w:t>2 760 771</w:t>
            </w:r>
          </w:p>
        </w:tc>
        <w:tc>
          <w:tcPr>
            <w:tcW w:w="1196" w:type="dxa"/>
            <w:gridSpan w:val="2"/>
            <w:tcBorders>
              <w:top w:val="nil"/>
              <w:left w:val="nil"/>
              <w:bottom w:val="nil"/>
              <w:right w:val="nil"/>
            </w:tcBorders>
            <w:shd w:val="clear" w:color="auto" w:fill="auto"/>
            <w:noWrap/>
            <w:vAlign w:val="bottom"/>
            <w:hideMark/>
          </w:tcPr>
          <w:p w:rsidR="006640F2" w:rsidRPr="007C7045" w:rsidRDefault="006640F2" w:rsidP="006640F2">
            <w:pPr>
              <w:jc w:val="right"/>
              <w:rPr>
                <w:rFonts w:ascii="Times New Roman CE" w:hAnsi="Times New Roman CE" w:cs="Times New Roman CE"/>
                <w:i/>
                <w:iCs/>
                <w:szCs w:val="24"/>
              </w:rPr>
            </w:pPr>
            <w:r w:rsidRPr="007C7045">
              <w:rPr>
                <w:rFonts w:ascii="Times New Roman CE" w:hAnsi="Times New Roman CE" w:cs="Times New Roman CE"/>
                <w:i/>
                <w:iCs/>
                <w:szCs w:val="24"/>
              </w:rPr>
              <w:t>109,3%</w:t>
            </w:r>
          </w:p>
        </w:tc>
        <w:tc>
          <w:tcPr>
            <w:tcW w:w="1116" w:type="dxa"/>
            <w:gridSpan w:val="2"/>
            <w:tcBorders>
              <w:top w:val="nil"/>
              <w:left w:val="nil"/>
              <w:bottom w:val="nil"/>
              <w:right w:val="nil"/>
            </w:tcBorders>
            <w:shd w:val="clear" w:color="auto" w:fill="auto"/>
            <w:noWrap/>
            <w:vAlign w:val="bottom"/>
            <w:hideMark/>
          </w:tcPr>
          <w:p w:rsidR="006640F2" w:rsidRPr="007C7045" w:rsidRDefault="006640F2" w:rsidP="006640F2">
            <w:pPr>
              <w:jc w:val="right"/>
              <w:rPr>
                <w:rFonts w:ascii="Times New Roman CE" w:hAnsi="Times New Roman CE" w:cs="Times New Roman CE"/>
                <w:szCs w:val="24"/>
              </w:rPr>
            </w:pPr>
            <w:r w:rsidRPr="007C7045">
              <w:rPr>
                <w:rFonts w:ascii="Times New Roman CE" w:hAnsi="Times New Roman CE" w:cs="Times New Roman CE"/>
                <w:szCs w:val="24"/>
              </w:rPr>
              <w:t>99,8%</w:t>
            </w:r>
          </w:p>
        </w:tc>
      </w:tr>
    </w:tbl>
    <w:p w:rsidR="006640F2" w:rsidRPr="007C7045" w:rsidRDefault="006640F2" w:rsidP="00CA7ACA">
      <w:pPr>
        <w:rPr>
          <w:rFonts w:eastAsiaTheme="minorHAnsi"/>
          <w:szCs w:val="24"/>
          <w:lang w:eastAsia="en-US"/>
        </w:rPr>
      </w:pPr>
    </w:p>
    <w:p w:rsidR="000B015B" w:rsidRPr="007C7045" w:rsidRDefault="00504604" w:rsidP="009942A7">
      <w:pPr>
        <w:pStyle w:val="Szvegtrzs"/>
        <w:rPr>
          <w:rFonts w:eastAsiaTheme="minorHAnsi"/>
          <w:sz w:val="24"/>
          <w:szCs w:val="24"/>
          <w:lang w:eastAsia="en-US"/>
        </w:rPr>
      </w:pPr>
      <w:r w:rsidRPr="007C7045">
        <w:rPr>
          <w:rFonts w:eastAsiaTheme="minorHAnsi"/>
          <w:sz w:val="24"/>
          <w:szCs w:val="24"/>
          <w:lang w:eastAsia="en-US"/>
        </w:rPr>
        <w:t>A 202</w:t>
      </w:r>
      <w:r w:rsidR="009F3935" w:rsidRPr="007C7045">
        <w:rPr>
          <w:rFonts w:eastAsiaTheme="minorHAnsi"/>
          <w:sz w:val="24"/>
          <w:szCs w:val="24"/>
          <w:lang w:eastAsia="en-US"/>
        </w:rPr>
        <w:t>2</w:t>
      </w:r>
      <w:r w:rsidRPr="007C7045">
        <w:rPr>
          <w:rFonts w:eastAsiaTheme="minorHAnsi"/>
          <w:sz w:val="24"/>
          <w:szCs w:val="24"/>
          <w:lang w:eastAsia="en-US"/>
        </w:rPr>
        <w:t xml:space="preserve">. évi üzleti terv alapján </w:t>
      </w:r>
      <w:r w:rsidR="000B015B" w:rsidRPr="007C7045">
        <w:rPr>
          <w:rFonts w:eastAsiaTheme="minorHAnsi"/>
          <w:sz w:val="24"/>
          <w:szCs w:val="24"/>
          <w:lang w:eastAsia="en-US"/>
        </w:rPr>
        <w:t xml:space="preserve">áprilisban január 1-ig visszamenőleg </w:t>
      </w:r>
      <w:r w:rsidR="000B015B" w:rsidRPr="007C7045">
        <w:rPr>
          <w:sz w:val="24"/>
          <w:szCs w:val="24"/>
        </w:rPr>
        <w:t xml:space="preserve">differenciált - </w:t>
      </w:r>
      <w:r w:rsidR="000B015B" w:rsidRPr="007C7045">
        <w:rPr>
          <w:rFonts w:eastAsiaTheme="minorHAnsi"/>
          <w:sz w:val="24"/>
          <w:szCs w:val="24"/>
          <w:lang w:eastAsia="en-US"/>
        </w:rPr>
        <w:t xml:space="preserve">átlagosan 9 %, nyugdíjasok esetében 7 % - </w:t>
      </w:r>
      <w:r w:rsidR="00F752A6" w:rsidRPr="007C7045">
        <w:rPr>
          <w:rFonts w:eastAsiaTheme="minorHAnsi"/>
          <w:sz w:val="24"/>
          <w:szCs w:val="24"/>
          <w:lang w:eastAsia="en-US"/>
        </w:rPr>
        <w:t xml:space="preserve">béremelésre, míg </w:t>
      </w:r>
      <w:r w:rsidR="00F752A6" w:rsidRPr="007C7045">
        <w:rPr>
          <w:kern w:val="3"/>
          <w:sz w:val="24"/>
          <w:szCs w:val="24"/>
          <w:lang w:eastAsia="zh-CN"/>
        </w:rPr>
        <w:t>november 1-jétől szintén differenciált</w:t>
      </w:r>
      <w:r w:rsidR="00C44502">
        <w:rPr>
          <w:kern w:val="3"/>
          <w:sz w:val="24"/>
          <w:szCs w:val="24"/>
          <w:lang w:eastAsia="zh-CN"/>
        </w:rPr>
        <w:t>,</w:t>
      </w:r>
      <w:r w:rsidR="00F752A6" w:rsidRPr="007C7045">
        <w:rPr>
          <w:kern w:val="3"/>
          <w:sz w:val="24"/>
          <w:szCs w:val="24"/>
          <w:lang w:eastAsia="zh-CN"/>
        </w:rPr>
        <w:t xml:space="preserve"> 11 %-os alapbéremelésre került sor.</w:t>
      </w:r>
    </w:p>
    <w:p w:rsidR="00F752A6" w:rsidRPr="007C7045" w:rsidRDefault="000B015B" w:rsidP="009942A7">
      <w:pPr>
        <w:pStyle w:val="Szvegtrzs"/>
        <w:rPr>
          <w:sz w:val="24"/>
          <w:szCs w:val="24"/>
        </w:rPr>
      </w:pPr>
      <w:r w:rsidRPr="007C7045">
        <w:rPr>
          <w:sz w:val="24"/>
          <w:szCs w:val="24"/>
        </w:rPr>
        <w:t>A január 1-jétől kötelezően alkalmazott minimálbér és garantált bérminimum emelésben részesültek további béremelést kaptak</w:t>
      </w:r>
      <w:r w:rsidR="00F752A6" w:rsidRPr="007C7045">
        <w:rPr>
          <w:sz w:val="24"/>
          <w:szCs w:val="24"/>
        </w:rPr>
        <w:t xml:space="preserve"> év elején</w:t>
      </w:r>
      <w:r w:rsidRPr="007C7045">
        <w:rPr>
          <w:sz w:val="24"/>
          <w:szCs w:val="24"/>
        </w:rPr>
        <w:t>, amennyiben a kötelező mérték nem érte el a 9</w:t>
      </w:r>
      <w:r w:rsidR="00565816" w:rsidRPr="007C7045">
        <w:rPr>
          <w:sz w:val="24"/>
          <w:szCs w:val="24"/>
        </w:rPr>
        <w:t xml:space="preserve"> </w:t>
      </w:r>
      <w:r w:rsidRPr="007C7045">
        <w:rPr>
          <w:sz w:val="24"/>
          <w:szCs w:val="24"/>
        </w:rPr>
        <w:t>%-ot.</w:t>
      </w:r>
    </w:p>
    <w:p w:rsidR="00CF4B30" w:rsidRPr="007C7045" w:rsidRDefault="00CF4B30" w:rsidP="009942A7">
      <w:pPr>
        <w:rPr>
          <w:rFonts w:ascii="Times New Roman CE" w:hAnsi="Times New Roman CE" w:cs="Times New Roman CE"/>
          <w:iCs/>
          <w:szCs w:val="24"/>
        </w:rPr>
      </w:pPr>
    </w:p>
    <w:p w:rsidR="00BA7324" w:rsidRPr="007C7045" w:rsidRDefault="00BA7324" w:rsidP="009942A7">
      <w:pPr>
        <w:pStyle w:val="Szvegtrzs"/>
        <w:rPr>
          <w:rFonts w:eastAsiaTheme="minorHAnsi"/>
          <w:sz w:val="24"/>
          <w:szCs w:val="24"/>
          <w:lang w:eastAsia="en-US"/>
        </w:rPr>
      </w:pPr>
      <w:r w:rsidRPr="007C7045">
        <w:rPr>
          <w:sz w:val="24"/>
          <w:szCs w:val="24"/>
        </w:rPr>
        <w:t>A béren kívüli juttatási elemeket tartalmazó - cafeteria – rendszer 2022. évben is minden munkavállaló számára egyenlő feltételekkel biztosította a különböző juttatások közti szabad választást.</w:t>
      </w:r>
    </w:p>
    <w:p w:rsidR="00BA7324" w:rsidRPr="007C7045" w:rsidRDefault="00BA7324" w:rsidP="009942A7">
      <w:pPr>
        <w:pStyle w:val="Szvegtrzs"/>
        <w:rPr>
          <w:sz w:val="24"/>
          <w:szCs w:val="24"/>
          <w:shd w:val="clear" w:color="auto" w:fill="FFFFFF"/>
        </w:rPr>
      </w:pPr>
      <w:r w:rsidRPr="007C7045">
        <w:rPr>
          <w:sz w:val="24"/>
          <w:szCs w:val="24"/>
          <w:shd w:val="clear" w:color="auto" w:fill="FFFFFF"/>
        </w:rPr>
        <w:t>2022. évben a teljes munkaidőben foglalkoztatott munkavállalók részére biztosított juttatások bruttó (azaz adóval és járulékokkal növelt) összege 240 eFt, részmunkaidő esetében a juttatás a munkaidő arányában jár (minimum 60 eFt/fő/év).</w:t>
      </w:r>
    </w:p>
    <w:p w:rsidR="00BA7324" w:rsidRPr="007C7045" w:rsidRDefault="00BA7324" w:rsidP="009942A7">
      <w:pPr>
        <w:pStyle w:val="Szvegtrzs3"/>
        <w:rPr>
          <w:szCs w:val="24"/>
          <w:shd w:val="clear" w:color="auto" w:fill="FFFFFF"/>
        </w:rPr>
      </w:pPr>
      <w:r w:rsidRPr="007C7045">
        <w:rPr>
          <w:szCs w:val="24"/>
          <w:shd w:val="clear" w:color="auto" w:fill="FFFFFF"/>
        </w:rPr>
        <w:t>A cafeteria-keretet az év folyamán egyenletesen, havi bruttó 20 eFt értékben lehet felhasználni.</w:t>
      </w:r>
    </w:p>
    <w:p w:rsidR="00BA7324" w:rsidRPr="007C7045" w:rsidRDefault="00BA7324" w:rsidP="009942A7">
      <w:pPr>
        <w:pStyle w:val="Szvegtrzs3"/>
        <w:rPr>
          <w:szCs w:val="24"/>
          <w:shd w:val="clear" w:color="auto" w:fill="FFFFFF"/>
        </w:rPr>
      </w:pPr>
      <w:r w:rsidRPr="007C7045">
        <w:rPr>
          <w:szCs w:val="24"/>
          <w:shd w:val="clear" w:color="auto" w:fill="FFFFFF"/>
        </w:rPr>
        <w:t xml:space="preserve">2022. évben a Széchenyi-pihenőkártyát választó munkavállalóinknak I. félévre február 16-án, a II. félévre július 14-én egy összegben történt az igényelt összeg utalása. </w:t>
      </w:r>
    </w:p>
    <w:p w:rsidR="00375E2C" w:rsidRPr="00AE5B5D" w:rsidRDefault="00D27772" w:rsidP="009942A7">
      <w:pPr>
        <w:rPr>
          <w:szCs w:val="24"/>
          <w:shd w:val="clear" w:color="auto" w:fill="FFFFFF"/>
        </w:rPr>
      </w:pPr>
      <w:r w:rsidRPr="007C7045">
        <w:rPr>
          <w:szCs w:val="24"/>
          <w:shd w:val="clear" w:color="auto" w:fill="FFFFFF"/>
        </w:rPr>
        <w:t>202</w:t>
      </w:r>
      <w:r w:rsidR="00F752A6" w:rsidRPr="007C7045">
        <w:rPr>
          <w:szCs w:val="24"/>
          <w:shd w:val="clear" w:color="auto" w:fill="FFFFFF"/>
        </w:rPr>
        <w:t>2</w:t>
      </w:r>
      <w:r w:rsidRPr="007C7045">
        <w:rPr>
          <w:szCs w:val="24"/>
          <w:shd w:val="clear" w:color="auto" w:fill="FFFFFF"/>
        </w:rPr>
        <w:t xml:space="preserve">. </w:t>
      </w:r>
      <w:r w:rsidR="00884353" w:rsidRPr="007C7045">
        <w:rPr>
          <w:szCs w:val="24"/>
          <w:shd w:val="clear" w:color="auto" w:fill="FFFFFF"/>
        </w:rPr>
        <w:t>novemb</w:t>
      </w:r>
      <w:r w:rsidR="00F752A6" w:rsidRPr="007C7045">
        <w:rPr>
          <w:szCs w:val="24"/>
          <w:shd w:val="clear" w:color="auto" w:fill="FFFFFF"/>
        </w:rPr>
        <w:t>er</w:t>
      </w:r>
      <w:r w:rsidR="00884353" w:rsidRPr="007C7045">
        <w:rPr>
          <w:szCs w:val="24"/>
          <w:shd w:val="clear" w:color="auto" w:fill="FFFFFF"/>
        </w:rPr>
        <w:t xml:space="preserve"> havi munkabérrel</w:t>
      </w:r>
      <w:r w:rsidR="00375E2C" w:rsidRPr="007C7045">
        <w:rPr>
          <w:szCs w:val="24"/>
          <w:shd w:val="clear" w:color="auto" w:fill="FFFFFF"/>
        </w:rPr>
        <w:t xml:space="preserve"> </w:t>
      </w:r>
      <w:r w:rsidR="00AC4911" w:rsidRPr="007C7045">
        <w:rPr>
          <w:szCs w:val="24"/>
        </w:rPr>
        <w:t>a szervezeti egységek bérmaradványáb</w:t>
      </w:r>
      <w:r w:rsidR="00924F53" w:rsidRPr="007C7045">
        <w:rPr>
          <w:szCs w:val="24"/>
        </w:rPr>
        <w:t xml:space="preserve">ól </w:t>
      </w:r>
      <w:r w:rsidR="00884353" w:rsidRPr="007C7045">
        <w:rPr>
          <w:szCs w:val="24"/>
          <w:shd w:val="clear" w:color="auto" w:fill="FFFFFF"/>
        </w:rPr>
        <w:t>551 fő részesült rezsitá</w:t>
      </w:r>
      <w:r w:rsidR="00884353" w:rsidRPr="00AE5B5D">
        <w:rPr>
          <w:szCs w:val="24"/>
          <w:shd w:val="clear" w:color="auto" w:fill="FFFFFF"/>
        </w:rPr>
        <w:t>mogatásban</w:t>
      </w:r>
      <w:r w:rsidR="00884353" w:rsidRPr="00AE5B5D">
        <w:rPr>
          <w:szCs w:val="24"/>
        </w:rPr>
        <w:t xml:space="preserve"> 150 eFt/fő összegben (részmunkaidősöknek arányosítva)</w:t>
      </w:r>
      <w:r w:rsidR="00884353" w:rsidRPr="00AE5B5D">
        <w:rPr>
          <w:szCs w:val="24"/>
          <w:shd w:val="clear" w:color="auto" w:fill="FFFFFF"/>
        </w:rPr>
        <w:t>,</w:t>
      </w:r>
      <w:r w:rsidR="007462F0" w:rsidRPr="00AE5B5D">
        <w:rPr>
          <w:szCs w:val="24"/>
          <w:shd w:val="clear" w:color="auto" w:fill="FFFFFF"/>
        </w:rPr>
        <w:t xml:space="preserve"> összesen </w:t>
      </w:r>
      <w:r w:rsidR="00884353" w:rsidRPr="00AE5B5D">
        <w:rPr>
          <w:szCs w:val="24"/>
          <w:shd w:val="clear" w:color="auto" w:fill="FFFFFF"/>
        </w:rPr>
        <w:t>81 123</w:t>
      </w:r>
      <w:r w:rsidR="007462F0" w:rsidRPr="00AE5B5D">
        <w:rPr>
          <w:szCs w:val="24"/>
          <w:shd w:val="clear" w:color="auto" w:fill="FFFFFF"/>
        </w:rPr>
        <w:t xml:space="preserve"> eFt</w:t>
      </w:r>
      <w:r w:rsidR="00BA7324" w:rsidRPr="00AE5B5D">
        <w:rPr>
          <w:szCs w:val="24"/>
          <w:shd w:val="clear" w:color="auto" w:fill="FFFFFF"/>
        </w:rPr>
        <w:t xml:space="preserve"> kifizetése történt</w:t>
      </w:r>
      <w:r w:rsidR="00375E2C" w:rsidRPr="00AE5B5D">
        <w:rPr>
          <w:szCs w:val="24"/>
          <w:shd w:val="clear" w:color="auto" w:fill="FFFFFF"/>
        </w:rPr>
        <w:t>.</w:t>
      </w:r>
    </w:p>
    <w:p w:rsidR="00BA7324" w:rsidRPr="00565816" w:rsidRDefault="007B22F7" w:rsidP="009942A7">
      <w:pPr>
        <w:pStyle w:val="Szvegtrzs"/>
        <w:tabs>
          <w:tab w:val="left" w:pos="567"/>
          <w:tab w:val="left" w:pos="1134"/>
          <w:tab w:val="right" w:pos="3686"/>
          <w:tab w:val="right" w:pos="5103"/>
          <w:tab w:val="right" w:pos="6946"/>
        </w:tabs>
        <w:rPr>
          <w:sz w:val="24"/>
          <w:szCs w:val="24"/>
        </w:rPr>
      </w:pPr>
      <w:r w:rsidRPr="00565816">
        <w:rPr>
          <w:sz w:val="24"/>
          <w:szCs w:val="24"/>
        </w:rPr>
        <w:t xml:space="preserve">A </w:t>
      </w:r>
      <w:r w:rsidR="00BA7324" w:rsidRPr="00565816">
        <w:rPr>
          <w:sz w:val="24"/>
          <w:szCs w:val="24"/>
        </w:rPr>
        <w:t>működtetési bértartalékból 2 100 eFt kifizetés történt VASIVÍZ Emlékérem és Oklevelek pénzjutalmaira (2 emlékérem, 10 oklevél).</w:t>
      </w:r>
    </w:p>
    <w:p w:rsidR="00BA7324" w:rsidRPr="00565816" w:rsidRDefault="00BA7324" w:rsidP="009942A7">
      <w:pPr>
        <w:pStyle w:val="Szvegtrzs"/>
        <w:tabs>
          <w:tab w:val="left" w:pos="567"/>
          <w:tab w:val="left" w:pos="1134"/>
          <w:tab w:val="right" w:pos="3686"/>
          <w:tab w:val="right" w:pos="5103"/>
          <w:tab w:val="right" w:pos="6946"/>
        </w:tabs>
        <w:rPr>
          <w:sz w:val="24"/>
          <w:szCs w:val="24"/>
        </w:rPr>
      </w:pPr>
      <w:r w:rsidRPr="00565816">
        <w:rPr>
          <w:sz w:val="24"/>
          <w:szCs w:val="24"/>
        </w:rPr>
        <w:t xml:space="preserve">A Kollektív Szerződés alapján 37 főnek összesen 13 847 eFt jubileumi jutalom kifizetése történt, amely nem része a bérköltségnek.  </w:t>
      </w:r>
    </w:p>
    <w:p w:rsidR="00F752A6" w:rsidRPr="00AE5B5D" w:rsidRDefault="00F752A6" w:rsidP="009942A7">
      <w:pPr>
        <w:rPr>
          <w:sz w:val="16"/>
          <w:szCs w:val="16"/>
        </w:rPr>
      </w:pPr>
    </w:p>
    <w:p w:rsidR="00BA7324" w:rsidRDefault="00BA7324" w:rsidP="009942A7">
      <w:pPr>
        <w:pStyle w:val="Szvegtrzs"/>
        <w:rPr>
          <w:sz w:val="24"/>
          <w:szCs w:val="24"/>
        </w:rPr>
      </w:pPr>
      <w:r w:rsidRPr="00AE5B5D">
        <w:rPr>
          <w:sz w:val="24"/>
          <w:szCs w:val="24"/>
        </w:rPr>
        <w:t xml:space="preserve">2022. év teljes munkaidős bruttó átlagkeresete a részvénytársaságnál </w:t>
      </w:r>
      <w:r w:rsidR="00D519E8" w:rsidRPr="00AE5B5D">
        <w:rPr>
          <w:sz w:val="24"/>
          <w:szCs w:val="24"/>
        </w:rPr>
        <w:t>417 739</w:t>
      </w:r>
      <w:r w:rsidRPr="00AE5B5D">
        <w:rPr>
          <w:sz w:val="24"/>
          <w:szCs w:val="24"/>
        </w:rPr>
        <w:t xml:space="preserve"> Ft/fő/hó, a bázis időszakhoz képest </w:t>
      </w:r>
      <w:r w:rsidR="00D519E8" w:rsidRPr="00AE5B5D">
        <w:rPr>
          <w:sz w:val="24"/>
          <w:szCs w:val="24"/>
        </w:rPr>
        <w:t>14,6</w:t>
      </w:r>
      <w:r w:rsidRPr="00AE5B5D">
        <w:rPr>
          <w:sz w:val="24"/>
          <w:szCs w:val="24"/>
        </w:rPr>
        <w:t xml:space="preserve"> %-kal magasabb. </w:t>
      </w:r>
      <w:r w:rsidRPr="00AE5B5D">
        <w:t>A KSH közlése szerint</w:t>
      </w:r>
      <w:r w:rsidRPr="00AE5B5D">
        <w:rPr>
          <w:sz w:val="24"/>
          <w:szCs w:val="24"/>
        </w:rPr>
        <w:t xml:space="preserve"> a teljes munkaidőben foglalkoztatottak nemzetgazdasági bruttó átlagkeresete 202</w:t>
      </w:r>
      <w:r w:rsidR="00D519E8" w:rsidRPr="00AE5B5D">
        <w:rPr>
          <w:sz w:val="24"/>
          <w:szCs w:val="24"/>
        </w:rPr>
        <w:t>2</w:t>
      </w:r>
      <w:r w:rsidRPr="00AE5B5D">
        <w:rPr>
          <w:sz w:val="24"/>
          <w:szCs w:val="24"/>
        </w:rPr>
        <w:t xml:space="preserve">. évben </w:t>
      </w:r>
      <w:r w:rsidR="00D519E8" w:rsidRPr="00AE5B5D">
        <w:rPr>
          <w:sz w:val="24"/>
          <w:szCs w:val="24"/>
        </w:rPr>
        <w:t>504 300</w:t>
      </w:r>
      <w:r w:rsidRPr="00AE5B5D">
        <w:rPr>
          <w:sz w:val="24"/>
          <w:szCs w:val="24"/>
        </w:rPr>
        <w:t xml:space="preserve"> Ft/fő/hó, növekedése az előző </w:t>
      </w:r>
      <w:r w:rsidRPr="00AE5B5D">
        <w:rPr>
          <w:sz w:val="24"/>
          <w:szCs w:val="24"/>
        </w:rPr>
        <w:lastRenderedPageBreak/>
        <w:t>évhez képest</w:t>
      </w:r>
      <w:r w:rsidR="007C7045">
        <w:rPr>
          <w:sz w:val="24"/>
          <w:szCs w:val="24"/>
        </w:rPr>
        <w:t xml:space="preserve"> </w:t>
      </w:r>
      <w:r w:rsidR="007C7045">
        <w:rPr>
          <w:sz w:val="24"/>
          <w:szCs w:val="24"/>
        </w:rPr>
        <w:br/>
      </w:r>
      <w:r w:rsidR="00D519E8" w:rsidRPr="00AE5B5D">
        <w:rPr>
          <w:sz w:val="24"/>
          <w:szCs w:val="24"/>
        </w:rPr>
        <w:t>14,9</w:t>
      </w:r>
      <w:r w:rsidRPr="00CD6816">
        <w:rPr>
          <w:sz w:val="24"/>
          <w:szCs w:val="24"/>
        </w:rPr>
        <w:t xml:space="preserve"> %, amely 0</w:t>
      </w:r>
      <w:r w:rsidR="00D519E8">
        <w:rPr>
          <w:sz w:val="24"/>
          <w:szCs w:val="24"/>
        </w:rPr>
        <w:t>,3</w:t>
      </w:r>
      <w:r w:rsidRPr="00CD6816">
        <w:rPr>
          <w:sz w:val="24"/>
          <w:szCs w:val="24"/>
        </w:rPr>
        <w:t xml:space="preserve"> %-kal haladta meg a társaságunknál elért átlagbér növekedést.</w:t>
      </w:r>
    </w:p>
    <w:p w:rsidR="004069E4" w:rsidRDefault="004566AC" w:rsidP="00F752A6">
      <w:pPr>
        <w:rPr>
          <w:sz w:val="16"/>
          <w:szCs w:val="16"/>
          <w:highlight w:val="lightGray"/>
        </w:rPr>
      </w:pPr>
      <w:r>
        <w:rPr>
          <w:noProof/>
        </w:rPr>
        <w:drawing>
          <wp:inline distT="0" distB="0" distL="0" distR="0" wp14:anchorId="557D5125" wp14:editId="2594BA60">
            <wp:extent cx="6232525" cy="2630170"/>
            <wp:effectExtent l="57150" t="57150" r="53975" b="55880"/>
            <wp:docPr id="19" name="Diagram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4069E4" w:rsidRDefault="004069E4">
      <w:pPr>
        <w:jc w:val="left"/>
        <w:rPr>
          <w:sz w:val="16"/>
          <w:szCs w:val="16"/>
          <w:highlight w:val="lightGray"/>
        </w:rPr>
      </w:pPr>
      <w:r>
        <w:rPr>
          <w:sz w:val="16"/>
          <w:szCs w:val="16"/>
          <w:highlight w:val="lightGray"/>
        </w:rPr>
        <w:br w:type="page"/>
      </w:r>
    </w:p>
    <w:p w:rsidR="00BA7324" w:rsidRDefault="00BA7324" w:rsidP="00F752A6">
      <w:pPr>
        <w:rPr>
          <w:sz w:val="16"/>
          <w:szCs w:val="16"/>
          <w:highlight w:val="lightGray"/>
        </w:rPr>
      </w:pPr>
    </w:p>
    <w:p w:rsidR="00BA7324" w:rsidRPr="00F752A6" w:rsidRDefault="00BA7324" w:rsidP="00F752A6">
      <w:pPr>
        <w:rPr>
          <w:sz w:val="16"/>
          <w:szCs w:val="16"/>
          <w:highlight w:val="lightGray"/>
        </w:rPr>
      </w:pPr>
    </w:p>
    <w:p w:rsidR="00D51AA4" w:rsidRPr="0041540D" w:rsidRDefault="00D51AA4">
      <w:pPr>
        <w:pStyle w:val="Cmsor1"/>
        <w:rPr>
          <w:sz w:val="26"/>
          <w:szCs w:val="26"/>
        </w:rPr>
      </w:pPr>
      <w:bookmarkStart w:id="73" w:name="_Toc132629502"/>
      <w:r w:rsidRPr="0041540D">
        <w:rPr>
          <w:sz w:val="26"/>
          <w:szCs w:val="26"/>
        </w:rPr>
        <w:t>X. Szolgáltatási díjak</w:t>
      </w:r>
      <w:bookmarkEnd w:id="73"/>
    </w:p>
    <w:p w:rsidR="00D51AA4" w:rsidRPr="00D80322" w:rsidRDefault="00D51AA4">
      <w:pPr>
        <w:rPr>
          <w:strike/>
          <w:sz w:val="16"/>
          <w:szCs w:val="16"/>
        </w:rPr>
      </w:pPr>
    </w:p>
    <w:p w:rsidR="004F3A7A" w:rsidRPr="0041540D" w:rsidRDefault="004F3A7A" w:rsidP="00615E71">
      <w:pPr>
        <w:autoSpaceDE w:val="0"/>
        <w:autoSpaceDN w:val="0"/>
        <w:adjustRightInd w:val="0"/>
        <w:ind w:right="317"/>
        <w:rPr>
          <w:szCs w:val="24"/>
        </w:rPr>
      </w:pPr>
      <w:r w:rsidRPr="0041540D">
        <w:rPr>
          <w:szCs w:val="24"/>
        </w:rPr>
        <w:t xml:space="preserve">A Vksztv 65. §-a szerint a </w:t>
      </w:r>
      <w:r w:rsidRPr="0041540D">
        <w:rPr>
          <w:bCs/>
          <w:i/>
          <w:szCs w:val="24"/>
        </w:rPr>
        <w:t>közműves ivóvízellátás, valamint a közműves szennyvízelvezetés és -tisztítás díj</w:t>
      </w:r>
      <w:r w:rsidRPr="0041540D">
        <w:rPr>
          <w:bCs/>
          <w:szCs w:val="24"/>
        </w:rPr>
        <w:t>át</w:t>
      </w:r>
      <w:r w:rsidRPr="0041540D">
        <w:rPr>
          <w:szCs w:val="24"/>
        </w:rPr>
        <w:t xml:space="preserve"> a MEKH javaslatának figyelembe vételével a víziközmű-szolgáltatásért felelős miniszter rendeletben állapítja meg. A Hivatal a díjmegállapítással, díjváltozással kapcsolatos javaslatát minden év október 15-ig küldi meg jóváhagyásra a miniszternek.</w:t>
      </w:r>
    </w:p>
    <w:p w:rsidR="00247A07" w:rsidRPr="0041540D" w:rsidRDefault="00247A07" w:rsidP="00615E71">
      <w:pPr>
        <w:autoSpaceDE w:val="0"/>
        <w:autoSpaceDN w:val="0"/>
        <w:adjustRightInd w:val="0"/>
        <w:ind w:right="317"/>
        <w:rPr>
          <w:sz w:val="8"/>
          <w:szCs w:val="8"/>
        </w:rPr>
      </w:pPr>
    </w:p>
    <w:p w:rsidR="004F3A7A" w:rsidRPr="0041540D" w:rsidRDefault="004F3A7A" w:rsidP="00615E71">
      <w:pPr>
        <w:autoSpaceDE w:val="0"/>
        <w:autoSpaceDN w:val="0"/>
        <w:adjustRightInd w:val="0"/>
        <w:ind w:right="317"/>
        <w:rPr>
          <w:szCs w:val="24"/>
        </w:rPr>
      </w:pPr>
      <w:r w:rsidRPr="0041540D">
        <w:rPr>
          <w:szCs w:val="24"/>
        </w:rPr>
        <w:t>A törvény alapján társaságunk köteles a díjelőkészítő tevékenységhez a Hivatal által megjelölt tartalommal, formában és határidőre adatokat szolgáltatni, amelyet a MEKH 1983/2013. sz. határozata tartalmaz. A Hivatal víz- és szennyvízrendszerenként megállapítja az indokolt költségeket, amelyeket a díjak tartalmazhatnak, majd ágazatonként és rendszerenként javaslatot tesz a díj mértékére a miniszt</w:t>
      </w:r>
      <w:r w:rsidR="00CC6E60" w:rsidRPr="0041540D">
        <w:rPr>
          <w:szCs w:val="24"/>
        </w:rPr>
        <w:t>erne</w:t>
      </w:r>
      <w:r w:rsidRPr="0041540D">
        <w:rPr>
          <w:szCs w:val="24"/>
        </w:rPr>
        <w:t>k.</w:t>
      </w:r>
    </w:p>
    <w:p w:rsidR="00247A07" w:rsidRPr="0041540D" w:rsidRDefault="00247A07" w:rsidP="00615E71">
      <w:pPr>
        <w:autoSpaceDE w:val="0"/>
        <w:autoSpaceDN w:val="0"/>
        <w:adjustRightInd w:val="0"/>
        <w:ind w:right="317"/>
        <w:rPr>
          <w:sz w:val="12"/>
          <w:szCs w:val="12"/>
        </w:rPr>
      </w:pPr>
    </w:p>
    <w:p w:rsidR="00247A07" w:rsidRPr="0041540D" w:rsidRDefault="000B0AF0" w:rsidP="0041540D">
      <w:pPr>
        <w:autoSpaceDE w:val="0"/>
        <w:autoSpaceDN w:val="0"/>
        <w:adjustRightInd w:val="0"/>
        <w:ind w:right="317"/>
        <w:rPr>
          <w:sz w:val="8"/>
          <w:szCs w:val="8"/>
        </w:rPr>
      </w:pPr>
      <w:r w:rsidRPr="0041540D">
        <w:rPr>
          <w:szCs w:val="24"/>
        </w:rPr>
        <w:t xml:space="preserve">Társaságunk </w:t>
      </w:r>
      <w:r w:rsidR="004F3A7A" w:rsidRPr="0041540D">
        <w:rPr>
          <w:szCs w:val="24"/>
        </w:rPr>
        <w:t>2014. év</w:t>
      </w:r>
      <w:r w:rsidRPr="0041540D">
        <w:rPr>
          <w:szCs w:val="24"/>
        </w:rPr>
        <w:t xml:space="preserve"> óta minden évben </w:t>
      </w:r>
      <w:r w:rsidR="00AD3A5D" w:rsidRPr="0041540D">
        <w:rPr>
          <w:szCs w:val="24"/>
        </w:rPr>
        <w:t xml:space="preserve">az előírt határidőre </w:t>
      </w:r>
      <w:r w:rsidRPr="0041540D">
        <w:rPr>
          <w:szCs w:val="24"/>
        </w:rPr>
        <w:t xml:space="preserve">eleget tett az adatszolgáltatási kötelezettségnek. </w:t>
      </w:r>
    </w:p>
    <w:p w:rsidR="004F3A7A" w:rsidRPr="0041540D" w:rsidRDefault="00CC6E60" w:rsidP="00615E71">
      <w:pPr>
        <w:autoSpaceDE w:val="0"/>
        <w:autoSpaceDN w:val="0"/>
        <w:adjustRightInd w:val="0"/>
        <w:ind w:right="317"/>
        <w:rPr>
          <w:i/>
          <w:iCs/>
          <w:szCs w:val="24"/>
        </w:rPr>
      </w:pPr>
      <w:r w:rsidRPr="0041540D">
        <w:rPr>
          <w:szCs w:val="24"/>
        </w:rPr>
        <w:t>Az eddigiekben</w:t>
      </w:r>
      <w:r w:rsidR="004F3A7A" w:rsidRPr="0041540D">
        <w:rPr>
          <w:szCs w:val="24"/>
        </w:rPr>
        <w:t xml:space="preserve"> benyújtott adatok alapján kialakított és a miniszter által jóváhagyott új szolgáltatási díjak nem ismertek, így a törvénynek megfelelően </w:t>
      </w:r>
      <w:r w:rsidR="004F3A7A" w:rsidRPr="0041540D">
        <w:rPr>
          <w:i/>
          <w:iCs/>
          <w:szCs w:val="24"/>
        </w:rPr>
        <w:t xml:space="preserve">az ivóvíz- és csatornaszolgáltatás nem lakossági </w:t>
      </w:r>
      <w:r w:rsidR="00247A07" w:rsidRPr="0041540D">
        <w:rPr>
          <w:i/>
          <w:iCs/>
          <w:szCs w:val="24"/>
        </w:rPr>
        <w:t xml:space="preserve">nettó </w:t>
      </w:r>
      <w:r w:rsidR="004F3A7A" w:rsidRPr="0041540D">
        <w:rPr>
          <w:i/>
          <w:iCs/>
          <w:szCs w:val="24"/>
        </w:rPr>
        <w:t>díjai - a 2011. december 31-én érvényes bruttó díjakat 4,2 százalékkal megemelve – társaságunknál: a szolgáltatás arányos díjak 2012. január 1-től, az alapdíjak 2012. február 1-től változatlanok.</w:t>
      </w:r>
    </w:p>
    <w:p w:rsidR="0005038A" w:rsidRPr="0041540D" w:rsidRDefault="0005038A" w:rsidP="00615E71">
      <w:pPr>
        <w:autoSpaceDE w:val="0"/>
        <w:autoSpaceDN w:val="0"/>
        <w:adjustRightInd w:val="0"/>
        <w:ind w:right="317"/>
        <w:rPr>
          <w:sz w:val="8"/>
          <w:szCs w:val="8"/>
        </w:rPr>
      </w:pPr>
    </w:p>
    <w:p w:rsidR="004F3A7A" w:rsidRPr="0041540D" w:rsidRDefault="004F3A7A" w:rsidP="00615E71">
      <w:pPr>
        <w:autoSpaceDE w:val="0"/>
        <w:autoSpaceDN w:val="0"/>
        <w:adjustRightInd w:val="0"/>
        <w:ind w:right="317"/>
        <w:rPr>
          <w:i/>
          <w:iCs/>
          <w:szCs w:val="24"/>
        </w:rPr>
      </w:pPr>
      <w:r w:rsidRPr="0041540D">
        <w:rPr>
          <w:i/>
          <w:iCs/>
          <w:szCs w:val="24"/>
        </w:rPr>
        <w:t>A lakossági szolgáltatási díjak</w:t>
      </w:r>
      <w:r w:rsidR="00247A07" w:rsidRPr="0041540D">
        <w:rPr>
          <w:i/>
          <w:iCs/>
          <w:szCs w:val="24"/>
        </w:rPr>
        <w:t xml:space="preserve"> esetén a 2013. január 31-én alkalmazott nettó díjakat (amelyek szintén 2012. január 1-től, illetve 2012. február 1-től voltak érvényesek) a</w:t>
      </w:r>
      <w:r w:rsidRPr="0041540D">
        <w:rPr>
          <w:i/>
          <w:iCs/>
          <w:szCs w:val="24"/>
        </w:rPr>
        <w:t xml:space="preserve"> 2013. július 1-jétől a rezsicsökkentések végrehajtásáról szóló 2013. évi LIV. törvény alapján 10 %-kal kellett csökkenteni, azóta változatlanok.</w:t>
      </w:r>
    </w:p>
    <w:p w:rsidR="00170699" w:rsidRPr="0041540D" w:rsidRDefault="00170699" w:rsidP="00615E71">
      <w:pPr>
        <w:autoSpaceDE w:val="0"/>
        <w:autoSpaceDN w:val="0"/>
        <w:adjustRightInd w:val="0"/>
        <w:ind w:right="317"/>
        <w:rPr>
          <w:sz w:val="8"/>
          <w:szCs w:val="8"/>
        </w:rPr>
      </w:pPr>
    </w:p>
    <w:p w:rsidR="00BF082D" w:rsidRPr="0041540D" w:rsidRDefault="00BF082D" w:rsidP="00615E71">
      <w:pPr>
        <w:autoSpaceDE w:val="0"/>
        <w:autoSpaceDN w:val="0"/>
        <w:adjustRightInd w:val="0"/>
        <w:ind w:right="317"/>
        <w:rPr>
          <w:szCs w:val="24"/>
        </w:rPr>
      </w:pPr>
      <w:r w:rsidRPr="0041540D">
        <w:rPr>
          <w:szCs w:val="24"/>
        </w:rPr>
        <w:t>Az időközben létesített szennyvízelvez</w:t>
      </w:r>
      <w:r w:rsidR="0041540D">
        <w:rPr>
          <w:szCs w:val="24"/>
        </w:rPr>
        <w:t xml:space="preserve">etési és –tisztítási rendszerekre </w:t>
      </w:r>
      <w:r w:rsidRPr="0041540D">
        <w:rPr>
          <w:szCs w:val="24"/>
        </w:rPr>
        <w:t>a benyújtott kérelmek alapján a MEKH által hozott határozatok szerint</w:t>
      </w:r>
      <w:r w:rsidR="0041540D">
        <w:rPr>
          <w:szCs w:val="24"/>
        </w:rPr>
        <w:t>i átmeneti díjak érvényesek.</w:t>
      </w:r>
    </w:p>
    <w:p w:rsidR="008F5A12" w:rsidRDefault="008F5A12" w:rsidP="008F5A12">
      <w:pPr>
        <w:ind w:right="317"/>
        <w:rPr>
          <w:bCs/>
          <w:szCs w:val="24"/>
        </w:rPr>
      </w:pPr>
      <w:r w:rsidRPr="0041540D">
        <w:rPr>
          <w:bCs/>
          <w:szCs w:val="24"/>
        </w:rPr>
        <w:t xml:space="preserve">Meglévő rendszerhez csatlakozó települések esetében a </w:t>
      </w:r>
      <w:r w:rsidR="0041540D">
        <w:rPr>
          <w:bCs/>
          <w:szCs w:val="24"/>
        </w:rPr>
        <w:t>korábban meglévő rendszer díjain történhet a szolgáltatás.</w:t>
      </w:r>
    </w:p>
    <w:p w:rsidR="00CD532E" w:rsidRPr="0041540D" w:rsidRDefault="00CD532E" w:rsidP="008F5A12">
      <w:pPr>
        <w:ind w:right="317"/>
        <w:rPr>
          <w:bCs/>
          <w:szCs w:val="24"/>
        </w:rPr>
      </w:pPr>
    </w:p>
    <w:p w:rsidR="00E36CC1" w:rsidRDefault="00E36CC1" w:rsidP="00E71C7A">
      <w:pPr>
        <w:jc w:val="left"/>
        <w:rPr>
          <w:i/>
          <w:strike/>
          <w:szCs w:val="24"/>
        </w:rPr>
      </w:pPr>
    </w:p>
    <w:p w:rsidR="003E7ED2" w:rsidRPr="003E7ED2" w:rsidRDefault="003E7ED2" w:rsidP="003E7ED2">
      <w:pPr>
        <w:pStyle w:val="Cmsor1"/>
        <w:rPr>
          <w:sz w:val="26"/>
          <w:szCs w:val="26"/>
        </w:rPr>
      </w:pPr>
      <w:bookmarkStart w:id="74" w:name="_Toc132629503"/>
      <w:r w:rsidRPr="003E7ED2">
        <w:rPr>
          <w:sz w:val="26"/>
          <w:szCs w:val="26"/>
        </w:rPr>
        <w:t>X. BEVÉTELEK</w:t>
      </w:r>
      <w:bookmarkEnd w:id="74"/>
    </w:p>
    <w:p w:rsidR="003E7ED2" w:rsidRPr="003E7ED2" w:rsidRDefault="003E7ED2" w:rsidP="003E7ED2">
      <w:pPr>
        <w:rPr>
          <w:sz w:val="16"/>
          <w:szCs w:val="16"/>
        </w:rPr>
      </w:pPr>
    </w:p>
    <w:p w:rsidR="003E7ED2" w:rsidRPr="003E7ED2" w:rsidRDefault="003E7ED2" w:rsidP="003E7ED2">
      <w:pPr>
        <w:pStyle w:val="Cmsor2"/>
        <w:rPr>
          <w:sz w:val="22"/>
        </w:rPr>
      </w:pPr>
      <w:bookmarkStart w:id="75" w:name="_Toc132629504"/>
      <w:r w:rsidRPr="003E7ED2">
        <w:rPr>
          <w:sz w:val="22"/>
        </w:rPr>
        <w:lastRenderedPageBreak/>
        <w:t>Értékesítés összetétele, bevételek</w:t>
      </w:r>
      <w:bookmarkEnd w:id="75"/>
    </w:p>
    <w:p w:rsidR="003E7ED2" w:rsidRPr="003E7ED2" w:rsidRDefault="003E7ED2" w:rsidP="003E7ED2">
      <w:pPr>
        <w:tabs>
          <w:tab w:val="left" w:pos="0"/>
        </w:tabs>
        <w:jc w:val="center"/>
        <w:rPr>
          <w:b/>
          <w:bCs/>
          <w:szCs w:val="24"/>
        </w:rPr>
      </w:pPr>
      <w:r w:rsidRPr="003E7ED2">
        <w:rPr>
          <w:noProof/>
        </w:rPr>
        <w:drawing>
          <wp:inline distT="0" distB="0" distL="0" distR="0" wp14:anchorId="7B3937EA" wp14:editId="5D23186C">
            <wp:extent cx="4572000" cy="2750820"/>
            <wp:effectExtent l="0" t="0" r="0" b="11430"/>
            <wp:docPr id="10" name="Diagram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4069E4" w:rsidRDefault="004069E4">
      <w:pPr>
        <w:jc w:val="left"/>
        <w:rPr>
          <w:bCs/>
          <w:szCs w:val="24"/>
        </w:rPr>
      </w:pPr>
      <w:r>
        <w:rPr>
          <w:bCs/>
          <w:szCs w:val="24"/>
        </w:rPr>
        <w:br w:type="page"/>
      </w:r>
    </w:p>
    <w:p w:rsidR="00CD532E" w:rsidRDefault="00CD532E" w:rsidP="00CD532E">
      <w:pPr>
        <w:ind w:right="317"/>
        <w:rPr>
          <w:bCs/>
          <w:szCs w:val="24"/>
        </w:rPr>
      </w:pPr>
    </w:p>
    <w:p w:rsidR="00CD532E" w:rsidRPr="00CD532E" w:rsidRDefault="00CD532E" w:rsidP="00CD532E">
      <w:pPr>
        <w:ind w:right="317"/>
        <w:rPr>
          <w:bCs/>
          <w:szCs w:val="24"/>
        </w:rPr>
      </w:pPr>
    </w:p>
    <w:p w:rsidR="003E7ED2" w:rsidRPr="003E7ED2" w:rsidRDefault="003E7ED2" w:rsidP="003E7ED2">
      <w:pPr>
        <w:pStyle w:val="Cmsor2"/>
        <w:rPr>
          <w:sz w:val="22"/>
        </w:rPr>
      </w:pPr>
      <w:bookmarkStart w:id="76" w:name="_Toc132629505"/>
      <w:r w:rsidRPr="003E7ED2">
        <w:rPr>
          <w:sz w:val="22"/>
        </w:rPr>
        <w:t>A bevételek tervtől való eltérésének okai</w:t>
      </w:r>
      <w:bookmarkEnd w:id="76"/>
    </w:p>
    <w:p w:rsidR="003E7ED2" w:rsidRPr="003E7ED2" w:rsidRDefault="003E7ED2" w:rsidP="003E7ED2">
      <w:pPr>
        <w:rPr>
          <w:rFonts w:ascii="Comic Sans MS" w:hAnsi="Comic Sans MS"/>
          <w:b/>
          <w:bCs/>
          <w:i/>
          <w:iCs/>
          <w:sz w:val="8"/>
          <w:szCs w:val="8"/>
        </w:rPr>
      </w:pPr>
    </w:p>
    <w:p w:rsidR="003E7ED2" w:rsidRPr="003E7ED2" w:rsidRDefault="003E7ED2" w:rsidP="009942A7">
      <w:pPr>
        <w:ind w:right="-108"/>
        <w:rPr>
          <w:szCs w:val="24"/>
        </w:rPr>
      </w:pPr>
      <w:r w:rsidRPr="003E7ED2">
        <w:rPr>
          <w:i/>
          <w:szCs w:val="24"/>
        </w:rPr>
        <w:t>Ivóvíz értékesítés</w:t>
      </w:r>
      <w:r w:rsidRPr="003E7ED2">
        <w:rPr>
          <w:szCs w:val="24"/>
        </w:rPr>
        <w:t xml:space="preserve"> </w:t>
      </w:r>
      <w:r w:rsidRPr="003E7ED2">
        <w:rPr>
          <w:i/>
          <w:szCs w:val="24"/>
        </w:rPr>
        <w:t>bevétele</w:t>
      </w:r>
      <w:r w:rsidRPr="003E7ED2">
        <w:rPr>
          <w:szCs w:val="24"/>
        </w:rPr>
        <w:t xml:space="preserve"> 0,4</w:t>
      </w:r>
      <w:r w:rsidR="00E35D32">
        <w:rPr>
          <w:szCs w:val="24"/>
        </w:rPr>
        <w:t xml:space="preserve"> </w:t>
      </w:r>
      <w:r w:rsidRPr="003E7ED2">
        <w:rPr>
          <w:szCs w:val="24"/>
        </w:rPr>
        <w:t>%-kal, 12 745 eFt-tal marad</w:t>
      </w:r>
      <w:r w:rsidR="009942A7">
        <w:rPr>
          <w:szCs w:val="24"/>
        </w:rPr>
        <w:t>t</w:t>
      </w:r>
      <w:r w:rsidRPr="003E7ED2">
        <w:rPr>
          <w:szCs w:val="24"/>
        </w:rPr>
        <w:t xml:space="preserve"> el a tervezettől, mértéke 3 005 695 eFt. </w:t>
      </w:r>
    </w:p>
    <w:p w:rsidR="003E7ED2" w:rsidRPr="003E7ED2" w:rsidRDefault="003E7ED2" w:rsidP="009942A7">
      <w:pPr>
        <w:ind w:right="-108"/>
        <w:rPr>
          <w:szCs w:val="24"/>
        </w:rPr>
      </w:pPr>
      <w:r w:rsidRPr="003E7ED2">
        <w:rPr>
          <w:szCs w:val="24"/>
        </w:rPr>
        <w:t xml:space="preserve">2022. évben az </w:t>
      </w:r>
      <w:r w:rsidRPr="003E7ED2">
        <w:rPr>
          <w:i/>
          <w:szCs w:val="24"/>
        </w:rPr>
        <w:t>ivóvíz értékesítés mennyisége</w:t>
      </w:r>
      <w:r w:rsidRPr="003E7ED2">
        <w:rPr>
          <w:szCs w:val="24"/>
        </w:rPr>
        <w:t xml:space="preserve"> 11 537 em</w:t>
      </w:r>
      <w:r w:rsidRPr="003E7ED2">
        <w:rPr>
          <w:szCs w:val="24"/>
          <w:vertAlign w:val="superscript"/>
        </w:rPr>
        <w:t>3</w:t>
      </w:r>
      <w:r w:rsidRPr="003E7ED2">
        <w:rPr>
          <w:szCs w:val="24"/>
        </w:rPr>
        <w:t>, amely az előző évi mennyiségnél 0,2 %-kal, 23 em</w:t>
      </w:r>
      <w:r w:rsidRPr="003E7ED2">
        <w:rPr>
          <w:szCs w:val="24"/>
          <w:vertAlign w:val="superscript"/>
        </w:rPr>
        <w:t>3</w:t>
      </w:r>
      <w:r w:rsidRPr="003E7ED2">
        <w:rPr>
          <w:szCs w:val="24"/>
        </w:rPr>
        <w:t xml:space="preserve">-rel alacsonyabb. </w:t>
      </w:r>
    </w:p>
    <w:p w:rsidR="003E7ED2" w:rsidRPr="003E7ED2" w:rsidRDefault="003E7ED2" w:rsidP="009942A7">
      <w:pPr>
        <w:ind w:right="-108"/>
        <w:rPr>
          <w:szCs w:val="24"/>
        </w:rPr>
      </w:pPr>
      <w:r w:rsidRPr="003E7ED2">
        <w:rPr>
          <w:szCs w:val="24"/>
        </w:rPr>
        <w:t xml:space="preserve">Az </w:t>
      </w:r>
      <w:r w:rsidRPr="003E7ED2">
        <w:rPr>
          <w:i/>
          <w:szCs w:val="24"/>
        </w:rPr>
        <w:t>ivóvíz termelés</w:t>
      </w:r>
      <w:r w:rsidRPr="003E7ED2">
        <w:rPr>
          <w:szCs w:val="24"/>
        </w:rPr>
        <w:t xml:space="preserve"> 14 531 em</w:t>
      </w:r>
      <w:r w:rsidRPr="003E7ED2">
        <w:rPr>
          <w:szCs w:val="24"/>
          <w:vertAlign w:val="superscript"/>
        </w:rPr>
        <w:t>3</w:t>
      </w:r>
      <w:r w:rsidRPr="003E7ED2">
        <w:rPr>
          <w:szCs w:val="24"/>
        </w:rPr>
        <w:t>, amely 0,7 %-kal</w:t>
      </w:r>
      <w:r w:rsidR="009942A7">
        <w:rPr>
          <w:szCs w:val="24"/>
        </w:rPr>
        <w:t>,</w:t>
      </w:r>
      <w:r w:rsidRPr="003E7ED2">
        <w:rPr>
          <w:szCs w:val="24"/>
        </w:rPr>
        <w:t xml:space="preserve"> 105 em</w:t>
      </w:r>
      <w:r w:rsidRPr="009942A7">
        <w:rPr>
          <w:szCs w:val="24"/>
          <w:vertAlign w:val="superscript"/>
        </w:rPr>
        <w:t>3</w:t>
      </w:r>
      <w:r w:rsidRPr="003E7ED2">
        <w:rPr>
          <w:szCs w:val="24"/>
        </w:rPr>
        <w:t>-</w:t>
      </w:r>
      <w:r w:rsidR="009942A7">
        <w:rPr>
          <w:szCs w:val="24"/>
        </w:rPr>
        <w:t>r</w:t>
      </w:r>
      <w:r w:rsidRPr="003E7ED2">
        <w:rPr>
          <w:szCs w:val="24"/>
        </w:rPr>
        <w:t>el magasabb az előző évi mennyiséghez képest és 1,4</w:t>
      </w:r>
      <w:r w:rsidR="00E35D32">
        <w:rPr>
          <w:szCs w:val="24"/>
        </w:rPr>
        <w:t xml:space="preserve"> </w:t>
      </w:r>
      <w:r w:rsidRPr="003E7ED2">
        <w:rPr>
          <w:szCs w:val="24"/>
        </w:rPr>
        <w:t>%-kal magasabb a tervezett értéknél.</w:t>
      </w:r>
    </w:p>
    <w:p w:rsidR="003E7ED2" w:rsidRPr="003E7ED2" w:rsidRDefault="003E7ED2" w:rsidP="009942A7">
      <w:pPr>
        <w:ind w:right="-108"/>
        <w:rPr>
          <w:sz w:val="8"/>
          <w:szCs w:val="8"/>
        </w:rPr>
      </w:pPr>
    </w:p>
    <w:p w:rsidR="003E7ED2" w:rsidRPr="003E7ED2" w:rsidRDefault="003E7ED2" w:rsidP="009942A7">
      <w:pPr>
        <w:ind w:right="-108"/>
        <w:rPr>
          <w:szCs w:val="24"/>
        </w:rPr>
      </w:pPr>
      <w:r w:rsidRPr="003E7ED2">
        <w:rPr>
          <w:i/>
          <w:szCs w:val="24"/>
        </w:rPr>
        <w:t>Szennyvízelvezetés és- tisztítás</w:t>
      </w:r>
      <w:r w:rsidRPr="003E7ED2">
        <w:rPr>
          <w:szCs w:val="24"/>
        </w:rPr>
        <w:t xml:space="preserve"> </w:t>
      </w:r>
      <w:r w:rsidRPr="003E7ED2">
        <w:rPr>
          <w:i/>
          <w:szCs w:val="24"/>
        </w:rPr>
        <w:t>árbevétele</w:t>
      </w:r>
      <w:r w:rsidRPr="003E7ED2">
        <w:rPr>
          <w:szCs w:val="24"/>
        </w:rPr>
        <w:t xml:space="preserve"> a tervezett mértéknél 1,3 %-kal, 43 901 eFt-tal magasabb, mértéke 3 385 157 eFt. A </w:t>
      </w:r>
      <w:r w:rsidRPr="003E7ED2">
        <w:rPr>
          <w:i/>
          <w:szCs w:val="24"/>
        </w:rPr>
        <w:t>számlázott szennyvíz mennyisége</w:t>
      </w:r>
      <w:r w:rsidRPr="003E7ED2">
        <w:rPr>
          <w:szCs w:val="24"/>
        </w:rPr>
        <w:t xml:space="preserve"> 10 395 em</w:t>
      </w:r>
      <w:r w:rsidRPr="003E7ED2">
        <w:rPr>
          <w:szCs w:val="24"/>
          <w:vertAlign w:val="superscript"/>
        </w:rPr>
        <w:t>3</w:t>
      </w:r>
      <w:r w:rsidRPr="003E7ED2">
        <w:rPr>
          <w:szCs w:val="24"/>
        </w:rPr>
        <w:t>, a tervezettnél 1,3</w:t>
      </w:r>
      <w:r w:rsidR="00E35D32">
        <w:rPr>
          <w:szCs w:val="24"/>
        </w:rPr>
        <w:t xml:space="preserve"> </w:t>
      </w:r>
      <w:r w:rsidRPr="003E7ED2">
        <w:rPr>
          <w:szCs w:val="24"/>
        </w:rPr>
        <w:t xml:space="preserve">%-kal kedvezőbb. A lakossági felhasználók által igénybe vehető </w:t>
      </w:r>
      <w:r w:rsidRPr="003E7ED2">
        <w:rPr>
          <w:i/>
          <w:szCs w:val="24"/>
        </w:rPr>
        <w:t>locsolási kedvezmény</w:t>
      </w:r>
      <w:r w:rsidRPr="003E7ED2">
        <w:rPr>
          <w:szCs w:val="24"/>
        </w:rPr>
        <w:t xml:space="preserve">, valamint a nem lakossági felhasználóknak tevékenységükhöz kapcsolódóan adott </w:t>
      </w:r>
      <w:r w:rsidRPr="003E7ED2">
        <w:rPr>
          <w:i/>
          <w:szCs w:val="24"/>
        </w:rPr>
        <w:t>csatornadíj engedmény</w:t>
      </w:r>
      <w:r w:rsidRPr="003E7ED2">
        <w:rPr>
          <w:szCs w:val="24"/>
        </w:rPr>
        <w:t xml:space="preserve"> 2022. évben 21 577 eFt.</w:t>
      </w:r>
    </w:p>
    <w:p w:rsidR="003E7ED2" w:rsidRPr="003E7ED2" w:rsidRDefault="003E7ED2" w:rsidP="009942A7">
      <w:pPr>
        <w:ind w:right="-108"/>
        <w:rPr>
          <w:szCs w:val="24"/>
        </w:rPr>
      </w:pPr>
      <w:r w:rsidRPr="003E7ED2">
        <w:rPr>
          <w:szCs w:val="24"/>
        </w:rPr>
        <w:t>A szennyvíz</w:t>
      </w:r>
      <w:r w:rsidR="00A528E7">
        <w:rPr>
          <w:szCs w:val="24"/>
        </w:rPr>
        <w:t>-</w:t>
      </w:r>
      <w:r w:rsidRPr="003E7ED2">
        <w:rPr>
          <w:szCs w:val="24"/>
        </w:rPr>
        <w:t xml:space="preserve">szolgáltatási ágazat működési területén 2022. évben a </w:t>
      </w:r>
      <w:r w:rsidRPr="003E7ED2">
        <w:rPr>
          <w:i/>
          <w:szCs w:val="24"/>
        </w:rPr>
        <w:t xml:space="preserve">tisztított szennyvíz mennyisége </w:t>
      </w:r>
      <w:r w:rsidRPr="003E7ED2">
        <w:rPr>
          <w:i/>
          <w:szCs w:val="24"/>
        </w:rPr>
        <w:br/>
      </w:r>
      <w:r w:rsidRPr="003E7ED2">
        <w:rPr>
          <w:szCs w:val="24"/>
        </w:rPr>
        <w:t>11 531 em</w:t>
      </w:r>
      <w:r w:rsidRPr="003E7ED2">
        <w:rPr>
          <w:szCs w:val="24"/>
          <w:vertAlign w:val="superscript"/>
        </w:rPr>
        <w:t>3</w:t>
      </w:r>
      <w:r w:rsidRPr="003E7ED2">
        <w:rPr>
          <w:szCs w:val="24"/>
        </w:rPr>
        <w:t>,</w:t>
      </w:r>
      <w:r w:rsidR="00D2421D">
        <w:rPr>
          <w:szCs w:val="24"/>
        </w:rPr>
        <w:t xml:space="preserve"> </w:t>
      </w:r>
      <w:r w:rsidRPr="003E7ED2">
        <w:rPr>
          <w:szCs w:val="24"/>
        </w:rPr>
        <w:t>a tervezettnél 1 136 em</w:t>
      </w:r>
      <w:r w:rsidRPr="003E7ED2">
        <w:rPr>
          <w:szCs w:val="24"/>
          <w:vertAlign w:val="superscript"/>
        </w:rPr>
        <w:t>3</w:t>
      </w:r>
      <w:r w:rsidRPr="003E7ED2">
        <w:rPr>
          <w:szCs w:val="24"/>
        </w:rPr>
        <w:t xml:space="preserve">-rel kevesebb. </w:t>
      </w:r>
    </w:p>
    <w:p w:rsidR="003E7ED2" w:rsidRPr="003E7ED2" w:rsidRDefault="003E7ED2" w:rsidP="009942A7">
      <w:pPr>
        <w:pStyle w:val="Szvegtrzs"/>
        <w:ind w:right="-108"/>
        <w:rPr>
          <w:sz w:val="8"/>
          <w:szCs w:val="8"/>
        </w:rPr>
      </w:pPr>
    </w:p>
    <w:p w:rsidR="003E7ED2" w:rsidRPr="003E7ED2" w:rsidRDefault="003E7ED2" w:rsidP="009942A7">
      <w:pPr>
        <w:pStyle w:val="Szvegtrzs3"/>
        <w:tabs>
          <w:tab w:val="left" w:pos="426"/>
          <w:tab w:val="right" w:pos="3969"/>
          <w:tab w:val="right" w:pos="5387"/>
          <w:tab w:val="right" w:pos="6804"/>
          <w:tab w:val="right" w:pos="8080"/>
        </w:tabs>
        <w:ind w:right="-108"/>
        <w:rPr>
          <w:i/>
          <w:szCs w:val="24"/>
        </w:rPr>
      </w:pPr>
      <w:r w:rsidRPr="003E7ED2">
        <w:rPr>
          <w:i/>
          <w:szCs w:val="24"/>
        </w:rPr>
        <w:t>Az elsődleges tevékenységek az értékesítés nettó árbevételéből 82%-ot tesznek ki.</w:t>
      </w:r>
    </w:p>
    <w:p w:rsidR="003E7ED2" w:rsidRPr="003E7ED2" w:rsidRDefault="003E7ED2" w:rsidP="009942A7">
      <w:pPr>
        <w:pStyle w:val="Szvegtrzs3"/>
        <w:tabs>
          <w:tab w:val="left" w:pos="426"/>
          <w:tab w:val="right" w:pos="3969"/>
          <w:tab w:val="right" w:pos="5387"/>
          <w:tab w:val="right" w:pos="6804"/>
          <w:tab w:val="right" w:pos="8080"/>
        </w:tabs>
        <w:ind w:right="-108"/>
        <w:rPr>
          <w:i/>
          <w:sz w:val="16"/>
          <w:szCs w:val="16"/>
        </w:rPr>
      </w:pPr>
    </w:p>
    <w:p w:rsidR="00D2421D" w:rsidRDefault="003E7ED2" w:rsidP="009942A7">
      <w:pPr>
        <w:tabs>
          <w:tab w:val="right" w:pos="6804"/>
          <w:tab w:val="right" w:pos="9214"/>
        </w:tabs>
        <w:ind w:right="-108"/>
      </w:pPr>
      <w:r w:rsidRPr="003E7ED2">
        <w:rPr>
          <w:bCs/>
          <w:i/>
        </w:rPr>
        <w:t>Ipari víz</w:t>
      </w:r>
      <w:r w:rsidRPr="003E7ED2">
        <w:rPr>
          <w:i/>
        </w:rPr>
        <w:t xml:space="preserve"> </w:t>
      </w:r>
      <w:r w:rsidRPr="003E7ED2">
        <w:t>árbevét</w:t>
      </w:r>
      <w:r w:rsidR="00D2421D">
        <w:t>el terv teljesítése 18 163 eFt.</w:t>
      </w:r>
    </w:p>
    <w:p w:rsidR="003E7ED2" w:rsidRPr="003E7ED2" w:rsidRDefault="003E7ED2" w:rsidP="009942A7">
      <w:pPr>
        <w:tabs>
          <w:tab w:val="right" w:pos="6804"/>
          <w:tab w:val="right" w:pos="9214"/>
        </w:tabs>
        <w:ind w:right="-108"/>
      </w:pPr>
      <w:r w:rsidRPr="003E7ED2">
        <w:t xml:space="preserve">A fedett uszoda medencéinek ipari víz felhasználása 39 </w:t>
      </w:r>
      <w:r w:rsidRPr="003E7ED2">
        <w:rPr>
          <w:szCs w:val="24"/>
        </w:rPr>
        <w:t>em</w:t>
      </w:r>
      <w:r w:rsidRPr="003E7ED2">
        <w:rPr>
          <w:szCs w:val="24"/>
          <w:vertAlign w:val="superscript"/>
        </w:rPr>
        <w:t>3</w:t>
      </w:r>
      <w:r w:rsidR="009942A7">
        <w:t>, a</w:t>
      </w:r>
      <w:r w:rsidRPr="003E7ED2">
        <w:t xml:space="preserve"> terv 96,6 %-a.</w:t>
      </w:r>
    </w:p>
    <w:p w:rsidR="003E7ED2" w:rsidRPr="003E7ED2" w:rsidRDefault="003E7ED2" w:rsidP="009942A7">
      <w:pPr>
        <w:tabs>
          <w:tab w:val="left" w:pos="426"/>
          <w:tab w:val="right" w:pos="3969"/>
          <w:tab w:val="right" w:pos="5387"/>
          <w:tab w:val="right" w:pos="6804"/>
          <w:tab w:val="right" w:pos="8080"/>
          <w:tab w:val="left" w:pos="9498"/>
        </w:tabs>
        <w:ind w:right="-108"/>
        <w:rPr>
          <w:i/>
          <w:szCs w:val="24"/>
        </w:rPr>
      </w:pPr>
    </w:p>
    <w:p w:rsidR="003E7ED2" w:rsidRPr="003E7ED2" w:rsidRDefault="003E7ED2" w:rsidP="009942A7">
      <w:pPr>
        <w:tabs>
          <w:tab w:val="left" w:pos="426"/>
          <w:tab w:val="right" w:pos="3969"/>
          <w:tab w:val="right" w:pos="5387"/>
          <w:tab w:val="right" w:pos="6804"/>
          <w:tab w:val="right" w:pos="8080"/>
          <w:tab w:val="left" w:pos="9498"/>
        </w:tabs>
        <w:ind w:right="-108"/>
        <w:rPr>
          <w:szCs w:val="24"/>
        </w:rPr>
      </w:pPr>
      <w:r w:rsidRPr="003E7ED2">
        <w:rPr>
          <w:b/>
          <w:i/>
          <w:szCs w:val="24"/>
        </w:rPr>
        <w:t>Fürdőszolgáltatás és kiegészítő tevékenységei</w:t>
      </w:r>
      <w:r w:rsidR="00D2421D">
        <w:rPr>
          <w:szCs w:val="24"/>
        </w:rPr>
        <w:t xml:space="preserve"> nettó árbevétele 105 164</w:t>
      </w:r>
      <w:r w:rsidRPr="003E7ED2">
        <w:rPr>
          <w:szCs w:val="24"/>
        </w:rPr>
        <w:t xml:space="preserve"> eFt</w:t>
      </w:r>
      <w:r w:rsidR="00D2421D">
        <w:rPr>
          <w:szCs w:val="24"/>
        </w:rPr>
        <w:t xml:space="preserve"> volt, amely a tervezettnél </w:t>
      </w:r>
      <w:r w:rsidR="00D2421D">
        <w:rPr>
          <w:szCs w:val="24"/>
        </w:rPr>
        <w:br/>
        <w:t>7,2</w:t>
      </w:r>
      <w:r w:rsidRPr="003E7ED2">
        <w:rPr>
          <w:szCs w:val="24"/>
        </w:rPr>
        <w:t xml:space="preserve"> %-kal alacsonyabb. </w:t>
      </w:r>
    </w:p>
    <w:p w:rsidR="003E7ED2" w:rsidRPr="003E7ED2" w:rsidRDefault="00D2421D" w:rsidP="009942A7">
      <w:pPr>
        <w:tabs>
          <w:tab w:val="left" w:pos="426"/>
          <w:tab w:val="right" w:pos="3969"/>
          <w:tab w:val="right" w:pos="5387"/>
          <w:tab w:val="right" w:pos="6804"/>
          <w:tab w:val="right" w:pos="8080"/>
          <w:tab w:val="left" w:pos="9498"/>
        </w:tabs>
        <w:ind w:right="-108"/>
        <w:rPr>
          <w:szCs w:val="23"/>
        </w:rPr>
      </w:pPr>
      <w:r>
        <w:rPr>
          <w:szCs w:val="23"/>
        </w:rPr>
        <w:t xml:space="preserve">A termálfürdőt 2022. június 13-án nyitottuk meg a fürdővendégek részére. </w:t>
      </w:r>
      <w:r w:rsidR="003E7ED2" w:rsidRPr="003E7ED2">
        <w:rPr>
          <w:szCs w:val="23"/>
        </w:rPr>
        <w:t>A tulajdonos jóváhagyását követően 2022. július 1-jétől a belépőjegyek és egyéb szolgáltatások árainak vonatkozásában 20 %-os emelésre került sor.</w:t>
      </w:r>
    </w:p>
    <w:p w:rsidR="003E7ED2" w:rsidRPr="003E7ED2" w:rsidRDefault="003E7ED2" w:rsidP="009942A7">
      <w:pPr>
        <w:tabs>
          <w:tab w:val="left" w:pos="9498"/>
        </w:tabs>
        <w:ind w:right="-108"/>
      </w:pPr>
      <w:r w:rsidRPr="003E7ED2">
        <w:t>Az eszközhasznosítás árbevétele 2022.</w:t>
      </w:r>
      <w:r w:rsidR="00D2421D">
        <w:t xml:space="preserve"> </w:t>
      </w:r>
      <w:r w:rsidRPr="003E7ED2">
        <w:t>évben 8 272 eFt. A vegyes hasznosítású épület szobái 2022. évben bérleti szerződés keretében kerültek kiadásra, az ebből származó bevétel szintén az eszközhasznosításból származó bevételt növelte.</w:t>
      </w:r>
    </w:p>
    <w:p w:rsidR="00CD532E" w:rsidRDefault="003E7ED2" w:rsidP="00066248">
      <w:pPr>
        <w:tabs>
          <w:tab w:val="left" w:pos="426"/>
          <w:tab w:val="right" w:pos="3969"/>
          <w:tab w:val="right" w:pos="5387"/>
          <w:tab w:val="right" w:pos="6804"/>
          <w:tab w:val="right" w:pos="8080"/>
          <w:tab w:val="left" w:pos="9498"/>
        </w:tabs>
        <w:ind w:right="-108"/>
        <w:rPr>
          <w:szCs w:val="23"/>
        </w:rPr>
      </w:pPr>
      <w:r w:rsidRPr="003E7ED2">
        <w:rPr>
          <w:szCs w:val="23"/>
        </w:rPr>
        <w:t>2022. október 3-tól az energetikai megtakarítások érdekében, hasonlóan a korábbi évekhez</w:t>
      </w:r>
      <w:r w:rsidR="009942A7">
        <w:rPr>
          <w:szCs w:val="23"/>
        </w:rPr>
        <w:t>,</w:t>
      </w:r>
      <w:r w:rsidRPr="003E7ED2">
        <w:rPr>
          <w:szCs w:val="23"/>
        </w:rPr>
        <w:t xml:space="preserve"> csak az AVUS medencében volt lehetőség edzésre illetve úszásra mind az egyesületek</w:t>
      </w:r>
      <w:r w:rsidR="009942A7">
        <w:rPr>
          <w:szCs w:val="23"/>
        </w:rPr>
        <w:t>,</w:t>
      </w:r>
      <w:r w:rsidRPr="003E7ED2">
        <w:rPr>
          <w:szCs w:val="23"/>
        </w:rPr>
        <w:t xml:space="preserve"> mind a kö</w:t>
      </w:r>
      <w:r w:rsidRPr="003E7ED2">
        <w:rPr>
          <w:szCs w:val="23"/>
        </w:rPr>
        <w:lastRenderedPageBreak/>
        <w:t>zönség forgalom számára.  Ennek hatására jelentős visszaesés tapasztalható a belépések tekintetében, mivel a közönség csak korlátozottan t</w:t>
      </w:r>
      <w:r w:rsidR="009942A7">
        <w:rPr>
          <w:szCs w:val="23"/>
        </w:rPr>
        <w:t>udta igénybe venni a medencét. Számukra h</w:t>
      </w:r>
      <w:r w:rsidRPr="003E7ED2">
        <w:rPr>
          <w:szCs w:val="23"/>
        </w:rPr>
        <w:t>étköznapokon 6.00-tól 12.00-ig volt lehetősé</w:t>
      </w:r>
      <w:r w:rsidR="00066248">
        <w:rPr>
          <w:szCs w:val="23"/>
        </w:rPr>
        <w:t>g úszásra, medence használatra.</w:t>
      </w:r>
    </w:p>
    <w:p w:rsidR="004069E4" w:rsidRPr="004069E4" w:rsidRDefault="004069E4" w:rsidP="00066248">
      <w:pPr>
        <w:tabs>
          <w:tab w:val="left" w:pos="426"/>
          <w:tab w:val="right" w:pos="3969"/>
          <w:tab w:val="right" w:pos="5387"/>
          <w:tab w:val="right" w:pos="6804"/>
          <w:tab w:val="right" w:pos="8080"/>
          <w:tab w:val="left" w:pos="9498"/>
        </w:tabs>
        <w:ind w:right="-108"/>
        <w:rPr>
          <w:sz w:val="16"/>
          <w:szCs w:val="16"/>
        </w:rPr>
      </w:pPr>
    </w:p>
    <w:p w:rsidR="003E7ED2" w:rsidRPr="003E7ED2" w:rsidRDefault="003E7ED2" w:rsidP="003E7ED2">
      <w:pPr>
        <w:widowControl w:val="0"/>
        <w:tabs>
          <w:tab w:val="left" w:pos="426"/>
          <w:tab w:val="right" w:pos="3969"/>
          <w:tab w:val="right" w:pos="5387"/>
          <w:tab w:val="right" w:pos="6804"/>
          <w:tab w:val="right" w:pos="8080"/>
        </w:tabs>
        <w:overflowPunct w:val="0"/>
        <w:autoSpaceDE w:val="0"/>
        <w:autoSpaceDN w:val="0"/>
        <w:adjustRightInd w:val="0"/>
        <w:spacing w:before="120" w:after="120"/>
        <w:textAlignment w:val="baseline"/>
        <w:rPr>
          <w:szCs w:val="23"/>
        </w:rPr>
      </w:pPr>
      <w:r w:rsidRPr="003E7ED2">
        <w:rPr>
          <w:szCs w:val="23"/>
        </w:rPr>
        <w:t>A 2022. éves vendégforgalmi adatok összehasonlítása a 2019. évvel történik. (2020-ban is tört félév volt a járvány miatt)</w:t>
      </w:r>
    </w:p>
    <w:tbl>
      <w:tblPr>
        <w:tblW w:w="9620" w:type="dxa"/>
        <w:jc w:val="center"/>
        <w:tblCellMar>
          <w:left w:w="70" w:type="dxa"/>
          <w:right w:w="70" w:type="dxa"/>
        </w:tblCellMar>
        <w:tblLook w:val="04A0" w:firstRow="1" w:lastRow="0" w:firstColumn="1" w:lastColumn="0" w:noHBand="0" w:noVBand="1"/>
      </w:tblPr>
      <w:tblGrid>
        <w:gridCol w:w="3420"/>
        <w:gridCol w:w="1116"/>
        <w:gridCol w:w="940"/>
        <w:gridCol w:w="960"/>
        <w:gridCol w:w="960"/>
        <w:gridCol w:w="1184"/>
        <w:gridCol w:w="1040"/>
      </w:tblGrid>
      <w:tr w:rsidR="003E7ED2" w:rsidRPr="003E7ED2" w:rsidTr="003E7ED2">
        <w:trPr>
          <w:trHeight w:val="255"/>
          <w:jc w:val="center"/>
        </w:trPr>
        <w:tc>
          <w:tcPr>
            <w:tcW w:w="3420" w:type="dxa"/>
            <w:vMerge w:val="restart"/>
            <w:tcBorders>
              <w:top w:val="single" w:sz="8" w:space="0" w:color="auto"/>
              <w:left w:val="nil"/>
              <w:bottom w:val="single" w:sz="8" w:space="0" w:color="000000"/>
              <w:right w:val="nil"/>
            </w:tcBorders>
            <w:shd w:val="clear" w:color="auto" w:fill="auto"/>
            <w:vAlign w:val="center"/>
            <w:hideMark/>
          </w:tcPr>
          <w:p w:rsidR="003E7ED2" w:rsidRPr="003E7ED2" w:rsidRDefault="003E7ED2" w:rsidP="003E7ED2">
            <w:pPr>
              <w:jc w:val="left"/>
              <w:rPr>
                <w:bCs/>
                <w:i/>
                <w:color w:val="000000"/>
                <w:sz w:val="22"/>
                <w:szCs w:val="22"/>
              </w:rPr>
            </w:pPr>
            <w:r w:rsidRPr="003E7ED2">
              <w:rPr>
                <w:bCs/>
                <w:i/>
                <w:color w:val="000000"/>
                <w:sz w:val="22"/>
                <w:szCs w:val="22"/>
              </w:rPr>
              <w:t>Árbevétel</w:t>
            </w:r>
          </w:p>
        </w:tc>
        <w:tc>
          <w:tcPr>
            <w:tcW w:w="1116" w:type="dxa"/>
            <w:tcBorders>
              <w:top w:val="single" w:sz="8" w:space="0" w:color="auto"/>
              <w:left w:val="nil"/>
              <w:bottom w:val="nil"/>
              <w:right w:val="nil"/>
            </w:tcBorders>
            <w:shd w:val="clear" w:color="auto" w:fill="auto"/>
            <w:vAlign w:val="center"/>
            <w:hideMark/>
          </w:tcPr>
          <w:p w:rsidR="003E7ED2" w:rsidRPr="003E7ED2" w:rsidRDefault="003E7ED2" w:rsidP="003E7ED2">
            <w:pPr>
              <w:jc w:val="center"/>
              <w:rPr>
                <w:bCs/>
                <w:i/>
                <w:color w:val="000000"/>
                <w:sz w:val="22"/>
                <w:szCs w:val="22"/>
              </w:rPr>
            </w:pPr>
            <w:r w:rsidRPr="003E7ED2">
              <w:rPr>
                <w:bCs/>
                <w:i/>
                <w:color w:val="000000"/>
                <w:sz w:val="22"/>
                <w:szCs w:val="22"/>
              </w:rPr>
              <w:t>Mérték-</w:t>
            </w:r>
          </w:p>
        </w:tc>
        <w:tc>
          <w:tcPr>
            <w:tcW w:w="940" w:type="dxa"/>
            <w:tcBorders>
              <w:top w:val="single" w:sz="8" w:space="0" w:color="auto"/>
              <w:left w:val="nil"/>
              <w:bottom w:val="nil"/>
              <w:right w:val="nil"/>
            </w:tcBorders>
            <w:shd w:val="clear" w:color="auto" w:fill="auto"/>
            <w:vAlign w:val="center"/>
            <w:hideMark/>
          </w:tcPr>
          <w:p w:rsidR="003E7ED2" w:rsidRPr="003E7ED2" w:rsidRDefault="003E7ED2" w:rsidP="003E7ED2">
            <w:pPr>
              <w:jc w:val="center"/>
              <w:rPr>
                <w:bCs/>
                <w:i/>
                <w:color w:val="000000"/>
                <w:sz w:val="22"/>
                <w:szCs w:val="22"/>
              </w:rPr>
            </w:pPr>
            <w:r w:rsidRPr="003E7ED2">
              <w:rPr>
                <w:bCs/>
                <w:i/>
                <w:color w:val="000000"/>
                <w:sz w:val="22"/>
                <w:szCs w:val="22"/>
              </w:rPr>
              <w:t>2019. év</w:t>
            </w:r>
          </w:p>
        </w:tc>
        <w:tc>
          <w:tcPr>
            <w:tcW w:w="960" w:type="dxa"/>
            <w:tcBorders>
              <w:top w:val="single" w:sz="8" w:space="0" w:color="auto"/>
              <w:left w:val="nil"/>
              <w:bottom w:val="nil"/>
              <w:right w:val="nil"/>
            </w:tcBorders>
            <w:shd w:val="clear" w:color="auto" w:fill="auto"/>
            <w:vAlign w:val="center"/>
            <w:hideMark/>
          </w:tcPr>
          <w:p w:rsidR="003E7ED2" w:rsidRPr="003E7ED2" w:rsidRDefault="003E7ED2" w:rsidP="003E7ED2">
            <w:pPr>
              <w:jc w:val="center"/>
              <w:rPr>
                <w:bCs/>
                <w:i/>
                <w:color w:val="000000"/>
                <w:sz w:val="22"/>
                <w:szCs w:val="22"/>
              </w:rPr>
            </w:pPr>
            <w:r w:rsidRPr="003E7ED2">
              <w:rPr>
                <w:bCs/>
                <w:i/>
                <w:color w:val="000000"/>
                <w:sz w:val="22"/>
                <w:szCs w:val="22"/>
              </w:rPr>
              <w:t>2022. év</w:t>
            </w:r>
          </w:p>
        </w:tc>
        <w:tc>
          <w:tcPr>
            <w:tcW w:w="960" w:type="dxa"/>
            <w:tcBorders>
              <w:top w:val="single" w:sz="8" w:space="0" w:color="auto"/>
              <w:left w:val="nil"/>
              <w:bottom w:val="nil"/>
              <w:right w:val="nil"/>
            </w:tcBorders>
            <w:shd w:val="clear" w:color="auto" w:fill="auto"/>
            <w:vAlign w:val="center"/>
            <w:hideMark/>
          </w:tcPr>
          <w:p w:rsidR="003E7ED2" w:rsidRPr="003E7ED2" w:rsidRDefault="003E7ED2" w:rsidP="003E7ED2">
            <w:pPr>
              <w:jc w:val="center"/>
              <w:rPr>
                <w:bCs/>
                <w:i/>
                <w:color w:val="000000"/>
                <w:sz w:val="22"/>
                <w:szCs w:val="22"/>
              </w:rPr>
            </w:pPr>
            <w:r w:rsidRPr="003E7ED2">
              <w:rPr>
                <w:bCs/>
                <w:i/>
                <w:color w:val="000000"/>
                <w:sz w:val="22"/>
                <w:szCs w:val="22"/>
              </w:rPr>
              <w:t>2022. év</w:t>
            </w:r>
          </w:p>
        </w:tc>
        <w:tc>
          <w:tcPr>
            <w:tcW w:w="2224" w:type="dxa"/>
            <w:gridSpan w:val="2"/>
            <w:tcBorders>
              <w:top w:val="single" w:sz="8" w:space="0" w:color="auto"/>
              <w:left w:val="nil"/>
              <w:bottom w:val="single" w:sz="4" w:space="0" w:color="auto"/>
              <w:right w:val="nil"/>
            </w:tcBorders>
            <w:shd w:val="clear" w:color="auto" w:fill="auto"/>
            <w:vAlign w:val="center"/>
            <w:hideMark/>
          </w:tcPr>
          <w:p w:rsidR="003E7ED2" w:rsidRPr="003E7ED2" w:rsidRDefault="003E7ED2" w:rsidP="003E7ED2">
            <w:pPr>
              <w:jc w:val="center"/>
              <w:rPr>
                <w:bCs/>
                <w:i/>
                <w:color w:val="000000"/>
                <w:sz w:val="22"/>
                <w:szCs w:val="22"/>
              </w:rPr>
            </w:pPr>
            <w:r w:rsidRPr="003E7ED2">
              <w:rPr>
                <w:bCs/>
                <w:i/>
                <w:color w:val="000000"/>
                <w:sz w:val="22"/>
                <w:szCs w:val="22"/>
              </w:rPr>
              <w:t>Index</w:t>
            </w:r>
          </w:p>
        </w:tc>
      </w:tr>
      <w:tr w:rsidR="003E7ED2" w:rsidRPr="003E7ED2" w:rsidTr="003E7ED2">
        <w:trPr>
          <w:trHeight w:val="270"/>
          <w:jc w:val="center"/>
        </w:trPr>
        <w:tc>
          <w:tcPr>
            <w:tcW w:w="3420" w:type="dxa"/>
            <w:vMerge/>
            <w:tcBorders>
              <w:top w:val="single" w:sz="8" w:space="0" w:color="auto"/>
              <w:left w:val="nil"/>
              <w:bottom w:val="single" w:sz="8" w:space="0" w:color="000000"/>
              <w:right w:val="nil"/>
            </w:tcBorders>
            <w:vAlign w:val="center"/>
            <w:hideMark/>
          </w:tcPr>
          <w:p w:rsidR="003E7ED2" w:rsidRPr="003E7ED2" w:rsidRDefault="003E7ED2" w:rsidP="003E7ED2">
            <w:pPr>
              <w:jc w:val="left"/>
              <w:rPr>
                <w:bCs/>
                <w:i/>
                <w:color w:val="000000"/>
                <w:sz w:val="22"/>
                <w:szCs w:val="22"/>
              </w:rPr>
            </w:pPr>
          </w:p>
        </w:tc>
        <w:tc>
          <w:tcPr>
            <w:tcW w:w="1116" w:type="dxa"/>
            <w:tcBorders>
              <w:top w:val="nil"/>
              <w:left w:val="nil"/>
              <w:bottom w:val="single" w:sz="8" w:space="0" w:color="000000"/>
              <w:right w:val="nil"/>
            </w:tcBorders>
            <w:shd w:val="clear" w:color="auto" w:fill="auto"/>
            <w:vAlign w:val="center"/>
            <w:hideMark/>
          </w:tcPr>
          <w:p w:rsidR="003E7ED2" w:rsidRPr="003E7ED2" w:rsidRDefault="003E7ED2" w:rsidP="003E7ED2">
            <w:pPr>
              <w:jc w:val="center"/>
              <w:rPr>
                <w:bCs/>
                <w:i/>
                <w:color w:val="000000"/>
                <w:sz w:val="22"/>
                <w:szCs w:val="22"/>
              </w:rPr>
            </w:pPr>
            <w:r w:rsidRPr="003E7ED2">
              <w:rPr>
                <w:bCs/>
                <w:i/>
                <w:color w:val="000000"/>
                <w:sz w:val="22"/>
                <w:szCs w:val="22"/>
              </w:rPr>
              <w:t>egység</w:t>
            </w:r>
          </w:p>
        </w:tc>
        <w:tc>
          <w:tcPr>
            <w:tcW w:w="940" w:type="dxa"/>
            <w:tcBorders>
              <w:top w:val="nil"/>
              <w:left w:val="nil"/>
              <w:bottom w:val="single" w:sz="8" w:space="0" w:color="auto"/>
              <w:right w:val="nil"/>
            </w:tcBorders>
            <w:shd w:val="clear" w:color="auto" w:fill="auto"/>
            <w:vAlign w:val="center"/>
            <w:hideMark/>
          </w:tcPr>
          <w:p w:rsidR="003E7ED2" w:rsidRPr="003E7ED2" w:rsidRDefault="003E7ED2" w:rsidP="003E7ED2">
            <w:pPr>
              <w:jc w:val="center"/>
              <w:rPr>
                <w:bCs/>
                <w:i/>
                <w:color w:val="000000"/>
                <w:sz w:val="22"/>
                <w:szCs w:val="22"/>
              </w:rPr>
            </w:pPr>
            <w:r w:rsidRPr="003E7ED2">
              <w:rPr>
                <w:bCs/>
                <w:i/>
                <w:color w:val="000000"/>
                <w:sz w:val="22"/>
                <w:szCs w:val="22"/>
              </w:rPr>
              <w:t>tény</w:t>
            </w:r>
          </w:p>
        </w:tc>
        <w:tc>
          <w:tcPr>
            <w:tcW w:w="960" w:type="dxa"/>
            <w:tcBorders>
              <w:top w:val="nil"/>
              <w:left w:val="nil"/>
              <w:bottom w:val="single" w:sz="8" w:space="0" w:color="auto"/>
              <w:right w:val="nil"/>
            </w:tcBorders>
            <w:shd w:val="clear" w:color="auto" w:fill="auto"/>
            <w:vAlign w:val="center"/>
            <w:hideMark/>
          </w:tcPr>
          <w:p w:rsidR="003E7ED2" w:rsidRPr="003E7ED2" w:rsidRDefault="003E7ED2" w:rsidP="003E7ED2">
            <w:pPr>
              <w:jc w:val="center"/>
              <w:rPr>
                <w:bCs/>
                <w:i/>
                <w:color w:val="000000"/>
                <w:sz w:val="22"/>
                <w:szCs w:val="22"/>
              </w:rPr>
            </w:pPr>
            <w:r w:rsidRPr="003E7ED2">
              <w:rPr>
                <w:bCs/>
                <w:i/>
                <w:color w:val="000000"/>
                <w:sz w:val="22"/>
                <w:szCs w:val="22"/>
              </w:rPr>
              <w:t>terv</w:t>
            </w:r>
          </w:p>
        </w:tc>
        <w:tc>
          <w:tcPr>
            <w:tcW w:w="960" w:type="dxa"/>
            <w:tcBorders>
              <w:top w:val="nil"/>
              <w:left w:val="nil"/>
              <w:bottom w:val="single" w:sz="8" w:space="0" w:color="auto"/>
              <w:right w:val="nil"/>
            </w:tcBorders>
            <w:shd w:val="clear" w:color="auto" w:fill="auto"/>
            <w:vAlign w:val="center"/>
            <w:hideMark/>
          </w:tcPr>
          <w:p w:rsidR="003E7ED2" w:rsidRPr="003E7ED2" w:rsidRDefault="003E7ED2" w:rsidP="003E7ED2">
            <w:pPr>
              <w:jc w:val="center"/>
              <w:rPr>
                <w:bCs/>
                <w:i/>
                <w:color w:val="000000"/>
                <w:sz w:val="22"/>
                <w:szCs w:val="22"/>
              </w:rPr>
            </w:pPr>
            <w:r w:rsidRPr="003E7ED2">
              <w:rPr>
                <w:bCs/>
                <w:i/>
                <w:color w:val="000000"/>
                <w:sz w:val="22"/>
                <w:szCs w:val="22"/>
              </w:rPr>
              <w:t>tény</w:t>
            </w:r>
          </w:p>
        </w:tc>
        <w:tc>
          <w:tcPr>
            <w:tcW w:w="1184" w:type="dxa"/>
            <w:tcBorders>
              <w:top w:val="single" w:sz="4" w:space="0" w:color="auto"/>
              <w:left w:val="nil"/>
              <w:bottom w:val="single" w:sz="8" w:space="0" w:color="auto"/>
              <w:right w:val="nil"/>
            </w:tcBorders>
            <w:shd w:val="clear" w:color="auto" w:fill="auto"/>
            <w:vAlign w:val="center"/>
            <w:hideMark/>
          </w:tcPr>
          <w:p w:rsidR="003E7ED2" w:rsidRPr="003E7ED2" w:rsidRDefault="003E7ED2" w:rsidP="003E7ED2">
            <w:pPr>
              <w:jc w:val="center"/>
              <w:rPr>
                <w:bCs/>
                <w:i/>
                <w:color w:val="000000"/>
                <w:sz w:val="22"/>
                <w:szCs w:val="22"/>
              </w:rPr>
            </w:pPr>
            <w:r w:rsidRPr="003E7ED2">
              <w:rPr>
                <w:bCs/>
                <w:i/>
                <w:color w:val="000000"/>
                <w:sz w:val="22"/>
                <w:szCs w:val="22"/>
              </w:rPr>
              <w:t>tervhez</w:t>
            </w:r>
          </w:p>
        </w:tc>
        <w:tc>
          <w:tcPr>
            <w:tcW w:w="1040" w:type="dxa"/>
            <w:tcBorders>
              <w:top w:val="single" w:sz="4" w:space="0" w:color="auto"/>
              <w:left w:val="nil"/>
              <w:bottom w:val="single" w:sz="8" w:space="0" w:color="auto"/>
              <w:right w:val="nil"/>
            </w:tcBorders>
            <w:shd w:val="clear" w:color="auto" w:fill="auto"/>
            <w:vAlign w:val="center"/>
            <w:hideMark/>
          </w:tcPr>
          <w:p w:rsidR="003E7ED2" w:rsidRPr="003E7ED2" w:rsidRDefault="003E7ED2" w:rsidP="003E7ED2">
            <w:pPr>
              <w:jc w:val="center"/>
              <w:rPr>
                <w:bCs/>
                <w:i/>
                <w:color w:val="000000"/>
                <w:sz w:val="22"/>
                <w:szCs w:val="22"/>
              </w:rPr>
            </w:pPr>
            <w:r w:rsidRPr="003E7ED2">
              <w:rPr>
                <w:bCs/>
                <w:i/>
                <w:color w:val="000000"/>
                <w:sz w:val="22"/>
                <w:szCs w:val="22"/>
              </w:rPr>
              <w:t>bázishoz</w:t>
            </w:r>
          </w:p>
        </w:tc>
      </w:tr>
      <w:tr w:rsidR="003E7ED2" w:rsidRPr="003E7ED2" w:rsidTr="003E7ED2">
        <w:trPr>
          <w:trHeight w:val="255"/>
          <w:jc w:val="center"/>
        </w:trPr>
        <w:tc>
          <w:tcPr>
            <w:tcW w:w="3420" w:type="dxa"/>
            <w:tcBorders>
              <w:top w:val="nil"/>
              <w:left w:val="nil"/>
              <w:bottom w:val="nil"/>
              <w:right w:val="nil"/>
            </w:tcBorders>
            <w:shd w:val="clear" w:color="auto" w:fill="auto"/>
            <w:noWrap/>
            <w:vAlign w:val="center"/>
            <w:hideMark/>
          </w:tcPr>
          <w:p w:rsidR="003E7ED2" w:rsidRPr="003E7ED2" w:rsidRDefault="003E7ED2" w:rsidP="003E7ED2">
            <w:pPr>
              <w:jc w:val="left"/>
              <w:rPr>
                <w:color w:val="000000"/>
                <w:sz w:val="22"/>
                <w:szCs w:val="22"/>
              </w:rPr>
            </w:pPr>
            <w:r w:rsidRPr="003E7ED2">
              <w:rPr>
                <w:color w:val="000000"/>
                <w:sz w:val="22"/>
                <w:szCs w:val="22"/>
              </w:rPr>
              <w:t>Fürdőszolgáltatás</w:t>
            </w:r>
          </w:p>
        </w:tc>
        <w:tc>
          <w:tcPr>
            <w:tcW w:w="1116" w:type="dxa"/>
            <w:tcBorders>
              <w:top w:val="nil"/>
              <w:left w:val="nil"/>
              <w:bottom w:val="nil"/>
              <w:right w:val="nil"/>
            </w:tcBorders>
            <w:shd w:val="clear" w:color="auto" w:fill="auto"/>
            <w:vAlign w:val="center"/>
            <w:hideMark/>
          </w:tcPr>
          <w:p w:rsidR="003E7ED2" w:rsidRPr="003E7ED2" w:rsidRDefault="003E7ED2" w:rsidP="003E7ED2">
            <w:pPr>
              <w:jc w:val="center"/>
              <w:rPr>
                <w:color w:val="000000"/>
                <w:sz w:val="22"/>
                <w:szCs w:val="22"/>
              </w:rPr>
            </w:pPr>
            <w:r w:rsidRPr="003E7ED2">
              <w:rPr>
                <w:color w:val="000000"/>
                <w:sz w:val="22"/>
                <w:szCs w:val="22"/>
              </w:rPr>
              <w:t>eFt</w:t>
            </w:r>
          </w:p>
        </w:tc>
        <w:tc>
          <w:tcPr>
            <w:tcW w:w="940" w:type="dxa"/>
            <w:tcBorders>
              <w:top w:val="nil"/>
              <w:left w:val="nil"/>
              <w:bottom w:val="nil"/>
              <w:right w:val="nil"/>
            </w:tcBorders>
            <w:shd w:val="clear" w:color="auto" w:fill="auto"/>
            <w:vAlign w:val="center"/>
            <w:hideMark/>
          </w:tcPr>
          <w:p w:rsidR="003E7ED2" w:rsidRPr="003E7ED2" w:rsidRDefault="003E7ED2" w:rsidP="003E7ED2">
            <w:pPr>
              <w:jc w:val="right"/>
              <w:rPr>
                <w:sz w:val="20"/>
              </w:rPr>
            </w:pPr>
            <w:r w:rsidRPr="003E7ED2">
              <w:rPr>
                <w:sz w:val="20"/>
              </w:rPr>
              <w:t>83 045</w:t>
            </w:r>
          </w:p>
        </w:tc>
        <w:tc>
          <w:tcPr>
            <w:tcW w:w="960" w:type="dxa"/>
            <w:tcBorders>
              <w:top w:val="nil"/>
              <w:left w:val="nil"/>
              <w:bottom w:val="nil"/>
              <w:right w:val="nil"/>
            </w:tcBorders>
            <w:shd w:val="clear" w:color="auto" w:fill="auto"/>
            <w:noWrap/>
            <w:vAlign w:val="bottom"/>
            <w:hideMark/>
          </w:tcPr>
          <w:p w:rsidR="003E7ED2" w:rsidRPr="003E7ED2" w:rsidRDefault="003E7ED2" w:rsidP="003E7ED2">
            <w:pPr>
              <w:jc w:val="right"/>
              <w:rPr>
                <w:sz w:val="20"/>
              </w:rPr>
            </w:pPr>
            <w:r w:rsidRPr="003E7ED2">
              <w:rPr>
                <w:sz w:val="20"/>
              </w:rPr>
              <w:t>87 630</w:t>
            </w:r>
          </w:p>
        </w:tc>
        <w:tc>
          <w:tcPr>
            <w:tcW w:w="960" w:type="dxa"/>
            <w:tcBorders>
              <w:top w:val="nil"/>
              <w:left w:val="nil"/>
              <w:bottom w:val="nil"/>
              <w:right w:val="nil"/>
            </w:tcBorders>
            <w:shd w:val="clear" w:color="auto" w:fill="auto"/>
            <w:vAlign w:val="center"/>
            <w:hideMark/>
          </w:tcPr>
          <w:p w:rsidR="003E7ED2" w:rsidRPr="003E7ED2" w:rsidRDefault="003E7ED2" w:rsidP="003E7ED2">
            <w:pPr>
              <w:jc w:val="right"/>
              <w:rPr>
                <w:sz w:val="20"/>
              </w:rPr>
            </w:pPr>
            <w:r w:rsidRPr="003E7ED2">
              <w:rPr>
                <w:sz w:val="20"/>
              </w:rPr>
              <w:t>81 363</w:t>
            </w:r>
          </w:p>
        </w:tc>
        <w:tc>
          <w:tcPr>
            <w:tcW w:w="1184" w:type="dxa"/>
            <w:tcBorders>
              <w:top w:val="nil"/>
              <w:left w:val="nil"/>
              <w:bottom w:val="nil"/>
              <w:right w:val="nil"/>
            </w:tcBorders>
            <w:shd w:val="clear" w:color="auto" w:fill="auto"/>
            <w:vAlign w:val="center"/>
            <w:hideMark/>
          </w:tcPr>
          <w:p w:rsidR="003E7ED2" w:rsidRPr="003E7ED2" w:rsidRDefault="003E7ED2" w:rsidP="003E7ED2">
            <w:pPr>
              <w:jc w:val="right"/>
              <w:rPr>
                <w:color w:val="000000"/>
                <w:sz w:val="20"/>
              </w:rPr>
            </w:pPr>
            <w:r w:rsidRPr="003E7ED2">
              <w:rPr>
                <w:color w:val="000000"/>
                <w:sz w:val="20"/>
              </w:rPr>
              <w:t>92,8%</w:t>
            </w:r>
          </w:p>
        </w:tc>
        <w:tc>
          <w:tcPr>
            <w:tcW w:w="1040" w:type="dxa"/>
            <w:tcBorders>
              <w:top w:val="nil"/>
              <w:left w:val="nil"/>
              <w:bottom w:val="nil"/>
              <w:right w:val="nil"/>
            </w:tcBorders>
            <w:shd w:val="clear" w:color="auto" w:fill="auto"/>
            <w:vAlign w:val="center"/>
            <w:hideMark/>
          </w:tcPr>
          <w:p w:rsidR="003E7ED2" w:rsidRPr="003E7ED2" w:rsidRDefault="003E7ED2" w:rsidP="003E7ED2">
            <w:pPr>
              <w:jc w:val="right"/>
              <w:rPr>
                <w:color w:val="000000"/>
                <w:sz w:val="20"/>
              </w:rPr>
            </w:pPr>
            <w:r w:rsidRPr="003E7ED2">
              <w:rPr>
                <w:color w:val="000000"/>
                <w:sz w:val="20"/>
              </w:rPr>
              <w:t>98,0%</w:t>
            </w:r>
          </w:p>
        </w:tc>
      </w:tr>
      <w:tr w:rsidR="003E7ED2" w:rsidRPr="003E7ED2" w:rsidTr="003E7ED2">
        <w:trPr>
          <w:trHeight w:val="255"/>
          <w:jc w:val="center"/>
        </w:trPr>
        <w:tc>
          <w:tcPr>
            <w:tcW w:w="3420" w:type="dxa"/>
            <w:tcBorders>
              <w:top w:val="nil"/>
              <w:left w:val="nil"/>
              <w:bottom w:val="nil"/>
              <w:right w:val="nil"/>
            </w:tcBorders>
            <w:shd w:val="clear" w:color="auto" w:fill="auto"/>
            <w:vAlign w:val="center"/>
            <w:hideMark/>
          </w:tcPr>
          <w:p w:rsidR="003E7ED2" w:rsidRPr="003E7ED2" w:rsidRDefault="003E7ED2" w:rsidP="003E7ED2">
            <w:pPr>
              <w:jc w:val="left"/>
              <w:rPr>
                <w:sz w:val="22"/>
                <w:szCs w:val="22"/>
              </w:rPr>
            </w:pPr>
            <w:r w:rsidRPr="003E7ED2">
              <w:rPr>
                <w:sz w:val="22"/>
                <w:szCs w:val="22"/>
              </w:rPr>
              <w:t>Vízilabda Akadémia</w:t>
            </w:r>
          </w:p>
        </w:tc>
        <w:tc>
          <w:tcPr>
            <w:tcW w:w="1116" w:type="dxa"/>
            <w:tcBorders>
              <w:top w:val="nil"/>
              <w:left w:val="nil"/>
              <w:bottom w:val="nil"/>
              <w:right w:val="nil"/>
            </w:tcBorders>
            <w:shd w:val="clear" w:color="auto" w:fill="auto"/>
            <w:vAlign w:val="center"/>
            <w:hideMark/>
          </w:tcPr>
          <w:p w:rsidR="003E7ED2" w:rsidRPr="003E7ED2" w:rsidRDefault="003E7ED2" w:rsidP="003E7ED2">
            <w:pPr>
              <w:jc w:val="center"/>
              <w:rPr>
                <w:color w:val="000000"/>
                <w:sz w:val="22"/>
                <w:szCs w:val="22"/>
              </w:rPr>
            </w:pPr>
            <w:r w:rsidRPr="003E7ED2">
              <w:rPr>
                <w:color w:val="000000"/>
                <w:sz w:val="22"/>
                <w:szCs w:val="22"/>
              </w:rPr>
              <w:t>eFt</w:t>
            </w:r>
          </w:p>
        </w:tc>
        <w:tc>
          <w:tcPr>
            <w:tcW w:w="940" w:type="dxa"/>
            <w:tcBorders>
              <w:top w:val="nil"/>
              <w:left w:val="nil"/>
              <w:bottom w:val="nil"/>
              <w:right w:val="nil"/>
            </w:tcBorders>
            <w:shd w:val="clear" w:color="auto" w:fill="auto"/>
            <w:vAlign w:val="center"/>
            <w:hideMark/>
          </w:tcPr>
          <w:p w:rsidR="003E7ED2" w:rsidRPr="003E7ED2" w:rsidRDefault="003E7ED2" w:rsidP="003E7ED2">
            <w:pPr>
              <w:jc w:val="right"/>
              <w:rPr>
                <w:sz w:val="20"/>
              </w:rPr>
            </w:pPr>
            <w:r w:rsidRPr="003E7ED2">
              <w:rPr>
                <w:sz w:val="20"/>
              </w:rPr>
              <w:t>36 877</w:t>
            </w:r>
          </w:p>
        </w:tc>
        <w:tc>
          <w:tcPr>
            <w:tcW w:w="960" w:type="dxa"/>
            <w:tcBorders>
              <w:top w:val="nil"/>
              <w:left w:val="nil"/>
              <w:bottom w:val="nil"/>
              <w:right w:val="nil"/>
            </w:tcBorders>
            <w:shd w:val="clear" w:color="auto" w:fill="auto"/>
            <w:noWrap/>
            <w:vAlign w:val="bottom"/>
            <w:hideMark/>
          </w:tcPr>
          <w:p w:rsidR="003E7ED2" w:rsidRPr="003E7ED2" w:rsidRDefault="003E7ED2" w:rsidP="003E7ED2">
            <w:pPr>
              <w:jc w:val="right"/>
              <w:rPr>
                <w:sz w:val="20"/>
              </w:rPr>
            </w:pPr>
            <w:r w:rsidRPr="003E7ED2">
              <w:rPr>
                <w:sz w:val="20"/>
              </w:rPr>
              <w:t>32 505</w:t>
            </w:r>
          </w:p>
        </w:tc>
        <w:tc>
          <w:tcPr>
            <w:tcW w:w="960" w:type="dxa"/>
            <w:tcBorders>
              <w:top w:val="nil"/>
              <w:left w:val="nil"/>
              <w:bottom w:val="nil"/>
              <w:right w:val="nil"/>
            </w:tcBorders>
            <w:shd w:val="clear" w:color="auto" w:fill="auto"/>
            <w:vAlign w:val="center"/>
            <w:hideMark/>
          </w:tcPr>
          <w:p w:rsidR="003E7ED2" w:rsidRPr="003E7ED2" w:rsidRDefault="003E7ED2" w:rsidP="003E7ED2">
            <w:pPr>
              <w:jc w:val="right"/>
              <w:rPr>
                <w:sz w:val="20"/>
              </w:rPr>
            </w:pPr>
            <w:r w:rsidRPr="003E7ED2">
              <w:rPr>
                <w:sz w:val="20"/>
              </w:rPr>
              <w:t>15 372</w:t>
            </w:r>
          </w:p>
        </w:tc>
        <w:tc>
          <w:tcPr>
            <w:tcW w:w="1184" w:type="dxa"/>
            <w:tcBorders>
              <w:top w:val="nil"/>
              <w:left w:val="nil"/>
              <w:bottom w:val="nil"/>
              <w:right w:val="nil"/>
            </w:tcBorders>
            <w:shd w:val="clear" w:color="auto" w:fill="auto"/>
            <w:vAlign w:val="center"/>
            <w:hideMark/>
          </w:tcPr>
          <w:p w:rsidR="003E7ED2" w:rsidRPr="003E7ED2" w:rsidRDefault="003E7ED2" w:rsidP="003E7ED2">
            <w:pPr>
              <w:jc w:val="right"/>
              <w:rPr>
                <w:color w:val="000000"/>
                <w:sz w:val="20"/>
              </w:rPr>
            </w:pPr>
            <w:r w:rsidRPr="003E7ED2">
              <w:rPr>
                <w:color w:val="000000"/>
                <w:sz w:val="20"/>
              </w:rPr>
              <w:t>47,3%</w:t>
            </w:r>
          </w:p>
        </w:tc>
        <w:tc>
          <w:tcPr>
            <w:tcW w:w="1040" w:type="dxa"/>
            <w:tcBorders>
              <w:top w:val="nil"/>
              <w:left w:val="nil"/>
              <w:bottom w:val="nil"/>
              <w:right w:val="nil"/>
            </w:tcBorders>
            <w:shd w:val="clear" w:color="auto" w:fill="auto"/>
            <w:vAlign w:val="center"/>
            <w:hideMark/>
          </w:tcPr>
          <w:p w:rsidR="003E7ED2" w:rsidRPr="003E7ED2" w:rsidRDefault="003E7ED2" w:rsidP="003E7ED2">
            <w:pPr>
              <w:jc w:val="right"/>
              <w:rPr>
                <w:color w:val="000000"/>
                <w:sz w:val="20"/>
              </w:rPr>
            </w:pPr>
            <w:r w:rsidRPr="003E7ED2">
              <w:rPr>
                <w:color w:val="000000"/>
                <w:sz w:val="20"/>
              </w:rPr>
              <w:t>41,7%</w:t>
            </w:r>
          </w:p>
        </w:tc>
      </w:tr>
      <w:tr w:rsidR="003E7ED2" w:rsidRPr="003E7ED2" w:rsidTr="003E7ED2">
        <w:trPr>
          <w:trHeight w:val="270"/>
          <w:jc w:val="center"/>
        </w:trPr>
        <w:tc>
          <w:tcPr>
            <w:tcW w:w="3420" w:type="dxa"/>
            <w:tcBorders>
              <w:top w:val="nil"/>
              <w:left w:val="nil"/>
              <w:bottom w:val="single" w:sz="8" w:space="0" w:color="auto"/>
              <w:right w:val="nil"/>
            </w:tcBorders>
            <w:shd w:val="clear" w:color="auto" w:fill="auto"/>
            <w:noWrap/>
            <w:vAlign w:val="center"/>
            <w:hideMark/>
          </w:tcPr>
          <w:p w:rsidR="003E7ED2" w:rsidRPr="003E7ED2" w:rsidRDefault="003E7ED2" w:rsidP="003E7ED2">
            <w:pPr>
              <w:jc w:val="left"/>
              <w:rPr>
                <w:color w:val="000000"/>
                <w:sz w:val="22"/>
                <w:szCs w:val="22"/>
              </w:rPr>
            </w:pPr>
            <w:r w:rsidRPr="003E7ED2">
              <w:rPr>
                <w:color w:val="000000"/>
                <w:sz w:val="22"/>
                <w:szCs w:val="22"/>
              </w:rPr>
              <w:t>Fürdő eszközhasznosítás</w:t>
            </w:r>
          </w:p>
        </w:tc>
        <w:tc>
          <w:tcPr>
            <w:tcW w:w="1116" w:type="dxa"/>
            <w:tcBorders>
              <w:top w:val="nil"/>
              <w:left w:val="nil"/>
              <w:bottom w:val="single" w:sz="8" w:space="0" w:color="auto"/>
              <w:right w:val="nil"/>
            </w:tcBorders>
            <w:shd w:val="clear" w:color="auto" w:fill="auto"/>
            <w:vAlign w:val="center"/>
            <w:hideMark/>
          </w:tcPr>
          <w:p w:rsidR="003E7ED2" w:rsidRPr="003E7ED2" w:rsidRDefault="003E7ED2" w:rsidP="003E7ED2">
            <w:pPr>
              <w:jc w:val="center"/>
              <w:rPr>
                <w:color w:val="000000"/>
                <w:sz w:val="22"/>
                <w:szCs w:val="22"/>
              </w:rPr>
            </w:pPr>
            <w:r w:rsidRPr="003E7ED2">
              <w:rPr>
                <w:color w:val="000000"/>
                <w:sz w:val="22"/>
                <w:szCs w:val="22"/>
              </w:rPr>
              <w:t>eFt</w:t>
            </w:r>
          </w:p>
        </w:tc>
        <w:tc>
          <w:tcPr>
            <w:tcW w:w="940" w:type="dxa"/>
            <w:tcBorders>
              <w:top w:val="nil"/>
              <w:left w:val="nil"/>
              <w:bottom w:val="single" w:sz="8" w:space="0" w:color="auto"/>
              <w:right w:val="nil"/>
            </w:tcBorders>
            <w:shd w:val="clear" w:color="auto" w:fill="auto"/>
            <w:vAlign w:val="center"/>
            <w:hideMark/>
          </w:tcPr>
          <w:p w:rsidR="003E7ED2" w:rsidRPr="003E7ED2" w:rsidRDefault="003E7ED2" w:rsidP="003E7ED2">
            <w:pPr>
              <w:jc w:val="right"/>
              <w:rPr>
                <w:sz w:val="20"/>
              </w:rPr>
            </w:pPr>
            <w:r w:rsidRPr="003E7ED2">
              <w:rPr>
                <w:sz w:val="20"/>
              </w:rPr>
              <w:t>6 876</w:t>
            </w:r>
          </w:p>
        </w:tc>
        <w:tc>
          <w:tcPr>
            <w:tcW w:w="960" w:type="dxa"/>
            <w:tcBorders>
              <w:top w:val="nil"/>
              <w:left w:val="nil"/>
              <w:bottom w:val="single" w:sz="8" w:space="0" w:color="auto"/>
              <w:right w:val="nil"/>
            </w:tcBorders>
            <w:shd w:val="clear" w:color="auto" w:fill="auto"/>
            <w:noWrap/>
            <w:vAlign w:val="bottom"/>
            <w:hideMark/>
          </w:tcPr>
          <w:p w:rsidR="003E7ED2" w:rsidRPr="003E7ED2" w:rsidRDefault="003E7ED2" w:rsidP="003E7ED2">
            <w:pPr>
              <w:jc w:val="right"/>
              <w:rPr>
                <w:sz w:val="20"/>
              </w:rPr>
            </w:pPr>
            <w:r w:rsidRPr="003E7ED2">
              <w:rPr>
                <w:sz w:val="20"/>
              </w:rPr>
              <w:t>6 923</w:t>
            </w:r>
          </w:p>
        </w:tc>
        <w:tc>
          <w:tcPr>
            <w:tcW w:w="960" w:type="dxa"/>
            <w:tcBorders>
              <w:top w:val="nil"/>
              <w:left w:val="nil"/>
              <w:bottom w:val="single" w:sz="8" w:space="0" w:color="auto"/>
              <w:right w:val="nil"/>
            </w:tcBorders>
            <w:shd w:val="clear" w:color="auto" w:fill="auto"/>
            <w:vAlign w:val="center"/>
            <w:hideMark/>
          </w:tcPr>
          <w:p w:rsidR="003E7ED2" w:rsidRPr="003E7ED2" w:rsidRDefault="003E7ED2" w:rsidP="003E7ED2">
            <w:pPr>
              <w:jc w:val="right"/>
              <w:rPr>
                <w:sz w:val="20"/>
              </w:rPr>
            </w:pPr>
            <w:r w:rsidRPr="003E7ED2">
              <w:rPr>
                <w:sz w:val="20"/>
              </w:rPr>
              <w:t>8 244</w:t>
            </w:r>
          </w:p>
        </w:tc>
        <w:tc>
          <w:tcPr>
            <w:tcW w:w="1184" w:type="dxa"/>
            <w:tcBorders>
              <w:top w:val="nil"/>
              <w:left w:val="nil"/>
              <w:bottom w:val="single" w:sz="8" w:space="0" w:color="auto"/>
              <w:right w:val="nil"/>
            </w:tcBorders>
            <w:shd w:val="clear" w:color="auto" w:fill="auto"/>
            <w:vAlign w:val="center"/>
            <w:hideMark/>
          </w:tcPr>
          <w:p w:rsidR="003E7ED2" w:rsidRPr="003E7ED2" w:rsidRDefault="003E7ED2" w:rsidP="003E7ED2">
            <w:pPr>
              <w:jc w:val="right"/>
              <w:rPr>
                <w:color w:val="000000"/>
                <w:sz w:val="20"/>
              </w:rPr>
            </w:pPr>
            <w:r w:rsidRPr="003E7ED2">
              <w:rPr>
                <w:color w:val="000000"/>
                <w:sz w:val="20"/>
              </w:rPr>
              <w:t>119,1%</w:t>
            </w:r>
          </w:p>
        </w:tc>
        <w:tc>
          <w:tcPr>
            <w:tcW w:w="1040" w:type="dxa"/>
            <w:tcBorders>
              <w:top w:val="nil"/>
              <w:left w:val="nil"/>
              <w:bottom w:val="single" w:sz="8" w:space="0" w:color="auto"/>
              <w:right w:val="nil"/>
            </w:tcBorders>
            <w:shd w:val="clear" w:color="auto" w:fill="auto"/>
            <w:vAlign w:val="center"/>
            <w:hideMark/>
          </w:tcPr>
          <w:p w:rsidR="003E7ED2" w:rsidRPr="003E7ED2" w:rsidRDefault="003E7ED2" w:rsidP="003E7ED2">
            <w:pPr>
              <w:jc w:val="right"/>
              <w:rPr>
                <w:color w:val="000000"/>
                <w:sz w:val="20"/>
              </w:rPr>
            </w:pPr>
            <w:r w:rsidRPr="003E7ED2">
              <w:rPr>
                <w:color w:val="000000"/>
                <w:sz w:val="20"/>
              </w:rPr>
              <w:t>119,9%</w:t>
            </w:r>
          </w:p>
        </w:tc>
      </w:tr>
      <w:tr w:rsidR="003E7ED2" w:rsidRPr="003E7ED2" w:rsidTr="003E7ED2">
        <w:trPr>
          <w:trHeight w:val="255"/>
          <w:jc w:val="center"/>
        </w:trPr>
        <w:tc>
          <w:tcPr>
            <w:tcW w:w="3420" w:type="dxa"/>
            <w:tcBorders>
              <w:top w:val="nil"/>
              <w:left w:val="nil"/>
              <w:bottom w:val="nil"/>
              <w:right w:val="nil"/>
            </w:tcBorders>
            <w:shd w:val="clear" w:color="auto" w:fill="auto"/>
            <w:noWrap/>
            <w:vAlign w:val="center"/>
            <w:hideMark/>
          </w:tcPr>
          <w:p w:rsidR="003E7ED2" w:rsidRPr="003E7ED2" w:rsidRDefault="003E7ED2" w:rsidP="003E7ED2">
            <w:pPr>
              <w:jc w:val="left"/>
              <w:rPr>
                <w:bCs/>
                <w:i/>
                <w:color w:val="000000"/>
                <w:sz w:val="22"/>
                <w:szCs w:val="22"/>
              </w:rPr>
            </w:pPr>
            <w:r w:rsidRPr="003E7ED2">
              <w:rPr>
                <w:bCs/>
                <w:i/>
                <w:color w:val="000000"/>
                <w:sz w:val="22"/>
                <w:szCs w:val="22"/>
              </w:rPr>
              <w:t>Fürdőkomplexum összesen</w:t>
            </w:r>
          </w:p>
        </w:tc>
        <w:tc>
          <w:tcPr>
            <w:tcW w:w="1116" w:type="dxa"/>
            <w:tcBorders>
              <w:top w:val="nil"/>
              <w:left w:val="nil"/>
              <w:bottom w:val="nil"/>
              <w:right w:val="nil"/>
            </w:tcBorders>
            <w:shd w:val="clear" w:color="auto" w:fill="auto"/>
            <w:noWrap/>
            <w:vAlign w:val="center"/>
            <w:hideMark/>
          </w:tcPr>
          <w:p w:rsidR="003E7ED2" w:rsidRPr="003E7ED2" w:rsidRDefault="003E7ED2" w:rsidP="003E7ED2">
            <w:pPr>
              <w:jc w:val="center"/>
              <w:rPr>
                <w:bCs/>
                <w:i/>
                <w:color w:val="000000"/>
                <w:sz w:val="22"/>
                <w:szCs w:val="22"/>
              </w:rPr>
            </w:pPr>
            <w:r w:rsidRPr="003E7ED2">
              <w:rPr>
                <w:bCs/>
                <w:i/>
                <w:color w:val="000000"/>
                <w:sz w:val="22"/>
                <w:szCs w:val="22"/>
              </w:rPr>
              <w:t>eFt</w:t>
            </w:r>
          </w:p>
        </w:tc>
        <w:tc>
          <w:tcPr>
            <w:tcW w:w="940" w:type="dxa"/>
            <w:tcBorders>
              <w:top w:val="nil"/>
              <w:left w:val="nil"/>
              <w:bottom w:val="nil"/>
              <w:right w:val="nil"/>
            </w:tcBorders>
            <w:shd w:val="clear" w:color="auto" w:fill="auto"/>
            <w:vAlign w:val="center"/>
            <w:hideMark/>
          </w:tcPr>
          <w:p w:rsidR="003E7ED2" w:rsidRPr="003E7ED2" w:rsidRDefault="003E7ED2" w:rsidP="003E7ED2">
            <w:pPr>
              <w:jc w:val="right"/>
              <w:rPr>
                <w:b/>
                <w:sz w:val="20"/>
              </w:rPr>
            </w:pPr>
            <w:r w:rsidRPr="003E7ED2">
              <w:rPr>
                <w:b/>
                <w:sz w:val="20"/>
              </w:rPr>
              <w:t>126 798</w:t>
            </w:r>
          </w:p>
        </w:tc>
        <w:tc>
          <w:tcPr>
            <w:tcW w:w="960" w:type="dxa"/>
            <w:tcBorders>
              <w:top w:val="nil"/>
              <w:left w:val="nil"/>
              <w:bottom w:val="nil"/>
              <w:right w:val="nil"/>
            </w:tcBorders>
            <w:shd w:val="clear" w:color="auto" w:fill="auto"/>
            <w:vAlign w:val="center"/>
            <w:hideMark/>
          </w:tcPr>
          <w:p w:rsidR="003E7ED2" w:rsidRPr="003E7ED2" w:rsidRDefault="003E7ED2" w:rsidP="003E7ED2">
            <w:pPr>
              <w:jc w:val="right"/>
              <w:rPr>
                <w:b/>
                <w:sz w:val="20"/>
              </w:rPr>
            </w:pPr>
            <w:r w:rsidRPr="003E7ED2">
              <w:rPr>
                <w:b/>
                <w:sz w:val="20"/>
              </w:rPr>
              <w:t>127 058</w:t>
            </w:r>
          </w:p>
        </w:tc>
        <w:tc>
          <w:tcPr>
            <w:tcW w:w="960" w:type="dxa"/>
            <w:tcBorders>
              <w:top w:val="nil"/>
              <w:left w:val="nil"/>
              <w:bottom w:val="nil"/>
              <w:right w:val="nil"/>
            </w:tcBorders>
            <w:shd w:val="clear" w:color="auto" w:fill="auto"/>
            <w:vAlign w:val="center"/>
            <w:hideMark/>
          </w:tcPr>
          <w:p w:rsidR="003E7ED2" w:rsidRPr="003E7ED2" w:rsidRDefault="003E7ED2" w:rsidP="003E7ED2">
            <w:pPr>
              <w:jc w:val="right"/>
              <w:rPr>
                <w:b/>
                <w:sz w:val="20"/>
              </w:rPr>
            </w:pPr>
            <w:r w:rsidRPr="003E7ED2">
              <w:rPr>
                <w:b/>
                <w:sz w:val="20"/>
              </w:rPr>
              <w:t>104 979</w:t>
            </w:r>
          </w:p>
        </w:tc>
        <w:tc>
          <w:tcPr>
            <w:tcW w:w="1184" w:type="dxa"/>
            <w:tcBorders>
              <w:top w:val="nil"/>
              <w:left w:val="nil"/>
              <w:bottom w:val="nil"/>
              <w:right w:val="nil"/>
            </w:tcBorders>
            <w:shd w:val="clear" w:color="auto" w:fill="auto"/>
            <w:vAlign w:val="center"/>
            <w:hideMark/>
          </w:tcPr>
          <w:p w:rsidR="003E7ED2" w:rsidRPr="003E7ED2" w:rsidRDefault="003E7ED2" w:rsidP="003E7ED2">
            <w:pPr>
              <w:jc w:val="right"/>
              <w:rPr>
                <w:b/>
                <w:bCs/>
                <w:color w:val="000000"/>
                <w:sz w:val="20"/>
              </w:rPr>
            </w:pPr>
            <w:r w:rsidRPr="003E7ED2">
              <w:rPr>
                <w:b/>
                <w:bCs/>
                <w:color w:val="000000"/>
                <w:sz w:val="20"/>
              </w:rPr>
              <w:t>82,6%</w:t>
            </w:r>
          </w:p>
        </w:tc>
        <w:tc>
          <w:tcPr>
            <w:tcW w:w="1040" w:type="dxa"/>
            <w:tcBorders>
              <w:top w:val="nil"/>
              <w:left w:val="nil"/>
              <w:bottom w:val="nil"/>
              <w:right w:val="nil"/>
            </w:tcBorders>
            <w:shd w:val="clear" w:color="auto" w:fill="auto"/>
            <w:vAlign w:val="center"/>
            <w:hideMark/>
          </w:tcPr>
          <w:p w:rsidR="003E7ED2" w:rsidRPr="003E7ED2" w:rsidRDefault="003E7ED2" w:rsidP="003E7ED2">
            <w:pPr>
              <w:jc w:val="right"/>
              <w:rPr>
                <w:b/>
                <w:bCs/>
                <w:color w:val="000000"/>
                <w:sz w:val="20"/>
              </w:rPr>
            </w:pPr>
            <w:r w:rsidRPr="003E7ED2">
              <w:rPr>
                <w:b/>
                <w:bCs/>
                <w:color w:val="000000"/>
                <w:sz w:val="20"/>
              </w:rPr>
              <w:t>82,8%</w:t>
            </w:r>
          </w:p>
        </w:tc>
      </w:tr>
    </w:tbl>
    <w:p w:rsidR="003E7ED2" w:rsidRPr="004069E4" w:rsidRDefault="003E7ED2" w:rsidP="003E7ED2">
      <w:pPr>
        <w:ind w:right="-108"/>
        <w:rPr>
          <w:i/>
          <w:sz w:val="16"/>
          <w:szCs w:val="16"/>
        </w:rPr>
      </w:pPr>
    </w:p>
    <w:p w:rsidR="003E7ED2" w:rsidRPr="003E7ED2" w:rsidRDefault="003E7ED2" w:rsidP="003E7ED2">
      <w:pPr>
        <w:widowControl w:val="0"/>
        <w:autoSpaceDE w:val="0"/>
        <w:autoSpaceDN w:val="0"/>
        <w:ind w:right="34"/>
        <w:rPr>
          <w:szCs w:val="24"/>
          <w:lang w:eastAsia="ar-SA"/>
        </w:rPr>
      </w:pPr>
      <w:r w:rsidRPr="003E7ED2">
        <w:rPr>
          <w:szCs w:val="24"/>
          <w:lang w:eastAsia="ar-SA"/>
        </w:rPr>
        <w:t>A fürdővendégek száma 2022. évben 168 948 fő volt. A 2019. év hasonló időszak 172 184 fő belépéséhez képest 3 236 fővel (98,1%) kevesebb a regisztrált fizető vendégszám.</w:t>
      </w:r>
    </w:p>
    <w:p w:rsidR="003E7ED2" w:rsidRPr="003E7ED2" w:rsidRDefault="003E7ED2" w:rsidP="003E7ED2">
      <w:pPr>
        <w:pStyle w:val="Szvegtrzs3"/>
        <w:tabs>
          <w:tab w:val="left" w:pos="426"/>
          <w:tab w:val="right" w:pos="3969"/>
          <w:tab w:val="right" w:pos="5387"/>
          <w:tab w:val="right" w:pos="6804"/>
          <w:tab w:val="right" w:pos="8080"/>
        </w:tabs>
        <w:ind w:right="34"/>
        <w:rPr>
          <w:sz w:val="12"/>
          <w:szCs w:val="12"/>
        </w:rPr>
      </w:pPr>
    </w:p>
    <w:p w:rsidR="003E7ED2" w:rsidRPr="003E7ED2" w:rsidRDefault="003E7ED2" w:rsidP="003E7ED2">
      <w:pPr>
        <w:jc w:val="left"/>
        <w:rPr>
          <w:szCs w:val="24"/>
        </w:rPr>
      </w:pPr>
    </w:p>
    <w:p w:rsidR="003E7ED2" w:rsidRPr="009942A7" w:rsidRDefault="003E7ED2" w:rsidP="009942A7">
      <w:pPr>
        <w:rPr>
          <w:szCs w:val="24"/>
        </w:rPr>
      </w:pPr>
      <w:r w:rsidRPr="009942A7">
        <w:rPr>
          <w:b/>
          <w:i/>
          <w:iCs/>
          <w:szCs w:val="24"/>
        </w:rPr>
        <w:t xml:space="preserve">A megrendelésre végzett építőipari tevékenység </w:t>
      </w:r>
      <w:r w:rsidRPr="009942A7">
        <w:rPr>
          <w:i/>
          <w:iCs/>
          <w:szCs w:val="24"/>
        </w:rPr>
        <w:t xml:space="preserve">árbevétele </w:t>
      </w:r>
      <w:r w:rsidR="00D2421D" w:rsidRPr="009942A7">
        <w:rPr>
          <w:iCs/>
          <w:szCs w:val="24"/>
        </w:rPr>
        <w:t>867 642</w:t>
      </w:r>
      <w:r w:rsidRPr="009942A7">
        <w:rPr>
          <w:iCs/>
          <w:szCs w:val="24"/>
        </w:rPr>
        <w:t xml:space="preserve"> eFt, </w:t>
      </w:r>
      <w:r w:rsidRPr="009942A7">
        <w:rPr>
          <w:bCs/>
          <w:szCs w:val="24"/>
        </w:rPr>
        <w:t xml:space="preserve">a tervezettnél </w:t>
      </w:r>
      <w:r w:rsidR="00541E8E" w:rsidRPr="009942A7">
        <w:rPr>
          <w:bCs/>
          <w:szCs w:val="24"/>
        </w:rPr>
        <w:t>1</w:t>
      </w:r>
      <w:r w:rsidRPr="009942A7">
        <w:rPr>
          <w:bCs/>
          <w:szCs w:val="24"/>
        </w:rPr>
        <w:t xml:space="preserve">8,4 %-kal, </w:t>
      </w:r>
      <w:r w:rsidRPr="009942A7">
        <w:rPr>
          <w:bCs/>
          <w:szCs w:val="24"/>
        </w:rPr>
        <w:br/>
        <w:t xml:space="preserve">195 669 eFt-tal alacsonyabb. </w:t>
      </w:r>
      <w:r w:rsidRPr="009942A7">
        <w:rPr>
          <w:iCs/>
          <w:szCs w:val="24"/>
        </w:rPr>
        <w:t>2020. évtől a törvényi változások miatt a befejezetlen építőipari munkák értékét az árbevételek között kell kimutatni, ennek értéke 2022. évben 19 332 eFt</w:t>
      </w:r>
      <w:r w:rsidR="00D62AA4" w:rsidRPr="009942A7">
        <w:rPr>
          <w:iCs/>
          <w:szCs w:val="24"/>
        </w:rPr>
        <w:t>,</w:t>
      </w:r>
      <w:r w:rsidRPr="009942A7">
        <w:rPr>
          <w:iCs/>
          <w:szCs w:val="24"/>
        </w:rPr>
        <w:t xml:space="preserve"> am</w:t>
      </w:r>
      <w:r w:rsidR="00D62AA4" w:rsidRPr="009942A7">
        <w:rPr>
          <w:iCs/>
          <w:szCs w:val="24"/>
        </w:rPr>
        <w:t>ely</w:t>
      </w:r>
      <w:r w:rsidRPr="009942A7">
        <w:rPr>
          <w:iCs/>
          <w:szCs w:val="24"/>
        </w:rPr>
        <w:t xml:space="preserve"> része az árbevételnek.</w:t>
      </w:r>
    </w:p>
    <w:p w:rsidR="004069E4" w:rsidRDefault="003E7ED2" w:rsidP="009942A7">
      <w:pPr>
        <w:ind w:right="34"/>
        <w:rPr>
          <w:szCs w:val="24"/>
        </w:rPr>
      </w:pPr>
      <w:r w:rsidRPr="009942A7">
        <w:rPr>
          <w:szCs w:val="24"/>
        </w:rPr>
        <w:t>A munkák részletezése a VII. Építőipari te</w:t>
      </w:r>
      <w:r w:rsidR="00E35D32" w:rsidRPr="009942A7">
        <w:rPr>
          <w:szCs w:val="24"/>
        </w:rPr>
        <w:t>vékenység fejezetben található.</w:t>
      </w:r>
    </w:p>
    <w:p w:rsidR="004069E4" w:rsidRDefault="004069E4">
      <w:pPr>
        <w:jc w:val="left"/>
        <w:rPr>
          <w:szCs w:val="24"/>
        </w:rPr>
      </w:pPr>
      <w:r>
        <w:rPr>
          <w:szCs w:val="24"/>
        </w:rPr>
        <w:br w:type="page"/>
      </w:r>
    </w:p>
    <w:p w:rsidR="00D80322" w:rsidRPr="009942A7" w:rsidRDefault="00D80322" w:rsidP="009942A7">
      <w:pPr>
        <w:ind w:right="34"/>
        <w:rPr>
          <w:szCs w:val="24"/>
        </w:rPr>
      </w:pPr>
    </w:p>
    <w:p w:rsidR="003E7ED2" w:rsidRPr="003E7ED2" w:rsidRDefault="00541E8E" w:rsidP="003E7ED2">
      <w:pPr>
        <w:ind w:right="34"/>
        <w:jc w:val="center"/>
        <w:rPr>
          <w:szCs w:val="24"/>
        </w:rPr>
      </w:pPr>
      <w:r>
        <w:rPr>
          <w:noProof/>
        </w:rPr>
        <w:drawing>
          <wp:inline distT="0" distB="0" distL="0" distR="0" wp14:anchorId="427BC5CE" wp14:editId="17E2D8F3">
            <wp:extent cx="4191610" cy="2991917"/>
            <wp:effectExtent l="0" t="0" r="0" b="18415"/>
            <wp:docPr id="38" name="Diagram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D80322" w:rsidRPr="004069E4" w:rsidRDefault="00D80322" w:rsidP="00D80322">
      <w:pPr>
        <w:ind w:right="176"/>
        <w:rPr>
          <w:iCs/>
          <w:sz w:val="12"/>
          <w:szCs w:val="12"/>
        </w:rPr>
      </w:pPr>
    </w:p>
    <w:p w:rsidR="003E7ED2" w:rsidRPr="003E7ED2" w:rsidRDefault="003E7ED2" w:rsidP="00D80322">
      <w:pPr>
        <w:ind w:right="176"/>
        <w:rPr>
          <w:szCs w:val="23"/>
        </w:rPr>
      </w:pPr>
      <w:r w:rsidRPr="003E7ED2">
        <w:rPr>
          <w:iCs/>
        </w:rPr>
        <w:t xml:space="preserve">A befejezetlen építőipari munkák értékét az árbevételek között kell kimutatni, ennek értéke 2022. évben 19 332 eFt. </w:t>
      </w:r>
    </w:p>
    <w:p w:rsidR="003E7ED2" w:rsidRPr="003E7ED2" w:rsidRDefault="003E7ED2" w:rsidP="00D80322">
      <w:pPr>
        <w:tabs>
          <w:tab w:val="right" w:pos="8789"/>
        </w:tabs>
        <w:ind w:right="176"/>
        <w:rPr>
          <w:szCs w:val="24"/>
        </w:rPr>
      </w:pPr>
      <w:r w:rsidRPr="003E7ED2">
        <w:rPr>
          <w:szCs w:val="23"/>
        </w:rPr>
        <w:t xml:space="preserve">2022. évben az </w:t>
      </w:r>
      <w:r w:rsidRPr="003E7ED2">
        <w:rPr>
          <w:i/>
          <w:szCs w:val="23"/>
        </w:rPr>
        <w:t xml:space="preserve">önkormányzati víziközművek </w:t>
      </w:r>
      <w:r w:rsidRPr="003E7ED2">
        <w:rPr>
          <w:i/>
          <w:szCs w:val="24"/>
        </w:rPr>
        <w:t xml:space="preserve">elrendelt </w:t>
      </w:r>
      <w:r w:rsidRPr="003E7ED2">
        <w:rPr>
          <w:i/>
          <w:szCs w:val="23"/>
        </w:rPr>
        <w:t>építési-szerelési munkáinak</w:t>
      </w:r>
      <w:r w:rsidRPr="003E7ED2">
        <w:rPr>
          <w:szCs w:val="23"/>
        </w:rPr>
        <w:t xml:space="preserve"> </w:t>
      </w:r>
      <w:r w:rsidRPr="003E7ED2">
        <w:rPr>
          <w:szCs w:val="24"/>
        </w:rPr>
        <w:t xml:space="preserve">értéke </w:t>
      </w:r>
      <w:r w:rsidRPr="003E7ED2">
        <w:rPr>
          <w:szCs w:val="24"/>
        </w:rPr>
        <w:br/>
        <w:t>803 086 eFt,</w:t>
      </w:r>
      <w:r w:rsidRPr="003E7ED2">
        <w:rPr>
          <w:szCs w:val="23"/>
        </w:rPr>
        <w:t xml:space="preserve"> e</w:t>
      </w:r>
      <w:r w:rsidRPr="003E7ED2">
        <w:rPr>
          <w:szCs w:val="24"/>
        </w:rPr>
        <w:t xml:space="preserve">bből a vizsgált időszakban leszámlázott munkák bevétele 476 506 eFt. </w:t>
      </w:r>
    </w:p>
    <w:p w:rsidR="003E7ED2" w:rsidRPr="003E7ED2" w:rsidRDefault="003E7ED2" w:rsidP="00D80322">
      <w:pPr>
        <w:tabs>
          <w:tab w:val="right" w:pos="8789"/>
        </w:tabs>
        <w:ind w:right="176"/>
        <w:rPr>
          <w:szCs w:val="24"/>
        </w:rPr>
      </w:pPr>
      <w:r w:rsidRPr="003E7ED2">
        <w:rPr>
          <w:i/>
          <w:iCs/>
          <w:szCs w:val="23"/>
        </w:rPr>
        <w:t>Egyéb megrendelésekre végzett építés árbevétele</w:t>
      </w:r>
      <w:r w:rsidRPr="003E7ED2">
        <w:rPr>
          <w:szCs w:val="23"/>
        </w:rPr>
        <w:t xml:space="preserve"> 371 804 eFt (3. tábla), amely összeg a víz- és csatornabekötésekkel összefüggő munkák árbevételét és az egyéb megrendelésre </w:t>
      </w:r>
      <w:r w:rsidRPr="003E7ED2">
        <w:rPr>
          <w:iCs/>
          <w:szCs w:val="23"/>
        </w:rPr>
        <w:t xml:space="preserve">(nem a víziközmű eszközök használati díja terhére) </w:t>
      </w:r>
      <w:r w:rsidRPr="003E7ED2">
        <w:rPr>
          <w:szCs w:val="23"/>
        </w:rPr>
        <w:t xml:space="preserve">végzett építőipari munkák árbevételét tartalmazza. </w:t>
      </w:r>
    </w:p>
    <w:p w:rsidR="003E7ED2" w:rsidRPr="003E7ED2" w:rsidRDefault="003E7ED2" w:rsidP="00D80322">
      <w:pPr>
        <w:ind w:right="176"/>
        <w:rPr>
          <w:bCs/>
          <w:szCs w:val="23"/>
        </w:rPr>
      </w:pPr>
    </w:p>
    <w:p w:rsidR="003E7ED2" w:rsidRPr="003E7ED2" w:rsidRDefault="003E7ED2" w:rsidP="00D80322">
      <w:pPr>
        <w:pStyle w:val="Szvegtrzs3"/>
        <w:tabs>
          <w:tab w:val="left" w:pos="426"/>
          <w:tab w:val="right" w:pos="3969"/>
          <w:tab w:val="right" w:pos="5387"/>
          <w:tab w:val="right" w:pos="6804"/>
          <w:tab w:val="right" w:pos="8080"/>
        </w:tabs>
        <w:ind w:right="176"/>
        <w:rPr>
          <w:szCs w:val="24"/>
        </w:rPr>
      </w:pPr>
      <w:r w:rsidRPr="003E7ED2">
        <w:rPr>
          <w:b/>
          <w:i/>
          <w:szCs w:val="24"/>
        </w:rPr>
        <w:t xml:space="preserve">Alaptevékenységhez kapcsolódó egyéb tevékenységek </w:t>
      </w:r>
      <w:r w:rsidRPr="003E7ED2">
        <w:rPr>
          <w:i/>
          <w:szCs w:val="24"/>
        </w:rPr>
        <w:t>árbevétele</w:t>
      </w:r>
      <w:r w:rsidRPr="003E7ED2">
        <w:rPr>
          <w:szCs w:val="24"/>
        </w:rPr>
        <w:t xml:space="preserve"> 7,9 %-kal haladta meg a tervezettet, értéke 101 332 eFt.</w:t>
      </w:r>
    </w:p>
    <w:p w:rsidR="003E7ED2" w:rsidRPr="004069E4" w:rsidRDefault="003E7ED2" w:rsidP="003E7ED2">
      <w:pPr>
        <w:pStyle w:val="Szvegtrzs3"/>
        <w:tabs>
          <w:tab w:val="left" w:pos="426"/>
          <w:tab w:val="right" w:pos="3969"/>
          <w:tab w:val="right" w:pos="5387"/>
          <w:tab w:val="right" w:pos="6804"/>
          <w:tab w:val="right" w:pos="8080"/>
        </w:tabs>
        <w:ind w:right="34"/>
        <w:rPr>
          <w:sz w:val="12"/>
          <w:szCs w:val="12"/>
        </w:rPr>
      </w:pPr>
    </w:p>
    <w:p w:rsidR="003E7ED2" w:rsidRPr="003E7ED2" w:rsidRDefault="003E7ED2" w:rsidP="003E7ED2">
      <w:pPr>
        <w:pStyle w:val="Szvegtrzs3"/>
        <w:tabs>
          <w:tab w:val="left" w:pos="426"/>
          <w:tab w:val="right" w:pos="3969"/>
          <w:tab w:val="right" w:pos="5387"/>
          <w:tab w:val="right" w:pos="6804"/>
          <w:tab w:val="right" w:pos="8080"/>
        </w:tabs>
        <w:ind w:right="34"/>
        <w:jc w:val="center"/>
        <w:rPr>
          <w:szCs w:val="24"/>
        </w:rPr>
      </w:pPr>
      <w:r w:rsidRPr="003E7ED2">
        <w:rPr>
          <w:noProof/>
        </w:rPr>
        <w:lastRenderedPageBreak/>
        <w:drawing>
          <wp:inline distT="0" distB="0" distL="0" distR="0" wp14:anchorId="7CD8337B" wp14:editId="0D3BF883">
            <wp:extent cx="5724525" cy="3248025"/>
            <wp:effectExtent l="0" t="0" r="9525" b="9525"/>
            <wp:docPr id="6" name="Diagram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3E7ED2" w:rsidRPr="004069E4" w:rsidRDefault="003E7ED2" w:rsidP="003E7ED2">
      <w:pPr>
        <w:pStyle w:val="Szvegtrzs3"/>
        <w:tabs>
          <w:tab w:val="left" w:pos="426"/>
          <w:tab w:val="right" w:pos="3969"/>
          <w:tab w:val="right" w:pos="5387"/>
          <w:tab w:val="right" w:pos="6804"/>
          <w:tab w:val="right" w:pos="8080"/>
        </w:tabs>
        <w:ind w:right="34"/>
        <w:rPr>
          <w:sz w:val="12"/>
          <w:szCs w:val="12"/>
        </w:rPr>
      </w:pPr>
    </w:p>
    <w:p w:rsidR="004069E4" w:rsidRDefault="00541E8E" w:rsidP="00D80322">
      <w:pPr>
        <w:ind w:right="34"/>
        <w:rPr>
          <w:szCs w:val="24"/>
        </w:rPr>
      </w:pPr>
      <w:r>
        <w:rPr>
          <w:szCs w:val="24"/>
        </w:rPr>
        <w:t xml:space="preserve">A </w:t>
      </w:r>
      <w:r w:rsidR="003E7ED2" w:rsidRPr="003E7ED2">
        <w:rPr>
          <w:szCs w:val="24"/>
        </w:rPr>
        <w:t xml:space="preserve">legjelentősebb tétele a megrendelésre végzett </w:t>
      </w:r>
      <w:r w:rsidR="003E7ED2" w:rsidRPr="003E7ED2">
        <w:rPr>
          <w:i/>
          <w:szCs w:val="24"/>
        </w:rPr>
        <w:t>laborvizsgálatok árbevétele</w:t>
      </w:r>
      <w:r w:rsidR="003E7ED2" w:rsidRPr="003E7ED2">
        <w:rPr>
          <w:szCs w:val="24"/>
        </w:rPr>
        <w:t>, 49 060 eFt, 25,8 %-kal magasabb a tervezettnél. Az egyéni megkeresések száma nőtt a használatbavételi engedélyek kapcsán, valamint a</w:t>
      </w:r>
      <w:r w:rsidR="002E0375">
        <w:rPr>
          <w:szCs w:val="24"/>
        </w:rPr>
        <w:t>z üzemeltetett ivóvíz- és szennyvíz</w:t>
      </w:r>
      <w:r w:rsidR="003E7ED2" w:rsidRPr="003E7ED2">
        <w:rPr>
          <w:szCs w:val="24"/>
        </w:rPr>
        <w:t>rendszerek fejlesztésével kapcsolatos beruházások próbaüzemei során vett mintaszámok is jelentősek voltak (Magyarszombatfa, Őriszentpéter és Répcelak).</w:t>
      </w:r>
    </w:p>
    <w:p w:rsidR="004069E4" w:rsidRDefault="004069E4">
      <w:pPr>
        <w:jc w:val="left"/>
        <w:rPr>
          <w:szCs w:val="24"/>
        </w:rPr>
      </w:pPr>
      <w:r>
        <w:rPr>
          <w:szCs w:val="24"/>
        </w:rPr>
        <w:br w:type="page"/>
      </w:r>
    </w:p>
    <w:p w:rsidR="003E7ED2" w:rsidRDefault="003E7ED2" w:rsidP="00D80322">
      <w:pPr>
        <w:pStyle w:val="Szvegtrzs3"/>
        <w:tabs>
          <w:tab w:val="left" w:pos="426"/>
          <w:tab w:val="right" w:pos="3969"/>
          <w:tab w:val="right" w:pos="5387"/>
          <w:tab w:val="right" w:pos="6804"/>
          <w:tab w:val="right" w:pos="8080"/>
        </w:tabs>
        <w:ind w:right="34"/>
        <w:rPr>
          <w:szCs w:val="24"/>
        </w:rPr>
      </w:pPr>
    </w:p>
    <w:p w:rsidR="004069E4" w:rsidRPr="003E7ED2" w:rsidRDefault="004069E4" w:rsidP="00D80322">
      <w:pPr>
        <w:pStyle w:val="Szvegtrzs3"/>
        <w:tabs>
          <w:tab w:val="left" w:pos="426"/>
          <w:tab w:val="right" w:pos="3969"/>
          <w:tab w:val="right" w:pos="5387"/>
          <w:tab w:val="right" w:pos="6804"/>
          <w:tab w:val="right" w:pos="8080"/>
        </w:tabs>
        <w:ind w:right="34"/>
        <w:rPr>
          <w:szCs w:val="24"/>
        </w:rPr>
      </w:pPr>
    </w:p>
    <w:p w:rsidR="003E7ED2" w:rsidRPr="003E7ED2" w:rsidRDefault="003E7ED2" w:rsidP="00D80322">
      <w:pPr>
        <w:pStyle w:val="Szvegtrzs3"/>
        <w:tabs>
          <w:tab w:val="left" w:pos="426"/>
          <w:tab w:val="right" w:pos="3969"/>
          <w:tab w:val="right" w:pos="5387"/>
          <w:tab w:val="right" w:pos="6804"/>
          <w:tab w:val="right" w:pos="8080"/>
        </w:tabs>
        <w:ind w:right="34"/>
        <w:rPr>
          <w:szCs w:val="24"/>
        </w:rPr>
      </w:pPr>
      <w:r w:rsidRPr="003E7ED2">
        <w:rPr>
          <w:b/>
          <w:i/>
          <w:szCs w:val="24"/>
        </w:rPr>
        <w:t xml:space="preserve">Alaptevékenységen kívüli egyéb tevékenységek </w:t>
      </w:r>
      <w:r w:rsidRPr="003E7ED2">
        <w:rPr>
          <w:i/>
          <w:szCs w:val="24"/>
        </w:rPr>
        <w:t>árbevétele</w:t>
      </w:r>
      <w:r w:rsidRPr="003E7ED2">
        <w:rPr>
          <w:szCs w:val="24"/>
        </w:rPr>
        <w:t xml:space="preserve"> 312 264 eFt, amely 44,7 %-kal, 96 505 eFt-tal haladta meg a tervezettet. </w:t>
      </w:r>
    </w:p>
    <w:p w:rsidR="003E7ED2" w:rsidRPr="003E7ED2" w:rsidRDefault="003E7ED2" w:rsidP="00D80322">
      <w:pPr>
        <w:pStyle w:val="Szvegtrzs3"/>
        <w:tabs>
          <w:tab w:val="left" w:pos="426"/>
          <w:tab w:val="right" w:pos="3969"/>
          <w:tab w:val="right" w:pos="5387"/>
          <w:tab w:val="right" w:pos="6804"/>
          <w:tab w:val="right" w:pos="8080"/>
        </w:tabs>
        <w:ind w:right="34"/>
        <w:rPr>
          <w:szCs w:val="24"/>
        </w:rPr>
      </w:pPr>
      <w:r w:rsidRPr="003E7ED2">
        <w:rPr>
          <w:szCs w:val="24"/>
        </w:rPr>
        <w:t xml:space="preserve">Meghatározó tétele a </w:t>
      </w:r>
      <w:r w:rsidRPr="003E7ED2">
        <w:rPr>
          <w:i/>
          <w:szCs w:val="24"/>
        </w:rPr>
        <w:t>bérbe adott eszközökből származó bevétel</w:t>
      </w:r>
      <w:r w:rsidRPr="003E7ED2">
        <w:rPr>
          <w:szCs w:val="24"/>
        </w:rPr>
        <w:t>,</w:t>
      </w:r>
      <w:r w:rsidRPr="003E7ED2">
        <w:rPr>
          <w:bCs/>
          <w:color w:val="8496B0"/>
          <w:szCs w:val="23"/>
        </w:rPr>
        <w:t xml:space="preserve"> </w:t>
      </w:r>
      <w:r w:rsidRPr="003E7ED2">
        <w:rPr>
          <w:szCs w:val="24"/>
        </w:rPr>
        <w:t xml:space="preserve">amely ezen tevékenységeken belül </w:t>
      </w:r>
      <w:r w:rsidR="00450E1A">
        <w:rPr>
          <w:szCs w:val="24"/>
        </w:rPr>
        <w:t xml:space="preserve">   </w:t>
      </w:r>
      <w:r w:rsidRPr="003E7ED2">
        <w:rPr>
          <w:szCs w:val="24"/>
        </w:rPr>
        <w:t>54 %-ot tesz ki, mértéke 168 529 eFt.</w:t>
      </w:r>
    </w:p>
    <w:p w:rsidR="003E7ED2" w:rsidRPr="003E7ED2" w:rsidRDefault="003E7ED2" w:rsidP="00D80322">
      <w:pPr>
        <w:ind w:right="34"/>
        <w:rPr>
          <w:bCs/>
          <w:szCs w:val="23"/>
        </w:rPr>
      </w:pPr>
      <w:r w:rsidRPr="003E7ED2">
        <w:rPr>
          <w:bCs/>
          <w:szCs w:val="23"/>
        </w:rPr>
        <w:t xml:space="preserve">A tervhez és a bázisidőszakhoz képest is kiugróan magas értéket mutat </w:t>
      </w:r>
      <w:r w:rsidRPr="003E7ED2">
        <w:rPr>
          <w:bCs/>
          <w:i/>
          <w:szCs w:val="23"/>
        </w:rPr>
        <w:t>az idegen megrendelésre végzett</w:t>
      </w:r>
      <w:r w:rsidRPr="003E7ED2">
        <w:rPr>
          <w:bCs/>
          <w:szCs w:val="23"/>
        </w:rPr>
        <w:t xml:space="preserve"> </w:t>
      </w:r>
      <w:r w:rsidRPr="003E7ED2">
        <w:rPr>
          <w:bCs/>
          <w:i/>
          <w:szCs w:val="23"/>
        </w:rPr>
        <w:t>szolgáltatás</w:t>
      </w:r>
      <w:r w:rsidRPr="003E7ED2">
        <w:rPr>
          <w:bCs/>
          <w:szCs w:val="23"/>
        </w:rPr>
        <w:t xml:space="preserve"> értéke</w:t>
      </w:r>
      <w:r w:rsidR="00541E8E">
        <w:rPr>
          <w:bCs/>
          <w:szCs w:val="23"/>
        </w:rPr>
        <w:t xml:space="preserve">, amely tartalmazza Szombathely-Kőszeg </w:t>
      </w:r>
      <w:r w:rsidR="00D80322">
        <w:rPr>
          <w:bCs/>
          <w:szCs w:val="23"/>
        </w:rPr>
        <w:t>ivóvíz ellátási,</w:t>
      </w:r>
      <w:r w:rsidR="00541E8E">
        <w:rPr>
          <w:bCs/>
          <w:szCs w:val="23"/>
        </w:rPr>
        <w:t xml:space="preserve"> illetve a Szombathely-Kőszeg </w:t>
      </w:r>
      <w:r w:rsidR="00D80322">
        <w:rPr>
          <w:bCs/>
          <w:szCs w:val="23"/>
        </w:rPr>
        <w:t>s</w:t>
      </w:r>
      <w:r w:rsidR="00541E8E">
        <w:rPr>
          <w:bCs/>
          <w:szCs w:val="23"/>
        </w:rPr>
        <w:t>zennyvízelvezetési és –tisztítási rendszer vagyonértékelésének díját.</w:t>
      </w:r>
    </w:p>
    <w:p w:rsidR="003E7ED2" w:rsidRPr="003E7ED2" w:rsidRDefault="003E7ED2" w:rsidP="00D80322">
      <w:pPr>
        <w:ind w:right="34"/>
        <w:rPr>
          <w:szCs w:val="24"/>
        </w:rPr>
      </w:pPr>
      <w:r w:rsidRPr="003E7ED2">
        <w:rPr>
          <w:szCs w:val="24"/>
        </w:rPr>
        <w:t xml:space="preserve">Az </w:t>
      </w:r>
      <w:r w:rsidRPr="003E7ED2">
        <w:rPr>
          <w:i/>
          <w:szCs w:val="24"/>
        </w:rPr>
        <w:t>anyagértékesítés bevétele</w:t>
      </w:r>
      <w:r w:rsidRPr="003E7ED2">
        <w:rPr>
          <w:szCs w:val="24"/>
        </w:rPr>
        <w:t xml:space="preserve"> 50 223 mFt, amely általában kisebb anyagértékesítésből, selejtezésekből származó fémhulladék értékesítéséből ered. 2022. évben tartalmazza az Északi iparterületen végzett munkák anyagfelhasználásának továbbszámlázását.</w:t>
      </w:r>
    </w:p>
    <w:p w:rsidR="003E7ED2" w:rsidRDefault="003E7ED2" w:rsidP="00D80322">
      <w:pPr>
        <w:pStyle w:val="Szvegtrzs3"/>
        <w:tabs>
          <w:tab w:val="left" w:pos="426"/>
          <w:tab w:val="right" w:pos="3969"/>
          <w:tab w:val="right" w:pos="5387"/>
          <w:tab w:val="right" w:pos="6804"/>
          <w:tab w:val="right" w:pos="8080"/>
        </w:tabs>
        <w:ind w:right="34"/>
        <w:rPr>
          <w:szCs w:val="24"/>
        </w:rPr>
      </w:pPr>
      <w:r w:rsidRPr="003E7ED2">
        <w:rPr>
          <w:i/>
          <w:szCs w:val="24"/>
        </w:rPr>
        <w:t>Az alaptevékenységen kívüli egyéb szolgáltatások</w:t>
      </w:r>
      <w:r w:rsidRPr="003E7ED2">
        <w:rPr>
          <w:szCs w:val="24"/>
        </w:rPr>
        <w:t xml:space="preserve"> árbevétele 11 739 eFt.</w:t>
      </w:r>
    </w:p>
    <w:p w:rsidR="004069E4" w:rsidRPr="003E7ED2" w:rsidRDefault="004069E4" w:rsidP="00D80322">
      <w:pPr>
        <w:pStyle w:val="Szvegtrzs3"/>
        <w:tabs>
          <w:tab w:val="left" w:pos="426"/>
          <w:tab w:val="right" w:pos="3969"/>
          <w:tab w:val="right" w:pos="5387"/>
          <w:tab w:val="right" w:pos="6804"/>
          <w:tab w:val="right" w:pos="8080"/>
        </w:tabs>
        <w:ind w:right="34"/>
        <w:rPr>
          <w:szCs w:val="24"/>
        </w:rPr>
      </w:pPr>
    </w:p>
    <w:p w:rsidR="003E7ED2" w:rsidRPr="003E7ED2" w:rsidRDefault="003E7ED2" w:rsidP="003E7ED2">
      <w:pPr>
        <w:pStyle w:val="Szvegtrzs3"/>
        <w:tabs>
          <w:tab w:val="left" w:pos="426"/>
          <w:tab w:val="right" w:pos="3969"/>
          <w:tab w:val="right" w:pos="5387"/>
          <w:tab w:val="right" w:pos="6804"/>
          <w:tab w:val="right" w:pos="8080"/>
        </w:tabs>
        <w:ind w:right="34"/>
        <w:jc w:val="center"/>
        <w:rPr>
          <w:szCs w:val="24"/>
        </w:rPr>
      </w:pPr>
      <w:r w:rsidRPr="003E7ED2">
        <w:rPr>
          <w:noProof/>
        </w:rPr>
        <w:drawing>
          <wp:inline distT="0" distB="0" distL="0" distR="0" wp14:anchorId="50B972C2" wp14:editId="75746D04">
            <wp:extent cx="5419725" cy="2828925"/>
            <wp:effectExtent l="0" t="0" r="9525" b="9525"/>
            <wp:docPr id="13" name="Diagram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3E7ED2" w:rsidRPr="003E7ED2" w:rsidRDefault="003E7ED2" w:rsidP="003E7ED2">
      <w:pPr>
        <w:pStyle w:val="Szvegtrzs3"/>
        <w:tabs>
          <w:tab w:val="left" w:pos="426"/>
          <w:tab w:val="right" w:pos="3969"/>
          <w:tab w:val="right" w:pos="5387"/>
          <w:tab w:val="right" w:pos="6804"/>
          <w:tab w:val="right" w:pos="8080"/>
        </w:tabs>
        <w:ind w:right="34"/>
        <w:rPr>
          <w:szCs w:val="24"/>
        </w:rPr>
      </w:pPr>
    </w:p>
    <w:p w:rsidR="003E7ED2" w:rsidRPr="003E7ED2" w:rsidRDefault="003E7ED2" w:rsidP="003E7ED2">
      <w:pPr>
        <w:pStyle w:val="Szvegtrzs3"/>
        <w:tabs>
          <w:tab w:val="left" w:pos="426"/>
          <w:tab w:val="right" w:pos="3969"/>
          <w:tab w:val="right" w:pos="5387"/>
          <w:tab w:val="right" w:pos="6804"/>
          <w:tab w:val="right" w:pos="8080"/>
        </w:tabs>
        <w:ind w:right="34"/>
        <w:rPr>
          <w:szCs w:val="24"/>
        </w:rPr>
      </w:pPr>
    </w:p>
    <w:p w:rsidR="003E7ED2" w:rsidRPr="003E7ED2" w:rsidRDefault="003E7ED2" w:rsidP="003E7ED2">
      <w:pPr>
        <w:tabs>
          <w:tab w:val="left" w:pos="426"/>
          <w:tab w:val="right" w:pos="3969"/>
          <w:tab w:val="right" w:pos="5387"/>
          <w:tab w:val="right" w:pos="6804"/>
          <w:tab w:val="right" w:pos="8080"/>
        </w:tabs>
        <w:rPr>
          <w:sz w:val="23"/>
          <w:szCs w:val="23"/>
        </w:rPr>
      </w:pPr>
      <w:r w:rsidRPr="003E7ED2">
        <w:rPr>
          <w:b/>
          <w:i/>
          <w:sz w:val="23"/>
          <w:szCs w:val="23"/>
        </w:rPr>
        <w:t xml:space="preserve">Exportértékesítés </w:t>
      </w:r>
      <w:r w:rsidRPr="003E7ED2">
        <w:rPr>
          <w:b/>
          <w:bCs/>
          <w:i/>
          <w:iCs/>
          <w:sz w:val="23"/>
          <w:szCs w:val="23"/>
        </w:rPr>
        <w:t>árbevétele</w:t>
      </w:r>
      <w:r w:rsidRPr="003E7ED2">
        <w:rPr>
          <w:bCs/>
          <w:sz w:val="23"/>
          <w:szCs w:val="23"/>
        </w:rPr>
        <w:t xml:space="preserve"> </w:t>
      </w:r>
      <w:r w:rsidRPr="003E7ED2">
        <w:t>a Magyarországról származó szennyvízből a jennersdorfi szennyvíztisztítás során keletkező szennyvíziszap visszaszállításának fuvarköltségét tartalmazza, amelyet az osztrák fél megtérít. 2022. évben az engedélyeztetési eljárás elhúzódása miatt ilyen jellegű árbevételünk nem volt.</w:t>
      </w:r>
    </w:p>
    <w:p w:rsidR="003E7ED2" w:rsidRPr="003E7ED2" w:rsidRDefault="003E7ED2" w:rsidP="003E7ED2">
      <w:pPr>
        <w:jc w:val="left"/>
        <w:rPr>
          <w:sz w:val="23"/>
          <w:szCs w:val="23"/>
        </w:rPr>
      </w:pPr>
    </w:p>
    <w:p w:rsidR="004069E4" w:rsidRDefault="003E7ED2" w:rsidP="003E7ED2">
      <w:pPr>
        <w:jc w:val="left"/>
        <w:rPr>
          <w:szCs w:val="24"/>
        </w:rPr>
      </w:pPr>
      <w:r w:rsidRPr="003E7ED2">
        <w:rPr>
          <w:b/>
          <w:i/>
          <w:szCs w:val="24"/>
        </w:rPr>
        <w:t>Egyéb bevételek</w:t>
      </w:r>
      <w:r w:rsidR="00541E8E">
        <w:rPr>
          <w:szCs w:val="24"/>
        </w:rPr>
        <w:t xml:space="preserve"> 408 599 eFt, 138 163 eFt-tal</w:t>
      </w:r>
      <w:r w:rsidRPr="003E7ED2">
        <w:rPr>
          <w:szCs w:val="24"/>
        </w:rPr>
        <w:t>, 51,1%-kal magasabb összegben teljesültek a tervhez képest.</w:t>
      </w:r>
    </w:p>
    <w:p w:rsidR="004069E4" w:rsidRDefault="004069E4">
      <w:pPr>
        <w:jc w:val="left"/>
        <w:rPr>
          <w:szCs w:val="24"/>
        </w:rPr>
      </w:pPr>
      <w:r>
        <w:rPr>
          <w:szCs w:val="24"/>
        </w:rPr>
        <w:lastRenderedPageBreak/>
        <w:br w:type="page"/>
      </w:r>
    </w:p>
    <w:p w:rsidR="003E7ED2" w:rsidRPr="003E7ED2" w:rsidRDefault="003E7ED2" w:rsidP="003E7ED2">
      <w:pPr>
        <w:tabs>
          <w:tab w:val="center" w:pos="9356"/>
        </w:tabs>
        <w:ind w:right="34"/>
        <w:rPr>
          <w:i/>
          <w:szCs w:val="24"/>
        </w:rPr>
      </w:pPr>
    </w:p>
    <w:p w:rsidR="003E7ED2" w:rsidRPr="003E7ED2" w:rsidRDefault="003E7ED2" w:rsidP="003E7ED2">
      <w:pPr>
        <w:tabs>
          <w:tab w:val="center" w:pos="9356"/>
        </w:tabs>
        <w:ind w:right="34"/>
        <w:rPr>
          <w:i/>
          <w:szCs w:val="24"/>
        </w:rPr>
      </w:pPr>
      <w:r w:rsidRPr="003E7ED2">
        <w:rPr>
          <w:noProof/>
        </w:rPr>
        <w:drawing>
          <wp:inline distT="0" distB="0" distL="0" distR="0" wp14:anchorId="0E872BEA" wp14:editId="72AC746A">
            <wp:extent cx="6153150" cy="3229610"/>
            <wp:effectExtent l="0" t="0" r="0" b="8890"/>
            <wp:docPr id="14" name="Diagram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3E7ED2" w:rsidRPr="003E7ED2" w:rsidRDefault="003E7ED2" w:rsidP="003E7ED2">
      <w:pPr>
        <w:tabs>
          <w:tab w:val="center" w:pos="9356"/>
        </w:tabs>
        <w:ind w:right="34"/>
        <w:rPr>
          <w:i/>
          <w:szCs w:val="24"/>
        </w:rPr>
      </w:pPr>
    </w:p>
    <w:p w:rsidR="003E7ED2" w:rsidRPr="003E7ED2" w:rsidRDefault="003E7ED2" w:rsidP="003E7ED2">
      <w:pPr>
        <w:rPr>
          <w:szCs w:val="24"/>
        </w:rPr>
      </w:pPr>
      <w:r w:rsidRPr="003E7ED2">
        <w:rPr>
          <w:i/>
          <w:szCs w:val="24"/>
        </w:rPr>
        <w:t>Tárgyi eszköz értékesítés</w:t>
      </w:r>
      <w:r w:rsidRPr="003E7ED2">
        <w:rPr>
          <w:szCs w:val="24"/>
        </w:rPr>
        <w:t xml:space="preserve"> árbevétele 56 322 eFt, mely tartalmazza a büki ingatlan eladásának értékét. </w:t>
      </w:r>
    </w:p>
    <w:p w:rsidR="003E7ED2" w:rsidRPr="003E7ED2" w:rsidRDefault="003E7ED2" w:rsidP="003E7ED2">
      <w:pPr>
        <w:tabs>
          <w:tab w:val="center" w:pos="9356"/>
        </w:tabs>
        <w:ind w:right="34"/>
        <w:rPr>
          <w:szCs w:val="24"/>
        </w:rPr>
      </w:pPr>
      <w:r w:rsidRPr="003E7ED2">
        <w:rPr>
          <w:i/>
          <w:szCs w:val="24"/>
        </w:rPr>
        <w:t>A kapott bírság, kamat</w:t>
      </w:r>
      <w:r w:rsidRPr="003E7ED2">
        <w:rPr>
          <w:szCs w:val="24"/>
        </w:rPr>
        <w:t xml:space="preserve"> összege 15 885 eFt, teljesítés 76,5 %. A kiugró teljesítés oka az építési munkákhoz kapcsolódó kötbérek kivetése. Üzletszabályzatunk tartalmazza kötbér-kivetési jogát. Azokra a felhasználókra, akik a szennyvízcsatornára a rákötést nem jelentették be, és ezt az ellenőrzés során feltártuk, a jogtalanul igénybe vett szolgáltatás értékét és a kötbért is ráterheljük. 2022. évben befolyt összeg 4 575 eFt.</w:t>
      </w:r>
    </w:p>
    <w:p w:rsidR="003E7ED2" w:rsidRPr="00541E8E" w:rsidRDefault="003E7ED2" w:rsidP="003E7ED2">
      <w:pPr>
        <w:tabs>
          <w:tab w:val="center" w:pos="9356"/>
        </w:tabs>
        <w:ind w:right="34"/>
        <w:rPr>
          <w:szCs w:val="24"/>
        </w:rPr>
      </w:pPr>
      <w:r w:rsidRPr="00541E8E">
        <w:rPr>
          <w:szCs w:val="24"/>
        </w:rPr>
        <w:t xml:space="preserve">2022. június 1-jétől bevezetésre került 40 EURO behajtási költségátalány, ezen a jogcímen befolyt összeg 2022.évben 23 991 eFt, mely az </w:t>
      </w:r>
      <w:r w:rsidRPr="00541E8E">
        <w:rPr>
          <w:i/>
          <w:szCs w:val="24"/>
        </w:rPr>
        <w:t>egyéb bevételek</w:t>
      </w:r>
      <w:r w:rsidRPr="00541E8E">
        <w:rPr>
          <w:szCs w:val="24"/>
        </w:rPr>
        <w:t xml:space="preserve"> között került elszámolásra</w:t>
      </w:r>
    </w:p>
    <w:p w:rsidR="003E7ED2" w:rsidRPr="00541E8E" w:rsidRDefault="003E7ED2" w:rsidP="003E7ED2">
      <w:pPr>
        <w:rPr>
          <w:kern w:val="3"/>
          <w:szCs w:val="24"/>
          <w:lang w:eastAsia="zh-CN"/>
        </w:rPr>
      </w:pPr>
      <w:r w:rsidRPr="00541E8E">
        <w:rPr>
          <w:szCs w:val="24"/>
        </w:rPr>
        <w:t>Az egyéb bevételek összegében az idei évben szerepel a korábbi évek során a Szombathely MJV Önkormányzata által az uszoda vesztesé</w:t>
      </w:r>
      <w:r w:rsidR="00450E1A">
        <w:rPr>
          <w:szCs w:val="24"/>
        </w:rPr>
        <w:t xml:space="preserve">g finanszírozására biztosított </w:t>
      </w:r>
      <w:r w:rsidRPr="00541E8E">
        <w:rPr>
          <w:szCs w:val="24"/>
        </w:rPr>
        <w:t xml:space="preserve">100 000 eFt </w:t>
      </w:r>
      <w:r w:rsidRPr="00541E8E">
        <w:rPr>
          <w:i/>
          <w:szCs w:val="24"/>
        </w:rPr>
        <w:t>támogatás</w:t>
      </w:r>
      <w:r w:rsidRPr="00541E8E">
        <w:rPr>
          <w:szCs w:val="24"/>
        </w:rPr>
        <w:t xml:space="preserve"> összege. Szintén ezen a soron szerepel </w:t>
      </w:r>
      <w:r w:rsidRPr="00541E8E">
        <w:rPr>
          <w:i/>
          <w:kern w:val="3"/>
          <w:szCs w:val="24"/>
          <w:lang w:eastAsia="zh-CN"/>
        </w:rPr>
        <w:t>az állam Szombathely MJV Önkormányzatán keresztül</w:t>
      </w:r>
      <w:r w:rsidRPr="00541E8E">
        <w:rPr>
          <w:kern w:val="3"/>
          <w:szCs w:val="24"/>
          <w:lang w:eastAsia="zh-CN"/>
        </w:rPr>
        <w:t xml:space="preserve"> az energiaárak emelkedéséből adódó finanszírozási problémák enyhítésére 2022. IV. negyedévre egyszeri, vissza nem térítendő 31 750 eFt támogatás. </w:t>
      </w:r>
    </w:p>
    <w:p w:rsidR="003E7ED2" w:rsidRPr="003E7ED2" w:rsidRDefault="003E7ED2" w:rsidP="003E7ED2">
      <w:pPr>
        <w:rPr>
          <w:szCs w:val="24"/>
        </w:rPr>
      </w:pPr>
      <w:r w:rsidRPr="003E7ED2">
        <w:rPr>
          <w:i/>
          <w:szCs w:val="24"/>
        </w:rPr>
        <w:t>Költségvetéstől kapott támogatás</w:t>
      </w:r>
      <w:r w:rsidRPr="003E7ED2">
        <w:rPr>
          <w:szCs w:val="24"/>
        </w:rPr>
        <w:t>, juttatás soron a bevétel az ivóvíz- és csatornaszolgáltatás állami költségvetési forrásból történő támogatására kiírt pályázaton elnyert összeg, 17 595 eFt. Hegyhátszentjakab, Őriszentpéter, Bajánsenye, Alsószölnök, Rádóckölked valamint Csörötnek önkormányzata nyújtotta be a szennyvízrendszerek településeinek lakossági víz- és csatornaszolgáltatása állami költségvetési forrásból történő támogatására.</w:t>
      </w:r>
    </w:p>
    <w:p w:rsidR="003E7ED2" w:rsidRDefault="003E7ED2" w:rsidP="003E7ED2">
      <w:pPr>
        <w:autoSpaceDN w:val="0"/>
        <w:textAlignment w:val="baseline"/>
        <w:rPr>
          <w:szCs w:val="24"/>
        </w:rPr>
      </w:pPr>
      <w:r w:rsidRPr="003E7ED2">
        <w:rPr>
          <w:szCs w:val="24"/>
        </w:rPr>
        <w:lastRenderedPageBreak/>
        <w:t xml:space="preserve">A KEHOP-2.1.7-19-2019-00017 </w:t>
      </w:r>
      <w:r w:rsidRPr="003E7ED2">
        <w:rPr>
          <w:i/>
          <w:szCs w:val="24"/>
        </w:rPr>
        <w:t>„Környezetvédelem és fenntarthatóság a víziközmű szolgáltatók életében a klímaváltozás árnyékában” pályázatot</w:t>
      </w:r>
      <w:r w:rsidRPr="003E7ED2">
        <w:rPr>
          <w:szCs w:val="24"/>
        </w:rPr>
        <w:t xml:space="preserve"> a Dél-Pest Megyei Víziközmű Szolgáltató Zrt-vel mint vezetővel és a MAVÍZ-zel konzorciumban nyújtottuk be. A pályázathoz kapcsolódóan </w:t>
      </w:r>
      <w:r w:rsidRPr="003E7ED2">
        <w:rPr>
          <w:szCs w:val="24"/>
        </w:rPr>
        <w:br/>
      </w:r>
      <w:r w:rsidRPr="003E7ED2">
        <w:rPr>
          <w:szCs w:val="56"/>
        </w:rPr>
        <w:t>2022. 12. 31-ig a VASIVÍZ ZRt. összesen négy elszámolást nyújtott be 33.804</w:t>
      </w:r>
      <w:r w:rsidR="00A13F4B">
        <w:rPr>
          <w:szCs w:val="56"/>
        </w:rPr>
        <w:t xml:space="preserve"> m</w:t>
      </w:r>
      <w:r w:rsidRPr="003E7ED2">
        <w:rPr>
          <w:szCs w:val="56"/>
        </w:rPr>
        <w:t xml:space="preserve">Ft értékben, </w:t>
      </w:r>
      <w:r w:rsidR="00A13F4B">
        <w:rPr>
          <w:szCs w:val="56"/>
        </w:rPr>
        <w:t>a</w:t>
      </w:r>
      <w:r w:rsidRPr="003E7ED2">
        <w:rPr>
          <w:szCs w:val="56"/>
        </w:rPr>
        <w:t>melyet hiánytalanul jóváhagytak és kiutalásra került</w:t>
      </w:r>
      <w:r w:rsidRPr="003E7ED2">
        <w:rPr>
          <w:szCs w:val="24"/>
        </w:rPr>
        <w:t>.</w:t>
      </w:r>
    </w:p>
    <w:p w:rsidR="003E7ED2" w:rsidRPr="003E7ED2" w:rsidRDefault="003E7ED2" w:rsidP="003E7ED2">
      <w:pPr>
        <w:pStyle w:val="Szvegtrzs3"/>
        <w:tabs>
          <w:tab w:val="left" w:pos="426"/>
          <w:tab w:val="right" w:pos="3969"/>
          <w:tab w:val="right" w:pos="5387"/>
          <w:tab w:val="right" w:pos="6804"/>
          <w:tab w:val="right" w:pos="8080"/>
        </w:tabs>
        <w:ind w:right="34"/>
        <w:rPr>
          <w:szCs w:val="24"/>
        </w:rPr>
      </w:pPr>
      <w:r w:rsidRPr="003E7ED2">
        <w:rPr>
          <w:i/>
          <w:szCs w:val="24"/>
        </w:rPr>
        <w:t>Értékvesztett követelésekre befolyt bevétel</w:t>
      </w:r>
      <w:r w:rsidRPr="003E7ED2">
        <w:rPr>
          <w:szCs w:val="24"/>
        </w:rPr>
        <w:t xml:space="preserve"> 32 502 eFt, ilyen címen bevételt nem terveztünk 2022.évre.</w:t>
      </w:r>
    </w:p>
    <w:p w:rsidR="003E7ED2" w:rsidRPr="003E7ED2" w:rsidRDefault="003E7ED2" w:rsidP="003E7ED2">
      <w:pPr>
        <w:tabs>
          <w:tab w:val="center" w:pos="9356"/>
        </w:tabs>
        <w:ind w:right="34"/>
        <w:rPr>
          <w:sz w:val="8"/>
          <w:szCs w:val="8"/>
        </w:rPr>
      </w:pPr>
      <w:r w:rsidRPr="003E7ED2">
        <w:rPr>
          <w:szCs w:val="24"/>
        </w:rPr>
        <w:t xml:space="preserve">A </w:t>
      </w:r>
      <w:r w:rsidRPr="003E7ED2">
        <w:rPr>
          <w:i/>
          <w:szCs w:val="24"/>
        </w:rPr>
        <w:t>csatornabírság</w:t>
      </w:r>
      <w:r w:rsidRPr="003E7ED2">
        <w:rPr>
          <w:szCs w:val="24"/>
        </w:rPr>
        <w:t xml:space="preserve"> összege 2022. évben 2 049 eFt. </w:t>
      </w:r>
    </w:p>
    <w:p w:rsidR="003E7ED2" w:rsidRPr="003E7ED2" w:rsidRDefault="003E7ED2" w:rsidP="003E7ED2">
      <w:pPr>
        <w:tabs>
          <w:tab w:val="center" w:pos="9356"/>
        </w:tabs>
        <w:ind w:right="34"/>
        <w:rPr>
          <w:szCs w:val="24"/>
        </w:rPr>
      </w:pPr>
      <w:r w:rsidRPr="003E7ED2">
        <w:rPr>
          <w:iCs/>
          <w:szCs w:val="24"/>
        </w:rPr>
        <w:t xml:space="preserve">A </w:t>
      </w:r>
      <w:r w:rsidRPr="003E7ED2">
        <w:rPr>
          <w:i/>
          <w:iCs/>
          <w:szCs w:val="24"/>
        </w:rPr>
        <w:t>sajátos, egyéb bevételek</w:t>
      </w:r>
      <w:r w:rsidR="00541E8E">
        <w:rPr>
          <w:iCs/>
          <w:szCs w:val="24"/>
        </w:rPr>
        <w:t xml:space="preserve"> értéke 2022</w:t>
      </w:r>
      <w:r w:rsidRPr="003E7ED2">
        <w:rPr>
          <w:iCs/>
          <w:szCs w:val="24"/>
        </w:rPr>
        <w:t>. évben 54 979 eFt. Itt kerül elszámolásra az önkormányzatoknak térítésmentesen átadott eszközök értéke.</w:t>
      </w:r>
      <w:r w:rsidRPr="003E7ED2">
        <w:rPr>
          <w:szCs w:val="24"/>
        </w:rPr>
        <w:t xml:space="preserve"> A Vksztv. rendelkezéseinek értelmében víziközmű vagyontárgy nem lehet a társaság tulajdonában, kivétel a rendszerfüggetlen elemek. </w:t>
      </w:r>
    </w:p>
    <w:p w:rsidR="004069E4" w:rsidRDefault="003E7ED2" w:rsidP="003E7ED2">
      <w:pPr>
        <w:tabs>
          <w:tab w:val="center" w:pos="9356"/>
        </w:tabs>
        <w:rPr>
          <w:szCs w:val="24"/>
        </w:rPr>
      </w:pPr>
      <w:r w:rsidRPr="003E7ED2">
        <w:rPr>
          <w:i/>
          <w:szCs w:val="24"/>
        </w:rPr>
        <w:t xml:space="preserve">Különféle egyéb bevétel: </w:t>
      </w:r>
      <w:r w:rsidRPr="003E7ED2">
        <w:rPr>
          <w:szCs w:val="24"/>
        </w:rPr>
        <w:t>a számviteli törvény előírásainak megfelelően az egyéb bevételek között kerül elszámolásra a fejlesztési célú átvett pénzeszközökből megvalósított beruházások amortizációjával megegyező bevétel, 2022. évben 20 134 eFt.</w:t>
      </w:r>
    </w:p>
    <w:p w:rsidR="004069E4" w:rsidRDefault="004069E4">
      <w:pPr>
        <w:jc w:val="left"/>
        <w:rPr>
          <w:szCs w:val="24"/>
        </w:rPr>
      </w:pPr>
      <w:r>
        <w:rPr>
          <w:szCs w:val="24"/>
        </w:rPr>
        <w:br w:type="page"/>
      </w:r>
    </w:p>
    <w:p w:rsidR="003E7ED2" w:rsidRPr="003E7ED2" w:rsidRDefault="003E7ED2" w:rsidP="003E7ED2">
      <w:pPr>
        <w:tabs>
          <w:tab w:val="center" w:pos="9356"/>
        </w:tabs>
        <w:rPr>
          <w:szCs w:val="24"/>
        </w:rPr>
      </w:pPr>
    </w:p>
    <w:p w:rsidR="003E7ED2" w:rsidRPr="003E7ED2" w:rsidRDefault="003E7ED2" w:rsidP="003E7ED2">
      <w:pPr>
        <w:jc w:val="left"/>
        <w:rPr>
          <w:i/>
          <w:szCs w:val="24"/>
        </w:rPr>
      </w:pPr>
    </w:p>
    <w:p w:rsidR="003E7ED2" w:rsidRPr="003E7ED2" w:rsidRDefault="003E7ED2" w:rsidP="003E7ED2">
      <w:pPr>
        <w:pStyle w:val="Szvegtrzs3"/>
        <w:tabs>
          <w:tab w:val="left" w:pos="426"/>
          <w:tab w:val="right" w:pos="3969"/>
          <w:tab w:val="right" w:pos="5387"/>
          <w:tab w:val="right" w:pos="6804"/>
          <w:tab w:val="right" w:pos="8080"/>
        </w:tabs>
        <w:ind w:right="34"/>
        <w:rPr>
          <w:szCs w:val="24"/>
        </w:rPr>
      </w:pPr>
      <w:r w:rsidRPr="003E7ED2">
        <w:rPr>
          <w:b/>
          <w:i/>
          <w:szCs w:val="24"/>
        </w:rPr>
        <w:t>Pénzügyi műveletek bevétele</w:t>
      </w:r>
      <w:r w:rsidRPr="003E7ED2">
        <w:rPr>
          <w:b/>
          <w:szCs w:val="24"/>
        </w:rPr>
        <w:t xml:space="preserve"> </w:t>
      </w:r>
      <w:r w:rsidRPr="003E7ED2">
        <w:rPr>
          <w:szCs w:val="24"/>
        </w:rPr>
        <w:t>73 195 eFt.  2022. évben a pénzügyi bevételek értéke a szabad pénzeszközök kamataiból származó 67 467 eFt bevételt és a devizában érkezett számla kiegyenlítésekor keletkezett 5 728 eFt árfolyamnyereséget. A kamatbevételek jelentős növekedése a jegybanki alapkamat emelkedéséből adódó betéti kamatok növekedésére vezethető vissza.</w:t>
      </w:r>
    </w:p>
    <w:p w:rsidR="003E7ED2" w:rsidRPr="003E7ED2" w:rsidRDefault="003E7ED2" w:rsidP="003E7ED2">
      <w:pPr>
        <w:pStyle w:val="Szvegtrzs3"/>
        <w:tabs>
          <w:tab w:val="left" w:pos="426"/>
          <w:tab w:val="right" w:pos="3969"/>
          <w:tab w:val="right" w:pos="5387"/>
          <w:tab w:val="right" w:pos="6804"/>
          <w:tab w:val="right" w:pos="8080"/>
        </w:tabs>
        <w:ind w:right="34"/>
        <w:rPr>
          <w:szCs w:val="24"/>
        </w:rPr>
      </w:pPr>
    </w:p>
    <w:p w:rsidR="003E7ED2" w:rsidRPr="003E7ED2" w:rsidRDefault="003E7ED2" w:rsidP="003E7ED2">
      <w:pPr>
        <w:pStyle w:val="Szvegtrzs3"/>
        <w:tabs>
          <w:tab w:val="left" w:pos="426"/>
          <w:tab w:val="right" w:pos="3969"/>
          <w:tab w:val="right" w:pos="5387"/>
          <w:tab w:val="right" w:pos="6804"/>
          <w:tab w:val="right" w:pos="8080"/>
        </w:tabs>
        <w:spacing w:after="120"/>
        <w:ind w:right="34"/>
        <w:rPr>
          <w:b/>
          <w:szCs w:val="24"/>
        </w:rPr>
      </w:pPr>
      <w:r w:rsidRPr="003E7ED2">
        <w:rPr>
          <w:b/>
          <w:szCs w:val="24"/>
        </w:rPr>
        <w:t>Az összes bevétel 8 277 211 eFt, amely 1,6 %-</w:t>
      </w:r>
      <w:r w:rsidR="00541E8E">
        <w:rPr>
          <w:b/>
          <w:szCs w:val="24"/>
        </w:rPr>
        <w:t>kal, 133 090 eFt-tal magasabb</w:t>
      </w:r>
      <w:r w:rsidRPr="003E7ED2">
        <w:rPr>
          <w:b/>
          <w:szCs w:val="24"/>
        </w:rPr>
        <w:t xml:space="preserve"> a tervezettnél.</w:t>
      </w:r>
    </w:p>
    <w:p w:rsidR="003E7ED2" w:rsidRPr="003E7ED2" w:rsidRDefault="003E7ED2" w:rsidP="003E7ED2">
      <w:pPr>
        <w:pStyle w:val="Szvegtrzs3"/>
        <w:tabs>
          <w:tab w:val="left" w:pos="426"/>
          <w:tab w:val="right" w:pos="3969"/>
          <w:tab w:val="right" w:pos="5387"/>
          <w:tab w:val="right" w:pos="6804"/>
          <w:tab w:val="right" w:pos="8080"/>
        </w:tabs>
        <w:spacing w:after="120"/>
        <w:ind w:right="34"/>
        <w:rPr>
          <w:b/>
          <w:szCs w:val="24"/>
        </w:rPr>
      </w:pPr>
    </w:p>
    <w:p w:rsidR="003E7ED2" w:rsidRPr="003E7ED2" w:rsidRDefault="003E7ED2" w:rsidP="003E7ED2">
      <w:pPr>
        <w:pStyle w:val="Cmsor1"/>
        <w:rPr>
          <w:sz w:val="26"/>
          <w:szCs w:val="26"/>
        </w:rPr>
      </w:pPr>
      <w:bookmarkStart w:id="77" w:name="_Toc132629506"/>
      <w:bookmarkStart w:id="78" w:name="_GoBack"/>
      <w:bookmarkEnd w:id="78"/>
      <w:r w:rsidRPr="003E7ED2">
        <w:rPr>
          <w:sz w:val="26"/>
          <w:szCs w:val="26"/>
        </w:rPr>
        <w:t>XI. Költségek, ráfordítások</w:t>
      </w:r>
      <w:bookmarkEnd w:id="77"/>
    </w:p>
    <w:p w:rsidR="003E7ED2" w:rsidRPr="003E7ED2" w:rsidRDefault="003E7ED2" w:rsidP="003E7ED2">
      <w:pPr>
        <w:pStyle w:val="xl36"/>
        <w:pBdr>
          <w:top w:val="none" w:sz="0" w:space="0" w:color="000000"/>
          <w:left w:val="none" w:sz="0" w:space="0" w:color="000000"/>
          <w:bottom w:val="none" w:sz="0" w:space="0" w:color="000000"/>
          <w:right w:val="none" w:sz="0" w:space="0" w:color="000000"/>
        </w:pBdr>
        <w:spacing w:before="0" w:beforeAutospacing="0" w:after="0" w:afterAutospacing="0"/>
        <w:rPr>
          <w:rFonts w:eastAsia="Times New Roman"/>
          <w:sz w:val="16"/>
          <w:szCs w:val="16"/>
        </w:rPr>
      </w:pPr>
    </w:p>
    <w:p w:rsidR="003E7ED2" w:rsidRPr="003E7ED2" w:rsidRDefault="003E7ED2" w:rsidP="003E7ED2">
      <w:pPr>
        <w:pStyle w:val="xl36"/>
        <w:pBdr>
          <w:top w:val="none" w:sz="0" w:space="0" w:color="000000"/>
          <w:left w:val="none" w:sz="0" w:space="0" w:color="000000"/>
          <w:bottom w:val="none" w:sz="0" w:space="0" w:color="000000"/>
          <w:right w:val="none" w:sz="0" w:space="0" w:color="000000"/>
        </w:pBdr>
        <w:spacing w:before="0" w:beforeAutospacing="0" w:after="0" w:afterAutospacing="0"/>
        <w:rPr>
          <w:rFonts w:eastAsia="Times New Roman"/>
          <w:sz w:val="16"/>
          <w:szCs w:val="16"/>
        </w:rPr>
      </w:pPr>
    </w:p>
    <w:p w:rsidR="003E7ED2" w:rsidRPr="003E7ED2" w:rsidRDefault="003E7ED2" w:rsidP="003E7ED2">
      <w:pPr>
        <w:pStyle w:val="xl36"/>
        <w:pBdr>
          <w:top w:val="none" w:sz="0" w:space="0" w:color="000000"/>
          <w:left w:val="none" w:sz="0" w:space="0" w:color="000000"/>
          <w:bottom w:val="none" w:sz="0" w:space="0" w:color="000000"/>
          <w:right w:val="none" w:sz="0" w:space="0" w:color="000000"/>
        </w:pBdr>
        <w:spacing w:before="0" w:beforeAutospacing="0" w:after="0" w:afterAutospacing="0"/>
        <w:jc w:val="center"/>
        <w:rPr>
          <w:rFonts w:eastAsia="Times New Roman"/>
          <w:sz w:val="16"/>
          <w:szCs w:val="16"/>
        </w:rPr>
      </w:pPr>
      <w:r w:rsidRPr="003E7ED2">
        <w:rPr>
          <w:noProof/>
        </w:rPr>
        <w:drawing>
          <wp:inline distT="0" distB="0" distL="0" distR="0" wp14:anchorId="79D6DAD8" wp14:editId="42968C53">
            <wp:extent cx="5438775" cy="2809875"/>
            <wp:effectExtent l="0" t="0" r="9525" b="9525"/>
            <wp:docPr id="21" name="Diagram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3E7ED2" w:rsidRPr="003E7ED2" w:rsidRDefault="003E7ED2" w:rsidP="003E7ED2">
      <w:pPr>
        <w:pStyle w:val="xl36"/>
        <w:pBdr>
          <w:top w:val="none" w:sz="0" w:space="0" w:color="000000"/>
          <w:left w:val="none" w:sz="0" w:space="0" w:color="000000"/>
          <w:bottom w:val="none" w:sz="0" w:space="0" w:color="000000"/>
          <w:right w:val="none" w:sz="0" w:space="0" w:color="000000"/>
        </w:pBdr>
        <w:spacing w:before="0" w:beforeAutospacing="0" w:after="0" w:afterAutospacing="0"/>
        <w:rPr>
          <w:rFonts w:eastAsia="Times New Roman"/>
          <w:sz w:val="16"/>
          <w:szCs w:val="16"/>
        </w:rPr>
      </w:pPr>
    </w:p>
    <w:p w:rsidR="003E7ED2" w:rsidRPr="003E7ED2" w:rsidRDefault="003E7ED2" w:rsidP="003E7ED2">
      <w:pPr>
        <w:pStyle w:val="xl36"/>
        <w:pBdr>
          <w:top w:val="none" w:sz="0" w:space="0" w:color="000000"/>
          <w:left w:val="none" w:sz="0" w:space="0" w:color="000000"/>
          <w:bottom w:val="none" w:sz="0" w:space="0" w:color="000000"/>
          <w:right w:val="none" w:sz="0" w:space="0" w:color="000000"/>
        </w:pBdr>
        <w:spacing w:before="0" w:beforeAutospacing="0" w:after="0" w:afterAutospacing="0"/>
        <w:rPr>
          <w:rFonts w:eastAsia="Times New Roman"/>
          <w:sz w:val="16"/>
          <w:szCs w:val="16"/>
        </w:rPr>
      </w:pPr>
    </w:p>
    <w:p w:rsidR="003E7ED2" w:rsidRPr="003E7ED2" w:rsidRDefault="003E7ED2" w:rsidP="003E7ED2">
      <w:pPr>
        <w:pStyle w:val="xl36"/>
        <w:pBdr>
          <w:top w:val="none" w:sz="0" w:space="0" w:color="000000"/>
          <w:left w:val="none" w:sz="0" w:space="0" w:color="000000"/>
          <w:bottom w:val="none" w:sz="0" w:space="0" w:color="000000"/>
          <w:right w:val="none" w:sz="0" w:space="0" w:color="000000"/>
        </w:pBdr>
        <w:spacing w:before="0" w:beforeAutospacing="0" w:after="0" w:afterAutospacing="0"/>
        <w:rPr>
          <w:rFonts w:eastAsia="Times New Roman"/>
          <w:sz w:val="23"/>
          <w:szCs w:val="20"/>
        </w:rPr>
      </w:pPr>
      <w:r w:rsidRPr="003E7ED2">
        <w:rPr>
          <w:rFonts w:eastAsia="Times New Roman"/>
          <w:sz w:val="23"/>
          <w:szCs w:val="20"/>
        </w:rPr>
        <w:t>Anyagköltség</w:t>
      </w:r>
    </w:p>
    <w:p w:rsidR="003E7ED2" w:rsidRPr="003E7ED2" w:rsidRDefault="00BE1B28" w:rsidP="003E7ED2">
      <w:pPr>
        <w:pStyle w:val="Szvegtrzs3"/>
        <w:tabs>
          <w:tab w:val="left" w:pos="426"/>
          <w:tab w:val="right" w:pos="3969"/>
          <w:tab w:val="right" w:pos="5387"/>
          <w:tab w:val="right" w:pos="6804"/>
          <w:tab w:val="right" w:pos="8080"/>
        </w:tabs>
        <w:ind w:right="200"/>
      </w:pPr>
      <w:r>
        <w:t xml:space="preserve">Az anyagköltség 1 132 129 </w:t>
      </w:r>
      <w:r w:rsidR="002C2FEA">
        <w:t>eFt, 55,9 %-kal, 406 122</w:t>
      </w:r>
      <w:r w:rsidR="003E7ED2" w:rsidRPr="003E7ED2">
        <w:t xml:space="preserve"> eFt-tal magasabb a tervezettnél. </w:t>
      </w:r>
    </w:p>
    <w:p w:rsidR="003E7ED2" w:rsidRPr="004069E4" w:rsidRDefault="003E7ED2" w:rsidP="003E7ED2">
      <w:pPr>
        <w:pStyle w:val="Szvegtrzs3"/>
        <w:tabs>
          <w:tab w:val="left" w:pos="426"/>
          <w:tab w:val="right" w:pos="3969"/>
          <w:tab w:val="right" w:pos="5387"/>
          <w:tab w:val="right" w:pos="6804"/>
          <w:tab w:val="right" w:pos="8080"/>
        </w:tabs>
        <w:ind w:right="200"/>
        <w:rPr>
          <w:sz w:val="12"/>
          <w:szCs w:val="12"/>
        </w:rPr>
      </w:pPr>
    </w:p>
    <w:p w:rsidR="003E7ED2" w:rsidRPr="003E7ED2" w:rsidRDefault="003E7ED2" w:rsidP="003E7ED2">
      <w:pPr>
        <w:rPr>
          <w:szCs w:val="24"/>
        </w:rPr>
      </w:pPr>
      <w:r w:rsidRPr="003E7ED2">
        <w:rPr>
          <w:szCs w:val="24"/>
        </w:rPr>
        <w:t>2022. évben a világban zajló politikai és gazdasági eseményei hatására a vegyszeranyag árak tekintetében jelentős növekedés volt tapasztalható. A beszállítók előre nem tudtak árakat megadni a rendelkezésre álló készletek bizonytalansága és a folyamatosan változó árfolyamok miatt. Ugyanakkor az üzemeltetéshez elengedhetetlen ezen anyagok használata.</w:t>
      </w:r>
    </w:p>
    <w:p w:rsidR="003E7ED2" w:rsidRPr="003E7ED2" w:rsidRDefault="003E7ED2" w:rsidP="003E7ED2">
      <w:pPr>
        <w:rPr>
          <w:szCs w:val="24"/>
        </w:rPr>
      </w:pPr>
      <w:r w:rsidRPr="003E7ED2">
        <w:rPr>
          <w:szCs w:val="24"/>
        </w:rPr>
        <w:t xml:space="preserve">A növekedés és a tervtől való eltérés oka továbbá, hogy bizonyos vegyszerek esetében az előző évben elmaradt szállítások 2022. I. félévben kerültek pótlásra. </w:t>
      </w:r>
    </w:p>
    <w:p w:rsidR="003E7ED2" w:rsidRPr="003E7ED2" w:rsidRDefault="003E7ED2" w:rsidP="003E7ED2">
      <w:pPr>
        <w:pStyle w:val="Szvegtrzs3"/>
        <w:tabs>
          <w:tab w:val="left" w:pos="426"/>
          <w:tab w:val="right" w:pos="3969"/>
          <w:tab w:val="right" w:pos="5387"/>
          <w:tab w:val="right" w:pos="6804"/>
          <w:tab w:val="right" w:pos="8080"/>
        </w:tabs>
        <w:ind w:right="200"/>
      </w:pPr>
      <w:r w:rsidRPr="003E7ED2">
        <w:rPr>
          <w:i/>
        </w:rPr>
        <w:lastRenderedPageBreak/>
        <w:t>Technológiai anyagköltség</w:t>
      </w:r>
      <w:r w:rsidRPr="003E7ED2">
        <w:t xml:space="preserve"> 148,6</w:t>
      </w:r>
      <w:r w:rsidR="00C93EDC">
        <w:t xml:space="preserve"> </w:t>
      </w:r>
      <w:r w:rsidRPr="003E7ED2">
        <w:t>%-os felhasználási szint</w:t>
      </w:r>
      <w:r w:rsidR="00C93EDC">
        <w:t>et mutat a tervezetthez képest 63 983 eFt-tal nőtt.</w:t>
      </w:r>
    </w:p>
    <w:p w:rsidR="003E7ED2" w:rsidRPr="00C93EDC" w:rsidRDefault="003E7ED2" w:rsidP="00CD532E">
      <w:pPr>
        <w:pStyle w:val="Szvegtrzs2"/>
        <w:numPr>
          <w:ilvl w:val="0"/>
          <w:numId w:val="7"/>
        </w:numPr>
        <w:tabs>
          <w:tab w:val="clear" w:pos="720"/>
          <w:tab w:val="right" w:pos="5610"/>
          <w:tab w:val="left" w:pos="5670"/>
          <w:tab w:val="left" w:pos="7480"/>
        </w:tabs>
        <w:ind w:left="426" w:right="317" w:hanging="207"/>
        <w:rPr>
          <w:szCs w:val="24"/>
        </w:rPr>
      </w:pPr>
      <w:r w:rsidRPr="00C93EDC">
        <w:rPr>
          <w:i/>
          <w:szCs w:val="24"/>
        </w:rPr>
        <w:t>Ivóvíz kezelés</w:t>
      </w:r>
      <w:r w:rsidRPr="00C93EDC">
        <w:rPr>
          <w:szCs w:val="24"/>
        </w:rPr>
        <w:t xml:space="preserve"> technológiai anyagfelhasználása 14 850 eFt, 123,8%-kal magasabb a tervezettnél.</w:t>
      </w:r>
      <w:r w:rsidRPr="00C93EDC">
        <w:rPr>
          <w:iCs/>
          <w:szCs w:val="24"/>
        </w:rPr>
        <w:t xml:space="preserve"> A felhasználás értéke 8 215 eFt-tal meghaladta a tervezett értéket. </w:t>
      </w:r>
    </w:p>
    <w:p w:rsidR="003E7ED2" w:rsidRPr="00C93EDC" w:rsidRDefault="003E7ED2" w:rsidP="00CD532E">
      <w:pPr>
        <w:pStyle w:val="Default"/>
        <w:numPr>
          <w:ilvl w:val="0"/>
          <w:numId w:val="7"/>
        </w:numPr>
        <w:tabs>
          <w:tab w:val="clear" w:pos="720"/>
        </w:tabs>
        <w:ind w:left="426" w:right="317" w:hanging="207"/>
        <w:jc w:val="both"/>
        <w:rPr>
          <w:rFonts w:ascii="Times New Roman" w:hAnsi="Times New Roman" w:cs="Times New Roman"/>
        </w:rPr>
      </w:pPr>
      <w:r w:rsidRPr="00C93EDC">
        <w:rPr>
          <w:rFonts w:ascii="Times New Roman" w:hAnsi="Times New Roman" w:cs="Times New Roman"/>
          <w:i/>
        </w:rPr>
        <w:t>Szennyvíztisztítás és komposztálás</w:t>
      </w:r>
      <w:r w:rsidRPr="00C93EDC">
        <w:rPr>
          <w:rFonts w:ascii="Times New Roman" w:hAnsi="Times New Roman" w:cs="Times New Roman"/>
        </w:rPr>
        <w:t xml:space="preserve"> technológiai anyagfelhasználása 174 064 eFt, 146,4 %-on teljesült. A legnagyobb technológiai vegyszeranyag felhasználó a szombathelyi szennyvíztisztító telep. A tisztítási technológiához szükséges vegyszerből a tavalyi év elején nem tudtak megfelelő mennyiséget leszállítani</w:t>
      </w:r>
      <w:r w:rsidR="00A528E7">
        <w:rPr>
          <w:rFonts w:ascii="Times New Roman" w:hAnsi="Times New Roman" w:cs="Times New Roman"/>
        </w:rPr>
        <w:t>,</w:t>
      </w:r>
      <w:r w:rsidRPr="00C93EDC">
        <w:rPr>
          <w:rFonts w:ascii="Times New Roman" w:hAnsi="Times New Roman" w:cs="Times New Roman"/>
        </w:rPr>
        <w:t xml:space="preserve"> ami a fonalas baktériumok elszaporodásán</w:t>
      </w:r>
      <w:r w:rsidR="00C93EDC">
        <w:rPr>
          <w:rFonts w:ascii="Times New Roman" w:hAnsi="Times New Roman" w:cs="Times New Roman"/>
        </w:rPr>
        <w:t>ak megakadályozásához szükséges,</w:t>
      </w:r>
      <w:r w:rsidRPr="00C93EDC">
        <w:rPr>
          <w:rFonts w:ascii="Times New Roman" w:hAnsi="Times New Roman" w:cs="Times New Roman"/>
        </w:rPr>
        <w:t xml:space="preserve"> ezért azt más vegyszerrel kellett pótolni</w:t>
      </w:r>
      <w:r w:rsidR="00A528E7">
        <w:rPr>
          <w:rFonts w:ascii="Times New Roman" w:hAnsi="Times New Roman" w:cs="Times New Roman"/>
        </w:rPr>
        <w:t>,</w:t>
      </w:r>
      <w:r w:rsidRPr="00C93EDC">
        <w:rPr>
          <w:rFonts w:ascii="Times New Roman" w:hAnsi="Times New Roman" w:cs="Times New Roman"/>
        </w:rPr>
        <w:t xml:space="preserve"> </w:t>
      </w:r>
      <w:r w:rsidR="00A528E7">
        <w:rPr>
          <w:rFonts w:ascii="Times New Roman" w:hAnsi="Times New Roman" w:cs="Times New Roman"/>
        </w:rPr>
        <w:t>a</w:t>
      </w:r>
      <w:r w:rsidRPr="00C93EDC">
        <w:rPr>
          <w:rFonts w:ascii="Times New Roman" w:hAnsi="Times New Roman" w:cs="Times New Roman"/>
        </w:rPr>
        <w:t>melyből nagyobb mennyiségre volt szükség.</w:t>
      </w:r>
    </w:p>
    <w:p w:rsidR="004069E4" w:rsidRDefault="003E7ED2" w:rsidP="00CD532E">
      <w:pPr>
        <w:pStyle w:val="Szvegtrzs2"/>
        <w:numPr>
          <w:ilvl w:val="0"/>
          <w:numId w:val="7"/>
        </w:numPr>
        <w:tabs>
          <w:tab w:val="clear" w:pos="720"/>
          <w:tab w:val="right" w:pos="5610"/>
          <w:tab w:val="left" w:pos="5670"/>
          <w:tab w:val="left" w:pos="7480"/>
        </w:tabs>
        <w:ind w:left="426" w:right="317" w:hanging="207"/>
        <w:rPr>
          <w:iCs/>
          <w:szCs w:val="24"/>
        </w:rPr>
      </w:pPr>
      <w:r w:rsidRPr="00C93EDC">
        <w:rPr>
          <w:i/>
          <w:iCs/>
          <w:szCs w:val="24"/>
        </w:rPr>
        <w:t>Fürdő szolgáltatás</w:t>
      </w:r>
      <w:r w:rsidRPr="00C93EDC">
        <w:rPr>
          <w:iCs/>
          <w:szCs w:val="24"/>
        </w:rPr>
        <w:t xml:space="preserve"> technológiai anyagfelhasználása 6 841 eFt a vizsgált időszakban.</w:t>
      </w:r>
    </w:p>
    <w:p w:rsidR="004069E4" w:rsidRDefault="004069E4">
      <w:pPr>
        <w:jc w:val="left"/>
        <w:rPr>
          <w:iCs/>
          <w:szCs w:val="24"/>
        </w:rPr>
      </w:pPr>
      <w:r>
        <w:rPr>
          <w:iCs/>
          <w:szCs w:val="24"/>
        </w:rPr>
        <w:br w:type="page"/>
      </w:r>
    </w:p>
    <w:p w:rsidR="003E7ED2" w:rsidRDefault="003E7ED2" w:rsidP="003E7ED2">
      <w:pPr>
        <w:ind w:right="200"/>
        <w:rPr>
          <w:i/>
        </w:rPr>
      </w:pPr>
    </w:p>
    <w:p w:rsidR="004069E4" w:rsidRPr="003E7ED2" w:rsidRDefault="004069E4" w:rsidP="003E7ED2">
      <w:pPr>
        <w:ind w:right="200"/>
        <w:rPr>
          <w:i/>
        </w:rPr>
      </w:pPr>
    </w:p>
    <w:p w:rsidR="003E7ED2" w:rsidRPr="003E7ED2" w:rsidRDefault="003E7ED2" w:rsidP="00CD532E">
      <w:pPr>
        <w:ind w:right="34"/>
        <w:rPr>
          <w:i/>
          <w:iCs/>
          <w:szCs w:val="24"/>
        </w:rPr>
      </w:pPr>
      <w:r w:rsidRPr="003E7ED2">
        <w:rPr>
          <w:i/>
        </w:rPr>
        <w:t>Építőipar anyagköltsége</w:t>
      </w:r>
      <w:r w:rsidRPr="003E7ED2">
        <w:t xml:space="preserve"> 548 945 eFt, jelentősen magas</w:t>
      </w:r>
      <w:r w:rsidR="00C93EDC">
        <w:t>a</w:t>
      </w:r>
      <w:r w:rsidRPr="003E7ED2">
        <w:t xml:space="preserve">bb az üzleti tervben meghatározott mértékhez képest. Az építőipar anyagköltségének alakulására hatással volt, </w:t>
      </w:r>
      <w:r w:rsidRPr="003E7ED2">
        <w:rPr>
          <w:iCs/>
          <w:szCs w:val="24"/>
        </w:rPr>
        <w:t>hogy tartalmazza a VEF pályázat kapcsán megvalósuló építési munkák anyagköltségét, melynek várható nagyságáról a tervezéskor még nem rendelkeztünk megfelelő információkkal. Ennek okán az egyéb igénybevett szolgáltatások között elszámolt építőipari költségek esetében pedig a tervtől való jelentős elmaradás tapasztalható.</w:t>
      </w:r>
      <w:r w:rsidR="00C93EDC">
        <w:rPr>
          <w:iCs/>
          <w:szCs w:val="24"/>
        </w:rPr>
        <w:t xml:space="preserve"> </w:t>
      </w:r>
      <w:r w:rsidRPr="003E7ED2">
        <w:t>Az építőipar anyagköltsége tartalmazza a víziközmű-szolgáltatásról szóló törvény alapján önálló vállalkozási szerződéssel végzendő, bérleti-üzemeltetési szerződés keretében üzemeltetett vízi-közművekhez kapcsolódó építési-szerelési munkák anyagköltségét is.</w:t>
      </w:r>
    </w:p>
    <w:p w:rsidR="003E7ED2" w:rsidRPr="003E7ED2" w:rsidRDefault="003E7ED2" w:rsidP="003E7ED2">
      <w:pPr>
        <w:jc w:val="left"/>
      </w:pPr>
      <w:r w:rsidRPr="003E7ED2">
        <w:rPr>
          <w:i/>
        </w:rPr>
        <w:t>Saját kivitelezésű eszközfenntartás anyagköltsége</w:t>
      </w:r>
      <w:r w:rsidRPr="003E7ED2">
        <w:t xml:space="preserve"> 285 721 eFt, 9,6 %-kal, 30 433 eFt-tal alacsonyabb a tervezettnél.</w:t>
      </w:r>
    </w:p>
    <w:p w:rsidR="003E7ED2" w:rsidRPr="003E7ED2" w:rsidRDefault="003E7ED2" w:rsidP="003E7ED2">
      <w:pPr>
        <w:rPr>
          <w:iCs/>
          <w:szCs w:val="24"/>
        </w:rPr>
      </w:pPr>
      <w:r w:rsidRPr="003E7ED2">
        <w:rPr>
          <w:i/>
        </w:rPr>
        <w:t>Rezsianyagok</w:t>
      </w:r>
      <w:r w:rsidRPr="003E7ED2">
        <w:t xml:space="preserve"> felhasználásának értéke</w:t>
      </w:r>
      <w:r w:rsidRPr="003E7ED2">
        <w:rPr>
          <w:iCs/>
          <w:szCs w:val="24"/>
        </w:rPr>
        <w:t xml:space="preserve"> 2022 évben </w:t>
      </w:r>
      <w:r w:rsidR="00596938">
        <w:rPr>
          <w:iCs/>
          <w:szCs w:val="24"/>
        </w:rPr>
        <w:t>88 875 eFt, 101 % a tervhez viszonyítva</w:t>
      </w:r>
      <w:r w:rsidRPr="003E7ED2">
        <w:rPr>
          <w:iCs/>
          <w:szCs w:val="24"/>
        </w:rPr>
        <w:t>. Tartalmazza a fenntartási munkák elvégzéséhez</w:t>
      </w:r>
      <w:r w:rsidRPr="003E7ED2">
        <w:rPr>
          <w:szCs w:val="24"/>
        </w:rPr>
        <w:t xml:space="preserve"> felhasznált segédanyagokat, a </w:t>
      </w:r>
      <w:r w:rsidRPr="003E7ED2">
        <w:rPr>
          <w:iCs/>
          <w:szCs w:val="24"/>
        </w:rPr>
        <w:t xml:space="preserve">munkavédelmi előírásoknak megfelelően alkalmazott védőoltások és munkavédelmi szemüvegek beszerzési költségét, továbbá a laboratóriumban az egyes megváltozott vizsgálati módszerekhez kapcsolódó eszköz beszerzéseket is. A vizsgált időszakban a COVID-19 vírus elleni védekezéshez vásárolt anyagok egy része (maszk, kesztyű) 183 eFt értékben kerültek elszámolásra a rezsianyagok között. </w:t>
      </w:r>
    </w:p>
    <w:p w:rsidR="003E7ED2" w:rsidRPr="003E7ED2" w:rsidRDefault="003E7ED2" w:rsidP="003E7ED2">
      <w:r w:rsidRPr="003E7ED2">
        <w:rPr>
          <w:i/>
        </w:rPr>
        <w:t>Nyomtatványok, folyóiratok, szakkönyvek</w:t>
      </w:r>
      <w:r w:rsidR="00596938">
        <w:t xml:space="preserve"> 12 737</w:t>
      </w:r>
      <w:r w:rsidRPr="003E7ED2">
        <w:t xml:space="preserve"> eFt.</w:t>
      </w:r>
    </w:p>
    <w:p w:rsidR="003E7ED2" w:rsidRDefault="003E7ED2" w:rsidP="003E7ED2">
      <w:pPr>
        <w:pStyle w:val="llb"/>
        <w:tabs>
          <w:tab w:val="clear" w:pos="4536"/>
          <w:tab w:val="clear" w:pos="9072"/>
        </w:tabs>
        <w:rPr>
          <w:sz w:val="16"/>
          <w:szCs w:val="16"/>
        </w:rPr>
      </w:pPr>
    </w:p>
    <w:p w:rsidR="004069E4" w:rsidRPr="003E7ED2" w:rsidRDefault="004069E4" w:rsidP="003E7ED2">
      <w:pPr>
        <w:pStyle w:val="llb"/>
        <w:tabs>
          <w:tab w:val="clear" w:pos="4536"/>
          <w:tab w:val="clear" w:pos="9072"/>
        </w:tabs>
        <w:rPr>
          <w:sz w:val="16"/>
          <w:szCs w:val="16"/>
        </w:rPr>
      </w:pPr>
    </w:p>
    <w:p w:rsidR="003E7ED2" w:rsidRPr="003E7ED2" w:rsidRDefault="003E7ED2" w:rsidP="003E7ED2">
      <w:r w:rsidRPr="003E7ED2">
        <w:rPr>
          <w:i/>
          <w:iCs/>
        </w:rPr>
        <w:t xml:space="preserve">Energiaköltség </w:t>
      </w:r>
      <w:r w:rsidRPr="003E7ED2">
        <w:t>1 417 892 eFt, 5,6 %-kal, 74 662 eFt-tal magasabb a tervezett értékhez képest.</w:t>
      </w:r>
    </w:p>
    <w:p w:rsidR="003E7ED2" w:rsidRPr="003E7ED2" w:rsidRDefault="003E7ED2" w:rsidP="003E7ED2"/>
    <w:p w:rsidR="003E7ED2" w:rsidRPr="003E7ED2" w:rsidRDefault="000E1DE0" w:rsidP="003E7ED2">
      <w:pPr>
        <w:jc w:val="center"/>
      </w:pPr>
      <w:r>
        <w:rPr>
          <w:noProof/>
        </w:rPr>
        <w:lastRenderedPageBreak/>
        <w:drawing>
          <wp:inline distT="0" distB="0" distL="0" distR="0" wp14:anchorId="792C9AC4" wp14:editId="4C1F3065">
            <wp:extent cx="6232525" cy="3403600"/>
            <wp:effectExtent l="0" t="0" r="15875" b="6350"/>
            <wp:docPr id="3" name="Diagram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855E4A" w:rsidRPr="003E7ED2" w:rsidRDefault="00855E4A" w:rsidP="003E7ED2"/>
    <w:p w:rsidR="004069E4" w:rsidRDefault="003E7ED2" w:rsidP="003E7ED2">
      <w:r w:rsidRPr="003E7ED2">
        <w:t xml:space="preserve">Az energiaköltségeken belül a </w:t>
      </w:r>
      <w:r w:rsidRPr="003E7ED2">
        <w:rPr>
          <w:i/>
        </w:rPr>
        <w:t>villamos energia költség</w:t>
      </w:r>
      <w:r w:rsidRPr="003E7ED2">
        <w:t xml:space="preserve"> a legnagyobb volument képviselő költségelem, 1 052 683 eFt, amely 3,6 %-kal, 36 231 eFt-tal magasabb a tervezettnél.</w:t>
      </w:r>
    </w:p>
    <w:p w:rsidR="004069E4" w:rsidRDefault="004069E4">
      <w:pPr>
        <w:jc w:val="left"/>
      </w:pPr>
      <w:r>
        <w:br w:type="page"/>
      </w:r>
    </w:p>
    <w:p w:rsidR="003E7ED2" w:rsidRPr="003E7ED2" w:rsidRDefault="003E7ED2" w:rsidP="003E7ED2"/>
    <w:p w:rsidR="003E7ED2" w:rsidRPr="003E7ED2" w:rsidRDefault="003E7ED2" w:rsidP="003E7ED2"/>
    <w:p w:rsidR="003E7ED2" w:rsidRDefault="006945E1" w:rsidP="003E7ED2">
      <w:pPr>
        <w:jc w:val="center"/>
      </w:pPr>
      <w:r>
        <w:rPr>
          <w:noProof/>
        </w:rPr>
        <w:drawing>
          <wp:inline distT="0" distB="0" distL="0" distR="0" wp14:anchorId="3EBAA59A" wp14:editId="2965CBB4">
            <wp:extent cx="6232525" cy="2468880"/>
            <wp:effectExtent l="0" t="0" r="15875" b="7620"/>
            <wp:docPr id="27" name="Diagram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814F8E" w:rsidRPr="003E7ED2" w:rsidRDefault="00814F8E" w:rsidP="003E7ED2">
      <w:pPr>
        <w:jc w:val="center"/>
      </w:pPr>
    </w:p>
    <w:p w:rsidR="003E7ED2" w:rsidRPr="003E7ED2" w:rsidRDefault="003E7ED2" w:rsidP="003E7ED2">
      <w:pPr>
        <w:rPr>
          <w:rFonts w:eastAsiaTheme="minorHAnsi"/>
          <w:szCs w:val="24"/>
          <w:lang w:eastAsia="en-US"/>
        </w:rPr>
      </w:pPr>
      <w:r w:rsidRPr="003E7ED2">
        <w:t>2022. évben a társaság villamos energia felhasználása 19 686 MWh,</w:t>
      </w:r>
      <w:r w:rsidR="00596938">
        <w:t xml:space="preserve"> </w:t>
      </w:r>
      <w:r w:rsidRPr="003E7ED2">
        <w:t>ami</w:t>
      </w:r>
      <w:r w:rsidR="00596938">
        <w:t xml:space="preserve"> a</w:t>
      </w:r>
      <w:r w:rsidRPr="003E7ED2">
        <w:t xml:space="preserve"> tervezett mennyiség 93%-a. Ebből a mennyiségből 18 006 MWh versenypiaci beszerzés, 1 680 MWh saját termelésből származik. A napelemek éves termelése 572 MWh</w:t>
      </w:r>
      <w:r w:rsidRPr="003E7ED2">
        <w:rPr>
          <w:sz w:val="22"/>
          <w:szCs w:val="22"/>
        </w:rPr>
        <w:t>. A saját</w:t>
      </w:r>
      <w:r w:rsidRPr="003E7ED2">
        <w:rPr>
          <w:rFonts w:eastAsiaTheme="minorHAnsi"/>
          <w:szCs w:val="24"/>
          <w:lang w:eastAsia="en-US"/>
        </w:rPr>
        <w:t xml:space="preserve"> termelt mennyiség 2022.évben 96 000 eFt megtakarítást jelentett. </w:t>
      </w:r>
    </w:p>
    <w:p w:rsidR="003E7ED2" w:rsidRPr="003E7ED2" w:rsidRDefault="003E7ED2" w:rsidP="003E7ED2">
      <w:pPr>
        <w:ind w:left="142"/>
        <w:rPr>
          <w:sz w:val="4"/>
          <w:szCs w:val="4"/>
        </w:rPr>
      </w:pPr>
    </w:p>
    <w:p w:rsidR="003E7ED2" w:rsidRPr="003E7ED2" w:rsidRDefault="003E7ED2" w:rsidP="003E7ED2">
      <w:r w:rsidRPr="003E7ED2">
        <w:rPr>
          <w:i/>
        </w:rPr>
        <w:t>Üzemanyag költség</w:t>
      </w:r>
      <w:r w:rsidRPr="003E7ED2">
        <w:t xml:space="preserve"> 168 794 eFt, 4,7%-kal, 8 320 eFt-tal alacsonyabb a tervezettnél. Ennek oka az évközben bevezetett költségtakarékossági intézkedés.</w:t>
      </w:r>
    </w:p>
    <w:p w:rsidR="003E7ED2" w:rsidRPr="003E7ED2" w:rsidRDefault="003E7ED2" w:rsidP="003E7ED2">
      <w:pPr>
        <w:rPr>
          <w:sz w:val="4"/>
          <w:szCs w:val="4"/>
        </w:rPr>
      </w:pPr>
    </w:p>
    <w:p w:rsidR="003E7ED2" w:rsidRPr="003E7ED2" w:rsidRDefault="003E7ED2" w:rsidP="003E7ED2">
      <w:r w:rsidRPr="003E7ED2">
        <w:rPr>
          <w:i/>
        </w:rPr>
        <w:t>Földgáz költség</w:t>
      </w:r>
      <w:r w:rsidRPr="003E7ED2">
        <w:t xml:space="preserve"> 194 007 eFt, a tervezetthez képest 32,3 %-kal, 47 343 eFt-tal magasabb, ennek oka az október 1-től beszerzett földgáz díjának jelentős emelkedése.</w:t>
      </w:r>
    </w:p>
    <w:p w:rsidR="003E7ED2" w:rsidRPr="003E7ED2" w:rsidRDefault="003E7ED2" w:rsidP="003E7ED2"/>
    <w:p w:rsidR="003E7ED2" w:rsidRPr="003E7ED2" w:rsidRDefault="00066248" w:rsidP="003E7ED2">
      <w:pPr>
        <w:jc w:val="center"/>
      </w:pPr>
      <w:r>
        <w:rPr>
          <w:noProof/>
        </w:rPr>
        <w:drawing>
          <wp:inline distT="0" distB="0" distL="0" distR="0" wp14:anchorId="38249C2B" wp14:editId="4F720CED">
            <wp:extent cx="4366260" cy="1691640"/>
            <wp:effectExtent l="0" t="0" r="15240" b="3810"/>
            <wp:docPr id="36" name="Diagram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3E7ED2" w:rsidRPr="003E7ED2" w:rsidRDefault="003E7ED2" w:rsidP="003E7ED2"/>
    <w:p w:rsidR="003E7ED2" w:rsidRPr="003E7ED2" w:rsidRDefault="003E7ED2" w:rsidP="003E7ED2">
      <w:pPr>
        <w:rPr>
          <w:b/>
          <w:i/>
          <w:sz w:val="20"/>
        </w:rPr>
      </w:pPr>
    </w:p>
    <w:p w:rsidR="00814F8E" w:rsidRDefault="003E7ED2" w:rsidP="003E7ED2">
      <w:r w:rsidRPr="003E7ED2">
        <w:rPr>
          <w:b/>
          <w:i/>
        </w:rPr>
        <w:t>Igénybevett szolgáltatások</w:t>
      </w:r>
      <w:r w:rsidRPr="003E7ED2">
        <w:rPr>
          <w:i/>
        </w:rPr>
        <w:t xml:space="preserve"> </w:t>
      </w:r>
      <w:r w:rsidRPr="003E7ED2">
        <w:t>költsége együttesen 81,7%-on teljesült, mértéke 1 853 967 eFt. Ez 414 293 eFt-tal alacsonyabb a tervezettnél, ennek oka az építőipari s</w:t>
      </w:r>
      <w:r w:rsidR="00596938">
        <w:t xml:space="preserve">zolgáltatások igénybevételének </w:t>
      </w:r>
      <w:r w:rsidRPr="003E7ED2">
        <w:t>18,5%-os teljesülése,</w:t>
      </w:r>
      <w:r w:rsidR="00596938">
        <w:t xml:space="preserve"> </w:t>
      </w:r>
      <w:r w:rsidRPr="003E7ED2">
        <w:t>amely 482 111 eFt-tal lett kevesebb a tervezettnél.</w:t>
      </w:r>
    </w:p>
    <w:p w:rsidR="00814F8E" w:rsidRDefault="00814F8E">
      <w:pPr>
        <w:jc w:val="left"/>
      </w:pPr>
      <w:r>
        <w:lastRenderedPageBreak/>
        <w:br w:type="page"/>
      </w:r>
    </w:p>
    <w:p w:rsidR="00814F8E" w:rsidRDefault="00814F8E" w:rsidP="003E7ED2">
      <w:pPr>
        <w:jc w:val="center"/>
      </w:pPr>
    </w:p>
    <w:p w:rsidR="003E7ED2" w:rsidRPr="003E7ED2" w:rsidRDefault="003E7ED2" w:rsidP="003E7ED2">
      <w:pPr>
        <w:jc w:val="center"/>
      </w:pPr>
      <w:r w:rsidRPr="003E7ED2">
        <w:rPr>
          <w:noProof/>
        </w:rPr>
        <w:drawing>
          <wp:inline distT="0" distB="0" distL="0" distR="0" wp14:anchorId="2276B222" wp14:editId="3E9C7D3F">
            <wp:extent cx="4921885" cy="2540635"/>
            <wp:effectExtent l="0" t="0" r="12065" b="12065"/>
            <wp:docPr id="25" name="Diagram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3E7ED2" w:rsidRPr="003E7ED2" w:rsidRDefault="003E7ED2" w:rsidP="003E7ED2"/>
    <w:p w:rsidR="003E7ED2" w:rsidRPr="003E7ED2" w:rsidRDefault="003E7ED2" w:rsidP="003E7ED2">
      <w:r w:rsidRPr="003E7ED2">
        <w:t>Jelentősebb tételei:</w:t>
      </w:r>
    </w:p>
    <w:p w:rsidR="003E7ED2" w:rsidRPr="003E7ED2" w:rsidRDefault="003E7ED2" w:rsidP="00814F8E">
      <w:r w:rsidRPr="003E7ED2">
        <w:t xml:space="preserve">Az </w:t>
      </w:r>
      <w:r w:rsidRPr="003E7ED2">
        <w:rPr>
          <w:i/>
        </w:rPr>
        <w:t>üzemeltetett eszközök használati</w:t>
      </w:r>
      <w:r w:rsidRPr="003E7ED2">
        <w:t xml:space="preserve"> díja megegyezik a tervezettel. </w:t>
      </w:r>
      <w:r w:rsidR="00596938">
        <w:t>Értéke 874 322 eFt,</w:t>
      </w:r>
      <w:r w:rsidRPr="003E7ED2">
        <w:t xml:space="preserve"> amelyből a vízközmű-használati díj 197 048 eFt, szennyvízközmű-használati díj 384 031 eFt, az ISPA/KA szennyvízközmű-használati díj 293 243 eFt. Alakulása a szolgáltatási mennyiségekkel összefüggő.</w:t>
      </w:r>
    </w:p>
    <w:p w:rsidR="002B7280" w:rsidRPr="00814F8E" w:rsidRDefault="002B7280" w:rsidP="00814F8E">
      <w:pPr>
        <w:rPr>
          <w:sz w:val="16"/>
          <w:szCs w:val="16"/>
        </w:rPr>
      </w:pPr>
    </w:p>
    <w:p w:rsidR="003E7ED2" w:rsidRPr="003E7ED2" w:rsidRDefault="003E7ED2" w:rsidP="00814F8E">
      <w:r w:rsidRPr="003E7ED2">
        <w:t xml:space="preserve">A </w:t>
      </w:r>
      <w:r w:rsidRPr="003E7ED2">
        <w:rPr>
          <w:i/>
        </w:rPr>
        <w:t>megbízásba adott eszközfenntartás</w:t>
      </w:r>
      <w:r w:rsidRPr="003E7ED2">
        <w:t xml:space="preserve"> 2022. évi költsége 176 607 a tervet 16,8 %-kal, 25 461 eFt-tal haladta meg. </w:t>
      </w:r>
    </w:p>
    <w:p w:rsidR="003E7ED2" w:rsidRPr="003E7ED2" w:rsidRDefault="006F0743" w:rsidP="003E7ED2">
      <w:pPr>
        <w:jc w:val="center"/>
      </w:pPr>
      <w:r>
        <w:rPr>
          <w:noProof/>
        </w:rPr>
        <w:drawing>
          <wp:inline distT="0" distB="0" distL="0" distR="0" wp14:anchorId="6A71B515" wp14:editId="071A10F8">
            <wp:extent cx="4930140" cy="3143250"/>
            <wp:effectExtent l="0" t="0" r="3810" b="0"/>
            <wp:docPr id="39" name="Diagram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3E7ED2" w:rsidRPr="003E7ED2" w:rsidRDefault="003E7ED2" w:rsidP="003E7ED2"/>
    <w:p w:rsidR="003E7ED2" w:rsidRDefault="003E7ED2" w:rsidP="00814F8E">
      <w:r w:rsidRPr="003E7ED2">
        <w:lastRenderedPageBreak/>
        <w:t xml:space="preserve">Váti szennyvíztisztítás valamint a Szentgotthárd és Csörötnek szennyvízelvezetési rendszerek ausztriai </w:t>
      </w:r>
      <w:r w:rsidRPr="003E7ED2">
        <w:rPr>
          <w:i/>
        </w:rPr>
        <w:t>szennyvíztisztításának bérmunkadíj költsége</w:t>
      </w:r>
      <w:r w:rsidRPr="003E7ED2">
        <w:t xml:space="preserve"> 185 017 eFt, 107,3 %-on teljesült, 12 665 eFt-tal magasabb a tervezettnél</w:t>
      </w:r>
      <w:r w:rsidR="00A528E7">
        <w:t>,</w:t>
      </w:r>
      <w:r w:rsidRPr="003E7ED2">
        <w:t xml:space="preserve"> amit az euro árfolyam kedvezőtlen alakulása is befolyásolt.</w:t>
      </w:r>
    </w:p>
    <w:p w:rsidR="005A42F1" w:rsidRPr="00814F8E" w:rsidRDefault="005A42F1" w:rsidP="00814F8E">
      <w:pPr>
        <w:rPr>
          <w:sz w:val="16"/>
          <w:szCs w:val="16"/>
        </w:rPr>
      </w:pPr>
    </w:p>
    <w:p w:rsidR="003E7ED2" w:rsidRPr="003E7ED2" w:rsidRDefault="003E7ED2" w:rsidP="00814F8E">
      <w:r w:rsidRPr="003E7ED2">
        <w:rPr>
          <w:i/>
        </w:rPr>
        <w:t>Szennyvíziszap elhelyezés költsége</w:t>
      </w:r>
      <w:r w:rsidRPr="003E7ED2">
        <w:t xml:space="preserve"> 106 261 eFt, 0,7 %-kal magasabb a tervezettnél.</w:t>
      </w:r>
    </w:p>
    <w:p w:rsidR="00814F8E" w:rsidRDefault="003E7ED2" w:rsidP="00814F8E">
      <w:pPr>
        <w:rPr>
          <w:szCs w:val="24"/>
        </w:rPr>
      </w:pPr>
      <w:r w:rsidRPr="003E7ED2">
        <w:t xml:space="preserve">A szennyvíztisztító telepeken keletkező szennyvíziszap kezelési illetve ideiglenes tárolási helyre történő szállítása részben saját járművel, de jellemzően külső vállalkozó bevonásával történik, továbbá a végleges elhelyezést (mezőgazdasági kihelyezés, ártalmatlanításra elszállítás) is külső vállalkozók végzik. </w:t>
      </w:r>
      <w:r w:rsidRPr="003E7ED2">
        <w:rPr>
          <w:szCs w:val="24"/>
        </w:rPr>
        <w:t>2022. évbe</w:t>
      </w:r>
      <w:r w:rsidR="00C93C8A">
        <w:rPr>
          <w:szCs w:val="24"/>
        </w:rPr>
        <w:t xml:space="preserve">n az </w:t>
      </w:r>
      <w:r w:rsidRPr="003E7ED2">
        <w:rPr>
          <w:szCs w:val="24"/>
        </w:rPr>
        <w:t xml:space="preserve">elszállított szennyvíziszap Körmendről 1803,67 t, Bajánsenye szennyvíztisztító telepről 35,89 t, </w:t>
      </w:r>
      <w:r w:rsidR="00C93C8A">
        <w:rPr>
          <w:szCs w:val="24"/>
        </w:rPr>
        <w:t>Őriszentpéterről 271,14 t volt.</w:t>
      </w:r>
      <w:r w:rsidRPr="003E7ED2">
        <w:rPr>
          <w:szCs w:val="24"/>
        </w:rPr>
        <w:t xml:space="preserve"> </w:t>
      </w:r>
    </w:p>
    <w:p w:rsidR="00814F8E" w:rsidRDefault="00814F8E">
      <w:pPr>
        <w:jc w:val="left"/>
        <w:rPr>
          <w:szCs w:val="24"/>
        </w:rPr>
      </w:pPr>
      <w:r>
        <w:rPr>
          <w:szCs w:val="24"/>
        </w:rPr>
        <w:br w:type="page"/>
      </w:r>
    </w:p>
    <w:p w:rsidR="003E7ED2" w:rsidRPr="003E7ED2" w:rsidRDefault="003E7ED2" w:rsidP="003E7ED2">
      <w:pPr>
        <w:jc w:val="left"/>
        <w:rPr>
          <w:szCs w:val="24"/>
        </w:rPr>
      </w:pPr>
    </w:p>
    <w:p w:rsidR="00855E4A" w:rsidRDefault="00855E4A" w:rsidP="003E7ED2">
      <w:pPr>
        <w:rPr>
          <w:szCs w:val="24"/>
        </w:rPr>
      </w:pPr>
    </w:p>
    <w:p w:rsidR="003E7ED2" w:rsidRPr="00C93C8A" w:rsidRDefault="003E7ED2" w:rsidP="003E7ED2">
      <w:pPr>
        <w:rPr>
          <w:szCs w:val="24"/>
        </w:rPr>
      </w:pPr>
      <w:r w:rsidRPr="00C93C8A">
        <w:rPr>
          <w:szCs w:val="24"/>
        </w:rPr>
        <w:t xml:space="preserve">A </w:t>
      </w:r>
      <w:r w:rsidRPr="00C93C8A">
        <w:rPr>
          <w:i/>
          <w:szCs w:val="24"/>
        </w:rPr>
        <w:t>postai és távközlési szolgáltatások költsége</w:t>
      </w:r>
      <w:r w:rsidRPr="00C93C8A">
        <w:rPr>
          <w:szCs w:val="24"/>
        </w:rPr>
        <w:t xml:space="preserve"> összesen 118 317 eFt, 103,7 %-on teljesült, 4 191 eFt-tal haladta meg a tervet. </w:t>
      </w:r>
    </w:p>
    <w:p w:rsidR="003E7ED2" w:rsidRPr="00C93C8A" w:rsidRDefault="003E7ED2" w:rsidP="003E7ED2">
      <w:pPr>
        <w:rPr>
          <w:szCs w:val="24"/>
        </w:rPr>
      </w:pPr>
      <w:r w:rsidRPr="00C93C8A">
        <w:rPr>
          <w:szCs w:val="24"/>
        </w:rPr>
        <w:t xml:space="preserve">Ezen belül a </w:t>
      </w:r>
      <w:r w:rsidRPr="00C93C8A">
        <w:rPr>
          <w:i/>
          <w:szCs w:val="24"/>
        </w:rPr>
        <w:t>számlaarchiválási és számla küldemény előállítási költség</w:t>
      </w:r>
      <w:r w:rsidRPr="00C93C8A">
        <w:rPr>
          <w:szCs w:val="24"/>
        </w:rPr>
        <w:t xml:space="preserve"> tárgyidőszakban 33 907 eFt, amely a tervezett költség 117,7 %-a, a </w:t>
      </w:r>
      <w:r w:rsidRPr="00C93C8A">
        <w:rPr>
          <w:i/>
          <w:szCs w:val="24"/>
        </w:rPr>
        <w:t>postai szolgáltatások költsége</w:t>
      </w:r>
      <w:r w:rsidRPr="00C93C8A">
        <w:rPr>
          <w:szCs w:val="24"/>
        </w:rPr>
        <w:t xml:space="preserve"> 57 444 eFt, 97,3</w:t>
      </w:r>
      <w:r w:rsidR="00C93C8A" w:rsidRPr="00C93C8A">
        <w:rPr>
          <w:szCs w:val="24"/>
        </w:rPr>
        <w:t xml:space="preserve"> </w:t>
      </w:r>
      <w:r w:rsidRPr="00C93C8A">
        <w:rPr>
          <w:szCs w:val="24"/>
        </w:rPr>
        <w:t>%-on teljesült.</w:t>
      </w:r>
    </w:p>
    <w:p w:rsidR="003E7ED2" w:rsidRPr="00C93C8A" w:rsidRDefault="003E7ED2" w:rsidP="003E7ED2">
      <w:pPr>
        <w:rPr>
          <w:szCs w:val="24"/>
        </w:rPr>
      </w:pPr>
      <w:r w:rsidRPr="00C93C8A">
        <w:rPr>
          <w:i/>
          <w:szCs w:val="24"/>
        </w:rPr>
        <w:t>Telefonköltség és a bérelt adatátviteli vonalak költsége</w:t>
      </w:r>
      <w:r w:rsidR="00C93C8A">
        <w:rPr>
          <w:szCs w:val="24"/>
        </w:rPr>
        <w:t xml:space="preserve"> 2022. évben 26 866 eFt</w:t>
      </w:r>
      <w:r w:rsidRPr="00C93C8A">
        <w:rPr>
          <w:szCs w:val="24"/>
        </w:rPr>
        <w:t>.</w:t>
      </w:r>
      <w:r w:rsidR="00C93C8A">
        <w:rPr>
          <w:szCs w:val="24"/>
        </w:rPr>
        <w:t xml:space="preserve"> </w:t>
      </w:r>
      <w:r w:rsidRPr="00C93C8A">
        <w:rPr>
          <w:szCs w:val="24"/>
        </w:rPr>
        <w:t xml:space="preserve">Az alkalmazottak által használt készülékek telefonköltségének 20 %-át az 1995. évi CXVII. tv. 70.§ (1) illetve 70.§ (5) bekezdés c) pontja alapján az egyes meghatározott juttatások között vesszük számításba az előírás szerint. </w:t>
      </w:r>
    </w:p>
    <w:p w:rsidR="003E7ED2" w:rsidRDefault="003E7ED2" w:rsidP="003E7ED2">
      <w:pPr>
        <w:rPr>
          <w:szCs w:val="24"/>
        </w:rPr>
      </w:pPr>
      <w:r w:rsidRPr="00C93C8A">
        <w:rPr>
          <w:szCs w:val="24"/>
        </w:rPr>
        <w:t xml:space="preserve">A </w:t>
      </w:r>
      <w:r w:rsidRPr="00C93C8A">
        <w:rPr>
          <w:i/>
          <w:szCs w:val="24"/>
        </w:rPr>
        <w:t>minőség-ellenőrzés, vizsgálat, hitelesítés költsége 10 943 eFt,</w:t>
      </w:r>
      <w:r w:rsidRPr="00C93C8A">
        <w:rPr>
          <w:szCs w:val="24"/>
        </w:rPr>
        <w:t xml:space="preserve"> a tervezettek szerint alakult.</w:t>
      </w:r>
    </w:p>
    <w:p w:rsidR="00855E4A" w:rsidRPr="00C93C8A" w:rsidRDefault="00855E4A" w:rsidP="003E7ED2">
      <w:pPr>
        <w:rPr>
          <w:szCs w:val="24"/>
        </w:rPr>
      </w:pPr>
    </w:p>
    <w:p w:rsidR="003E7ED2" w:rsidRPr="003E7ED2" w:rsidRDefault="003E7ED2" w:rsidP="003E7ED2">
      <w:pPr>
        <w:rPr>
          <w:sz w:val="8"/>
          <w:szCs w:val="8"/>
        </w:rPr>
      </w:pPr>
    </w:p>
    <w:p w:rsidR="003E7ED2" w:rsidRPr="003E7ED2" w:rsidRDefault="003E7ED2" w:rsidP="003E7ED2">
      <w:r w:rsidRPr="003E7ED2">
        <w:rPr>
          <w:b/>
        </w:rPr>
        <w:t xml:space="preserve">Az </w:t>
      </w:r>
      <w:r w:rsidRPr="003E7ED2">
        <w:rPr>
          <w:b/>
          <w:i/>
        </w:rPr>
        <w:t>egyéb igénybevett szolgáltatások</w:t>
      </w:r>
      <w:r w:rsidRPr="003E7ED2">
        <w:rPr>
          <w:i/>
        </w:rPr>
        <w:t xml:space="preserve"> költsége</w:t>
      </w:r>
      <w:r w:rsidRPr="003E7ED2">
        <w:t xml:space="preserve"> több tételből tevődik össze, 2022. évben a tervben meghatározottnál,</w:t>
      </w:r>
      <w:r w:rsidR="00C93C8A">
        <w:t xml:space="preserve"> </w:t>
      </w:r>
      <w:r w:rsidRPr="003E7ED2">
        <w:t>54,5 %-kal, 457 289 eFt-tal alacsonyabb a tervezettnél, mértéke 382 347 eFt.</w:t>
      </w:r>
    </w:p>
    <w:p w:rsidR="003E7ED2" w:rsidRPr="003E7ED2" w:rsidRDefault="003E7ED2" w:rsidP="003E7ED2">
      <w:r w:rsidRPr="003E7ED2">
        <w:t>Főbb tételei 272 852 eFt-ot tesznek ki (építőipari szolgáltatások nélkül):</w:t>
      </w:r>
    </w:p>
    <w:p w:rsidR="003E7ED2" w:rsidRPr="003E7ED2" w:rsidRDefault="003E7ED2" w:rsidP="003E7ED2">
      <w:pPr>
        <w:rPr>
          <w:sz w:val="12"/>
          <w:szCs w:val="12"/>
        </w:rPr>
      </w:pPr>
    </w:p>
    <w:p w:rsidR="003E7ED2" w:rsidRPr="003E7ED2" w:rsidRDefault="003E7ED2" w:rsidP="003E7ED2">
      <w:pPr>
        <w:rPr>
          <w:sz w:val="12"/>
          <w:szCs w:val="12"/>
        </w:rPr>
      </w:pPr>
      <w:r w:rsidRPr="003E7ED2">
        <w:rPr>
          <w:noProof/>
        </w:rPr>
        <w:drawing>
          <wp:inline distT="0" distB="0" distL="0" distR="0" wp14:anchorId="1F882CD1" wp14:editId="462C164E">
            <wp:extent cx="6362700" cy="4343400"/>
            <wp:effectExtent l="0" t="0" r="0" b="0"/>
            <wp:docPr id="28" name="Diagram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3E7ED2" w:rsidRPr="00A179C0" w:rsidRDefault="003E7ED2" w:rsidP="003E7ED2">
      <w:pPr>
        <w:rPr>
          <w:szCs w:val="24"/>
        </w:rPr>
      </w:pPr>
    </w:p>
    <w:p w:rsidR="00A179C0" w:rsidRDefault="00A179C0" w:rsidP="003E7ED2"/>
    <w:p w:rsidR="00814F8E" w:rsidRDefault="003E7ED2" w:rsidP="003E7ED2">
      <w:r w:rsidRPr="003E7ED2">
        <w:t>Legjelentősebb tétel az építőipari szolgáltatások igénybevétele, melynek értéke 109 495 eFt jelentősen alacs</w:t>
      </w:r>
      <w:r w:rsidR="00C93C8A">
        <w:t xml:space="preserve">onyabb a tervezett értéknél. A 18,5 %-os teljesülés </w:t>
      </w:r>
      <w:r w:rsidRPr="003E7ED2">
        <w:t>482 111 eFt-os költségcsökkenést eredményezett a tervezetthez képest.</w:t>
      </w:r>
    </w:p>
    <w:p w:rsidR="00814F8E" w:rsidRDefault="00814F8E">
      <w:pPr>
        <w:jc w:val="left"/>
      </w:pPr>
      <w:r>
        <w:br w:type="page"/>
      </w:r>
    </w:p>
    <w:p w:rsidR="003E7ED2" w:rsidRPr="003E7ED2" w:rsidRDefault="003E7ED2" w:rsidP="003E7ED2"/>
    <w:p w:rsidR="003E7ED2" w:rsidRPr="003E7ED2" w:rsidRDefault="003E7ED2" w:rsidP="003E7ED2">
      <w:pPr>
        <w:jc w:val="center"/>
      </w:pPr>
      <w:r w:rsidRPr="003E7ED2">
        <w:rPr>
          <w:noProof/>
        </w:rPr>
        <w:drawing>
          <wp:inline distT="0" distB="0" distL="0" distR="0" wp14:anchorId="24609A03" wp14:editId="2901193E">
            <wp:extent cx="4921885" cy="2540635"/>
            <wp:effectExtent l="0" t="0" r="12065" b="12065"/>
            <wp:docPr id="29" name="Diagram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3E7ED2" w:rsidRPr="003E7ED2" w:rsidRDefault="003E7ED2" w:rsidP="003E7ED2">
      <w:pPr>
        <w:rPr>
          <w:i/>
        </w:rPr>
      </w:pPr>
    </w:p>
    <w:p w:rsidR="003E7ED2" w:rsidRPr="003E7ED2" w:rsidRDefault="003E7ED2" w:rsidP="003E7ED2">
      <w:pPr>
        <w:rPr>
          <w:b/>
          <w:i/>
        </w:rPr>
      </w:pPr>
      <w:r w:rsidRPr="003E7ED2">
        <w:rPr>
          <w:b/>
          <w:i/>
        </w:rPr>
        <w:t>Egyéb szolgáltatások</w:t>
      </w:r>
    </w:p>
    <w:p w:rsidR="003E7ED2" w:rsidRPr="003E7ED2" w:rsidRDefault="003E7ED2" w:rsidP="003E7ED2">
      <w:pPr>
        <w:ind w:right="317"/>
      </w:pPr>
      <w:r w:rsidRPr="003E7ED2">
        <w:t>Az egyéb szolgáltatások költsége összesen 294 667 eFt, 1,1 %-os mértékkel tért el a tervhez képest,  3 290 eFt-tal túllépve azt.</w:t>
      </w:r>
    </w:p>
    <w:p w:rsidR="003E7ED2" w:rsidRPr="00814F8E" w:rsidRDefault="003E7ED2" w:rsidP="003E7ED2">
      <w:pPr>
        <w:rPr>
          <w:sz w:val="12"/>
          <w:szCs w:val="12"/>
        </w:rPr>
      </w:pPr>
    </w:p>
    <w:p w:rsidR="003E7ED2" w:rsidRPr="003E7ED2" w:rsidRDefault="003E7ED2" w:rsidP="003E7ED2">
      <w:r w:rsidRPr="003E7ED2">
        <w:rPr>
          <w:noProof/>
        </w:rPr>
        <w:drawing>
          <wp:inline distT="0" distB="0" distL="0" distR="0" wp14:anchorId="2A32232F" wp14:editId="607C9CBC">
            <wp:extent cx="6181725" cy="3076575"/>
            <wp:effectExtent l="0" t="0" r="9525" b="9525"/>
            <wp:docPr id="30" name="Diagram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3E7ED2" w:rsidRPr="003E7ED2" w:rsidRDefault="003E7ED2" w:rsidP="003E7ED2">
      <w:r w:rsidRPr="003E7ED2">
        <w:t xml:space="preserve">A </w:t>
      </w:r>
      <w:r w:rsidRPr="003E7ED2">
        <w:rPr>
          <w:i/>
        </w:rPr>
        <w:t>vízkészlet járulék</w:t>
      </w:r>
      <w:r w:rsidRPr="003E7ED2">
        <w:t xml:space="preserve"> 55 655 eFt, a 4,5 Ft/m</w:t>
      </w:r>
      <w:r w:rsidRPr="003E7ED2">
        <w:rPr>
          <w:vertAlign w:val="superscript"/>
        </w:rPr>
        <w:t>3</w:t>
      </w:r>
      <w:r w:rsidRPr="003E7ED2">
        <w:t xml:space="preserve"> mértékű alapdíj 2021. évre nem változott. </w:t>
      </w:r>
    </w:p>
    <w:p w:rsidR="003E7ED2" w:rsidRPr="003E7ED2" w:rsidRDefault="003E7ED2" w:rsidP="00855E4A">
      <w:pPr>
        <w:ind w:right="176"/>
      </w:pPr>
      <w:r w:rsidRPr="003E7ED2">
        <w:t xml:space="preserve">A </w:t>
      </w:r>
      <w:r w:rsidRPr="003E7ED2">
        <w:rPr>
          <w:i/>
        </w:rPr>
        <w:t>hatósági díjak, illetékek</w:t>
      </w:r>
      <w:r w:rsidRPr="003E7ED2">
        <w:t xml:space="preserve"> mértéke 25 505 eFt, amely a tervezett értéknél 5,5 %-kal alacsonyabb. </w:t>
      </w:r>
    </w:p>
    <w:p w:rsidR="003E7ED2" w:rsidRPr="003E7ED2" w:rsidRDefault="003E7ED2" w:rsidP="00855E4A">
      <w:pPr>
        <w:ind w:right="176"/>
      </w:pPr>
      <w:r w:rsidRPr="003E7ED2">
        <w:lastRenderedPageBreak/>
        <w:t xml:space="preserve">A Magyar Energetikai és Közmű-szabályozási Hivatal részére – a bevallott felhasználói egyenérték alapján – </w:t>
      </w:r>
      <w:r w:rsidR="00A13F4B" w:rsidRPr="003E7ED2">
        <w:t xml:space="preserve">a tárgyévre </w:t>
      </w:r>
      <w:r w:rsidRPr="003E7ED2">
        <w:t xml:space="preserve">fizetett éves </w:t>
      </w:r>
      <w:r w:rsidRPr="003E7ED2">
        <w:rPr>
          <w:i/>
        </w:rPr>
        <w:t>felügyeleti díj</w:t>
      </w:r>
      <w:r w:rsidRPr="003E7ED2">
        <w:t xml:space="preserve"> </w:t>
      </w:r>
      <w:r w:rsidR="00A13F4B" w:rsidRPr="003E7ED2">
        <w:t>42 864 eFt</w:t>
      </w:r>
      <w:r w:rsidR="00A13F4B">
        <w:t>,</w:t>
      </w:r>
      <w:r w:rsidR="00A13F4B" w:rsidRPr="003E7ED2">
        <w:t xml:space="preserve"> </w:t>
      </w:r>
      <w:r w:rsidRPr="003E7ED2">
        <w:t xml:space="preserve">a terv készítésekor számított előzetes adat 100,7 %-a. </w:t>
      </w:r>
    </w:p>
    <w:p w:rsidR="003E7ED2" w:rsidRPr="003E7ED2" w:rsidRDefault="003E7ED2" w:rsidP="00855E4A">
      <w:pPr>
        <w:ind w:right="176"/>
      </w:pPr>
      <w:r w:rsidRPr="003E7ED2">
        <w:t xml:space="preserve">Posta Elszámoló Központ </w:t>
      </w:r>
      <w:r w:rsidRPr="003E7ED2">
        <w:rPr>
          <w:i/>
        </w:rPr>
        <w:t>csekkelszámolás és bank költség</w:t>
      </w:r>
      <w:r w:rsidRPr="003E7ED2">
        <w:t xml:space="preserve"> 145 873 eFt, 5,7 %-kal, 7 873 eFt-tal magasabb a tervezett értéknél,</w:t>
      </w:r>
      <w:r w:rsidRPr="003E7ED2">
        <w:rPr>
          <w:szCs w:val="24"/>
        </w:rPr>
        <w:t xml:space="preserve"> amely összeg tartalmazza a pénzügyi tranzakciós illetéket is.</w:t>
      </w:r>
    </w:p>
    <w:p w:rsidR="003E7ED2" w:rsidRPr="003E7ED2" w:rsidRDefault="003E7ED2" w:rsidP="00855E4A">
      <w:pPr>
        <w:ind w:right="176"/>
      </w:pPr>
      <w:r w:rsidRPr="003E7ED2">
        <w:rPr>
          <w:i/>
        </w:rPr>
        <w:t>Gépjármű biztosítások, vezetői felelősségbiztosítás és vagyon biztosítás</w:t>
      </w:r>
      <w:r w:rsidRPr="003E7ED2">
        <w:t xml:space="preserve"> együttesen 24 770 eFt, </w:t>
      </w:r>
      <w:r w:rsidR="00855E4A">
        <w:br/>
      </w:r>
      <w:r w:rsidRPr="003E7ED2">
        <w:t xml:space="preserve">0,8 %-kal, 229 eFt-tal alacsonyabb a tervezettnél. </w:t>
      </w:r>
    </w:p>
    <w:p w:rsidR="00814F8E" w:rsidRDefault="003E7ED2" w:rsidP="00855E4A">
      <w:pPr>
        <w:ind w:right="176"/>
        <w:rPr>
          <w:szCs w:val="23"/>
        </w:rPr>
      </w:pPr>
      <w:r w:rsidRPr="003E7ED2">
        <w:rPr>
          <w:i/>
        </w:rPr>
        <w:t>Eladott áruk, közvetített szolgáltatások</w:t>
      </w:r>
      <w:r w:rsidRPr="003E7ED2">
        <w:t xml:space="preserve"> értéke 90 103 eFt. </w:t>
      </w:r>
      <w:r w:rsidR="00C93C8A">
        <w:rPr>
          <w:szCs w:val="23"/>
        </w:rPr>
        <w:t>Az értéke magasabb a t</w:t>
      </w:r>
      <w:r w:rsidR="00DB1D6A">
        <w:rPr>
          <w:szCs w:val="23"/>
        </w:rPr>
        <w:t xml:space="preserve">ervezettnél. Jelentős tétele a </w:t>
      </w:r>
      <w:r w:rsidR="00C93C8A">
        <w:rPr>
          <w:szCs w:val="23"/>
        </w:rPr>
        <w:t>Szombathely-Kőszeg vízellátási rendszer valamint a Szombathely-Kőszeg szennyvízelvezetési és –tisztítási rendszer</w:t>
      </w:r>
      <w:r w:rsidRPr="003E7ED2">
        <w:rPr>
          <w:szCs w:val="23"/>
        </w:rPr>
        <w:t xml:space="preserve"> vagyonértékelés</w:t>
      </w:r>
      <w:r w:rsidR="00C93C8A">
        <w:rPr>
          <w:szCs w:val="23"/>
        </w:rPr>
        <w:t>i költsége, amely az érintett felek</w:t>
      </w:r>
      <w:r w:rsidRPr="003E7ED2">
        <w:rPr>
          <w:szCs w:val="23"/>
        </w:rPr>
        <w:t xml:space="preserve"> részére továbbszámlázásra került.</w:t>
      </w:r>
    </w:p>
    <w:p w:rsidR="00814F8E" w:rsidRDefault="00814F8E">
      <w:pPr>
        <w:jc w:val="left"/>
        <w:rPr>
          <w:szCs w:val="23"/>
        </w:rPr>
      </w:pPr>
      <w:r>
        <w:rPr>
          <w:szCs w:val="23"/>
        </w:rPr>
        <w:br w:type="page"/>
      </w:r>
    </w:p>
    <w:p w:rsidR="00814F8E" w:rsidRDefault="00814F8E">
      <w:pPr>
        <w:jc w:val="left"/>
        <w:rPr>
          <w:szCs w:val="23"/>
        </w:rPr>
      </w:pPr>
    </w:p>
    <w:p w:rsidR="003E7ED2" w:rsidRPr="003E7ED2" w:rsidRDefault="003E7ED2" w:rsidP="00855E4A">
      <w:pPr>
        <w:ind w:right="176"/>
        <w:rPr>
          <w:szCs w:val="23"/>
        </w:rPr>
      </w:pPr>
    </w:p>
    <w:p w:rsidR="003E7ED2" w:rsidRPr="003E7ED2" w:rsidRDefault="003E7ED2" w:rsidP="003E7ED2">
      <w:pPr>
        <w:rPr>
          <w:i/>
          <w:szCs w:val="24"/>
        </w:rPr>
      </w:pPr>
    </w:p>
    <w:p w:rsidR="003E7ED2" w:rsidRDefault="003E7ED2" w:rsidP="003E7ED2">
      <w:pPr>
        <w:rPr>
          <w:i/>
        </w:rPr>
      </w:pPr>
      <w:r w:rsidRPr="003E7ED2">
        <w:rPr>
          <w:i/>
        </w:rPr>
        <w:t>Személyi jellegű ráfordítások</w:t>
      </w:r>
    </w:p>
    <w:p w:rsidR="002F278B" w:rsidRPr="002F278B" w:rsidRDefault="002F278B" w:rsidP="003E7ED2">
      <w:pPr>
        <w:rPr>
          <w:i/>
        </w:rPr>
      </w:pPr>
      <w:r w:rsidRPr="002F278B">
        <w:rPr>
          <w:noProof/>
        </w:rPr>
        <mc:AlternateContent>
          <mc:Choice Requires="wpg">
            <w:drawing>
              <wp:inline distT="0" distB="0" distL="0" distR="0" wp14:anchorId="6E1075AD" wp14:editId="087F6FA1">
                <wp:extent cx="6193321" cy="3264195"/>
                <wp:effectExtent l="0" t="0" r="0" b="12700"/>
                <wp:docPr id="7" name="Csoportba foglalás 23"/>
                <wp:cNvGraphicFramePr/>
                <a:graphic xmlns:a="http://schemas.openxmlformats.org/drawingml/2006/main">
                  <a:graphicData uri="http://schemas.microsoft.com/office/word/2010/wordprocessingGroup">
                    <wpg:wgp>
                      <wpg:cNvGrpSpPr/>
                      <wpg:grpSpPr>
                        <a:xfrm>
                          <a:off x="0" y="0"/>
                          <a:ext cx="6193321" cy="3264195"/>
                          <a:chOff x="0" y="0"/>
                          <a:chExt cx="6211084" cy="3529013"/>
                        </a:xfrm>
                      </wpg:grpSpPr>
                      <wpg:grpSp>
                        <wpg:cNvPr id="12" name="Csoportba foglalás 12"/>
                        <wpg:cNvGrpSpPr/>
                        <wpg:grpSpPr>
                          <a:xfrm>
                            <a:off x="0" y="0"/>
                            <a:ext cx="6211084" cy="3529013"/>
                            <a:chOff x="0" y="0"/>
                            <a:chExt cx="6211084" cy="3529013"/>
                          </a:xfrm>
                        </wpg:grpSpPr>
                        <wpg:graphicFrame>
                          <wpg:cNvPr id="15" name="Diagram 15"/>
                          <wpg:cNvFrPr/>
                          <wpg:xfrm>
                            <a:off x="0" y="0"/>
                            <a:ext cx="6081845" cy="3529013"/>
                          </wpg:xfrm>
                          <a:graphic>
                            <a:graphicData uri="http://schemas.openxmlformats.org/drawingml/2006/chart">
                              <c:chart xmlns:c="http://schemas.openxmlformats.org/drawingml/2006/chart" xmlns:r="http://schemas.openxmlformats.org/officeDocument/2006/relationships" r:id="rId32"/>
                            </a:graphicData>
                          </a:graphic>
                        </wpg:graphicFrame>
                        <wps:wsp>
                          <wps:cNvPr id="18" name="Szövegdoboz 18"/>
                          <wps:cNvSpPr txBox="1"/>
                          <wps:spPr>
                            <a:xfrm>
                              <a:off x="5374953" y="1784697"/>
                              <a:ext cx="836131" cy="256761"/>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rsidR="00A54F90" w:rsidRDefault="00A54F90" w:rsidP="002F278B">
                                <w:pPr>
                                  <w:pStyle w:val="NormlWeb"/>
                                  <w:spacing w:before="0" w:beforeAutospacing="0" w:after="0"/>
                                </w:pPr>
                                <w:r>
                                  <w:rPr>
                                    <w:rFonts w:asciiTheme="minorHAnsi" w:hAnsi="Calibri" w:cstheme="minorBidi"/>
                                    <w:b/>
                                    <w:bCs/>
                                    <w:color w:val="000000" w:themeColor="dark1"/>
                                    <w:sz w:val="22"/>
                                    <w:szCs w:val="22"/>
                                  </w:rPr>
                                  <w:t>3 358 926</w:t>
                                </w:r>
                              </w:p>
                            </w:txbxContent>
                          </wps:txbx>
                          <wps:bodyPr wrap="square" rtlCol="0" anchor="t"/>
                        </wps:wsp>
                      </wpg:grpSp>
                      <wpg:grpSp>
                        <wpg:cNvPr id="20" name="Csoportba foglalás 20"/>
                        <wpg:cNvGrpSpPr/>
                        <wpg:grpSpPr>
                          <a:xfrm>
                            <a:off x="2197709" y="1704382"/>
                            <a:ext cx="2628187" cy="384702"/>
                            <a:chOff x="2197709" y="1704382"/>
                            <a:chExt cx="2628187" cy="384702"/>
                          </a:xfrm>
                        </wpg:grpSpPr>
                        <wps:wsp>
                          <wps:cNvPr id="22" name="Szövegdoboz 9"/>
                          <wps:cNvSpPr txBox="1"/>
                          <wps:spPr>
                            <a:xfrm>
                              <a:off x="3814109" y="1704382"/>
                              <a:ext cx="1011787" cy="307269"/>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rsidR="00A54F90" w:rsidRDefault="00A54F90" w:rsidP="002F278B">
                                <w:pPr>
                                  <w:pStyle w:val="NormlWeb"/>
                                  <w:spacing w:before="0" w:beforeAutospacing="0" w:after="0"/>
                                </w:pPr>
                                <w:r>
                                  <w:rPr>
                                    <w:rFonts w:asciiTheme="minorHAnsi" w:hAnsi="Calibri" w:cstheme="minorBidi"/>
                                    <w:b/>
                                    <w:bCs/>
                                    <w:color w:val="000000" w:themeColor="dark1"/>
                                    <w:sz w:val="22"/>
                                    <w:szCs w:val="22"/>
                                  </w:rPr>
                                  <w:t>3 387 826</w:t>
                                </w:r>
                              </w:p>
                            </w:txbxContent>
                          </wps:txbx>
                          <wps:bodyPr wrap="square" rtlCol="0" anchor="t"/>
                        </wps:wsp>
                        <wps:wsp>
                          <wps:cNvPr id="24" name="Szövegdoboz 12"/>
                          <wps:cNvSpPr txBox="1"/>
                          <wps:spPr>
                            <a:xfrm>
                              <a:off x="2197709" y="1806024"/>
                              <a:ext cx="918424" cy="283060"/>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rsidR="00A54F90" w:rsidRDefault="00A54F90" w:rsidP="002F278B">
                                <w:pPr>
                                  <w:pStyle w:val="NormlWeb"/>
                                  <w:spacing w:before="0" w:beforeAutospacing="0" w:after="0"/>
                                </w:pPr>
                                <w:r>
                                  <w:rPr>
                                    <w:rFonts w:asciiTheme="minorHAnsi" w:hAnsi="Calibri" w:cstheme="minorBidi"/>
                                    <w:b/>
                                    <w:bCs/>
                                    <w:color w:val="000000" w:themeColor="dark1"/>
                                    <w:sz w:val="22"/>
                                    <w:szCs w:val="22"/>
                                  </w:rPr>
                                  <w:t>3 182 139</w:t>
                                </w:r>
                              </w:p>
                            </w:txbxContent>
                          </wps:txbx>
                          <wps:bodyPr wrap="square" rtlCol="0" anchor="t"/>
                        </wps:wsp>
                      </wpg:grpSp>
                    </wpg:wgp>
                  </a:graphicData>
                </a:graphic>
              </wp:inline>
            </w:drawing>
          </mc:Choice>
          <mc:Fallback>
            <w:pict>
              <v:group w14:anchorId="6E1075AD" id="Csoportba foglalás 23" o:spid="_x0000_s1026" style="width:487.65pt;height:257pt;mso-position-horizontal-relative:char;mso-position-vertical-relative:line" coordsize="62110,35290" o:gfxdata="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">
                <v:group id="Csoportba foglalás 12" o:spid="_x0000_s1027" style="position:absolute;width:62110;height:35290" coordsize="62110,352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iagram 15" o:spid="_x0000_s1028" type="#_x0000_t75" style="position:absolute;left:-61;top:-65;width:60951;height:3539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">
                    <v:imagedata r:id="rId33" o:title=""/>
                    <o:lock v:ext="edit" aspectratio="f"/>
                  </v:shape>
                  <v:shapetype id="_x0000_t202" coordsize="21600,21600" o:spt="202" path="m,l,21600r21600,l21600,xe">
                    <v:stroke joinstyle="miter"/>
                    <v:path gradientshapeok="t" o:connecttype="rect"/>
                  </v:shapetype>
                  <v:shape id="Szövegdoboz 18" o:spid="_x0000_s1029" type="#_x0000_t202" style="position:absolute;left:53749;top:17846;width:8361;height:25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bZ/8QA&#10;AADbAAAADwAAAGRycy9kb3ducmV2LnhtbESPT2vCQBDF70K/wzIFb7rbYkWjq5SWgqcW4x/wNmTH&#10;JDQ7G7JbE79951DobYb35r3frLeDb9SNulgHtvA0NaCIi+BqLi0cDx+TBaiYkB02gcnCnSJsNw+j&#10;NWYu9LynW55KJSEcM7RQpdRmWseiIo9xGlpi0a6h85hk7UrtOuwl3Df62Zi59lizNFTY0ltFxXf+&#10;4y2cPq+X88x8le/+pe3DYDT7pbZ2/Di8rkAlGtK/+e965wRfYOUXGUB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22f/EAAAA2wAAAA8AAAAAAAAAAAAAAAAAmAIAAGRycy9k&#10;b3ducmV2LnhtbFBLBQYAAAAABAAEAPUAAACJAwAAAAA=&#10;" filled="f" stroked="f">
                    <v:textbox>
                      <w:txbxContent>
                        <w:p w:rsidR="00A54F90" w:rsidRDefault="00A54F90" w:rsidP="002F278B">
                          <w:pPr>
                            <w:pStyle w:val="NormlWeb"/>
                            <w:spacing w:before="0" w:beforeAutospacing="0" w:after="0"/>
                          </w:pPr>
                          <w:r>
                            <w:rPr>
                              <w:rFonts w:asciiTheme="minorHAnsi" w:hAnsi="Calibri" w:cstheme="minorBidi"/>
                              <w:b/>
                              <w:bCs/>
                              <w:color w:val="000000" w:themeColor="dark1"/>
                              <w:sz w:val="22"/>
                              <w:szCs w:val="22"/>
                            </w:rPr>
                            <w:t>3 358 926</w:t>
                          </w:r>
                        </w:p>
                      </w:txbxContent>
                    </v:textbox>
                  </v:shape>
                </v:group>
                <v:group id="Csoportba foglalás 20" o:spid="_x0000_s1030" style="position:absolute;left:21977;top:17043;width:26281;height:3847" coordorigin="21977,17043" coordsize="26281,38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1EIp8IAAADbAAAADwAAAGRycy9kb3ducmV2LnhtbERPy0rDQBTdC/2H4Ra6&#10;s5O0KCV2EkpR6aIIJoK4u2RuHiRzJ2TGJP37zkJweTjvY7aYXkw0utaygngbgSAurW65VvBVvD0e&#10;QDiPrLG3TApu5CBLVw9HTLSd+ZOm3NcihLBLUEHj/ZBI6cqGDLqtHYgDV9nRoA9wrKUecQ7hppe7&#10;KHqWBlsODQ0OdG6o7PJfo+B9xvm0j1+na1edbz/F08f3NSalNuvl9ALC0+L/xX/ui1awC+v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NRCKfCAAAA2wAAAA8A&#10;AAAAAAAAAAAAAAAAqgIAAGRycy9kb3ducmV2LnhtbFBLBQYAAAAABAAEAPoAAACZAwAAAAA=&#10;">
                  <v:shape id="Szövegdoboz 9" o:spid="_x0000_s1031" type="#_x0000_t202" style="position:absolute;left:38141;top:17043;width:10117;height:30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IkqMIA&#10;AADbAAAADwAAAGRycy9kb3ducmV2LnhtbESPQWvCQBSE7wX/w/IEb3XXYItGV5EWwVOlVgVvj+wz&#10;CWbfhuxq4r93BaHHYWa+YebLzlbiRo0vHWsYDRUI4syZknMN+7/1+wSED8gGK8ek4U4elove2xxT&#10;41r+pdsu5CJC2KeooQihTqX0WUEW/dDVxNE7u8ZiiLLJpWmwjXBbyUSpT2mx5LhQYE1fBWWX3dVq&#10;OPycT8ex2ubf9qNuXack26nUetDvVjMQgbrwH361N0ZDksDzS/wB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ciSowgAAANsAAAAPAAAAAAAAAAAAAAAAAJgCAABkcnMvZG93&#10;bnJldi54bWxQSwUGAAAAAAQABAD1AAAAhwMAAAAA&#10;" filled="f" stroked="f">
                    <v:textbox>
                      <w:txbxContent>
                        <w:p w:rsidR="00A54F90" w:rsidRDefault="00A54F90" w:rsidP="002F278B">
                          <w:pPr>
                            <w:pStyle w:val="NormlWeb"/>
                            <w:spacing w:before="0" w:beforeAutospacing="0" w:after="0"/>
                          </w:pPr>
                          <w:r>
                            <w:rPr>
                              <w:rFonts w:asciiTheme="minorHAnsi" w:hAnsi="Calibri" w:cstheme="minorBidi"/>
                              <w:b/>
                              <w:bCs/>
                              <w:color w:val="000000" w:themeColor="dark1"/>
                              <w:sz w:val="22"/>
                              <w:szCs w:val="22"/>
                            </w:rPr>
                            <w:t>3 387 826</w:t>
                          </w:r>
                        </w:p>
                      </w:txbxContent>
                    </v:textbox>
                  </v:shape>
                  <v:shape id="Szövegdoboz 12" o:spid="_x0000_s1032" type="#_x0000_t202" style="position:absolute;left:21977;top:18060;width:9184;height:28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cZR8IA&#10;AADbAAAADwAAAGRycy9kb3ducmV2LnhtbESPT4vCMBTE7wt+h/AEb2uiuItWo4gieFpZ/4G3R/Ns&#10;i81LaaKt394sLHgcZuY3zGzR2lI8qPaFYw2DvgJBnDpTcKbheNh8jkH4gGywdEwanuRhMe98zDAx&#10;ruFfeuxDJiKEfYIa8hCqREqf5mTR911FHL2rqy2GKOtMmhqbCLelHCr1LS0WHBdyrGiVU3rb362G&#10;08/1ch6pXba2X1XjWiXZTqTWvW67nIII1IZ3+L+9NRqGI/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1xlHwgAAANsAAAAPAAAAAAAAAAAAAAAAAJgCAABkcnMvZG93&#10;bnJldi54bWxQSwUGAAAAAAQABAD1AAAAhwMAAAAA&#10;" filled="f" stroked="f">
                    <v:textbox>
                      <w:txbxContent>
                        <w:p w:rsidR="00A54F90" w:rsidRDefault="00A54F90" w:rsidP="002F278B">
                          <w:pPr>
                            <w:pStyle w:val="NormlWeb"/>
                            <w:spacing w:before="0" w:beforeAutospacing="0" w:after="0"/>
                          </w:pPr>
                          <w:r>
                            <w:rPr>
                              <w:rFonts w:asciiTheme="minorHAnsi" w:hAnsi="Calibri" w:cstheme="minorBidi"/>
                              <w:b/>
                              <w:bCs/>
                              <w:color w:val="000000" w:themeColor="dark1"/>
                              <w:sz w:val="22"/>
                              <w:szCs w:val="22"/>
                            </w:rPr>
                            <w:t>3 182 139</w:t>
                          </w:r>
                        </w:p>
                      </w:txbxContent>
                    </v:textbox>
                  </v:shape>
                </v:group>
                <w10:anchorlock/>
              </v:group>
            </w:pict>
          </mc:Fallback>
        </mc:AlternateContent>
      </w:r>
    </w:p>
    <w:p w:rsidR="002F278B" w:rsidRDefault="002F278B" w:rsidP="003E7ED2"/>
    <w:p w:rsidR="002F278B" w:rsidRPr="003E7ED2" w:rsidRDefault="002F278B" w:rsidP="003E7ED2"/>
    <w:p w:rsidR="003E7ED2" w:rsidRPr="003E7ED2" w:rsidRDefault="003E7ED2" w:rsidP="003E7ED2">
      <w:pPr>
        <w:autoSpaceDN w:val="0"/>
        <w:ind w:right="-284"/>
        <w:textAlignment w:val="baseline"/>
        <w:rPr>
          <w:kern w:val="3"/>
          <w:szCs w:val="24"/>
          <w:lang w:eastAsia="zh-CN"/>
        </w:rPr>
      </w:pPr>
      <w:r w:rsidRPr="003E7ED2">
        <w:t xml:space="preserve">A </w:t>
      </w:r>
      <w:r w:rsidRPr="003E7ED2">
        <w:rPr>
          <w:i/>
        </w:rPr>
        <w:t>bérköltség</w:t>
      </w:r>
      <w:r w:rsidRPr="003E7ED2">
        <w:t xml:space="preserve"> 2 760 771 eFt, amely tény bérköltség tartalmazza a</w:t>
      </w:r>
      <w:r w:rsidRPr="003E7ED2">
        <w:rPr>
          <w:kern w:val="3"/>
          <w:szCs w:val="24"/>
          <w:lang w:eastAsia="zh-CN"/>
        </w:rPr>
        <w:t xml:space="preserve"> január 1-jétől végrehajtott, törvényileg kihirdetett minimálbér és garantált bérminimum szerinti alapbér emelést, amely 34 főt érintett és 4 009 eFt bértömeg</w:t>
      </w:r>
      <w:r w:rsidR="00E31EF0">
        <w:rPr>
          <w:kern w:val="3"/>
          <w:szCs w:val="24"/>
          <w:lang w:eastAsia="zh-CN"/>
        </w:rPr>
        <w:t xml:space="preserve"> növekményt jelentett valamint tartalmazza a 2022. január 1-jétől és </w:t>
      </w:r>
      <w:r w:rsidRPr="003E7ED2">
        <w:rPr>
          <w:kern w:val="3"/>
          <w:szCs w:val="24"/>
          <w:lang w:eastAsia="zh-CN"/>
        </w:rPr>
        <w:t>november 1-jétől végrehajtott diff</w:t>
      </w:r>
      <w:r w:rsidR="00E31EF0">
        <w:rPr>
          <w:kern w:val="3"/>
          <w:szCs w:val="24"/>
          <w:lang w:eastAsia="zh-CN"/>
        </w:rPr>
        <w:t>erenciált</w:t>
      </w:r>
      <w:r w:rsidR="00806E40">
        <w:rPr>
          <w:kern w:val="3"/>
          <w:szCs w:val="24"/>
          <w:lang w:eastAsia="zh-CN"/>
        </w:rPr>
        <w:t xml:space="preserve"> 9 %-os illetve</w:t>
      </w:r>
      <w:r w:rsidR="00E31EF0">
        <w:rPr>
          <w:kern w:val="3"/>
          <w:szCs w:val="24"/>
          <w:lang w:eastAsia="zh-CN"/>
        </w:rPr>
        <w:t xml:space="preserve"> 11 %-os alapbéremeléseket is.</w:t>
      </w:r>
    </w:p>
    <w:p w:rsidR="003E7ED2" w:rsidRPr="003E7ED2" w:rsidRDefault="003E7ED2" w:rsidP="003E7ED2">
      <w:r w:rsidRPr="003E7ED2">
        <w:t xml:space="preserve">A </w:t>
      </w:r>
      <w:r w:rsidRPr="003E7ED2">
        <w:rPr>
          <w:i/>
        </w:rPr>
        <w:t>személyi jellegű egyéb kifizetések</w:t>
      </w:r>
      <w:r w:rsidRPr="003E7ED2">
        <w:t xml:space="preserve"> (9. sz. melléklet) összege 211 473 eFt, 95,1 %-on teljesült.</w:t>
      </w:r>
    </w:p>
    <w:p w:rsidR="003E7ED2" w:rsidRPr="003E7ED2" w:rsidRDefault="003E7ED2" w:rsidP="003E7ED2">
      <w:r w:rsidRPr="003E7ED2">
        <w:t>Ezek között a költségek között mutatjuk ki a cafeteria rendszerbe bevont juttatások, valamint az egyéb juttatások és költségtérítések (betegszabadság, táppénz, munkába járás költségei, saját személygépkocsi használat költségtérítése, a Kollektív Szerződés alapján kifizetett jutalom, segélyek, külföldi és belföldi kiküldetés, reprezentáció és üzleti ajándék, végkielégítés) összegét, továbbá ezeknek a tételeknek az adó- és járulék vonzatát.</w:t>
      </w:r>
    </w:p>
    <w:p w:rsidR="003E7ED2" w:rsidRPr="003E7ED2" w:rsidRDefault="003E7ED2" w:rsidP="003E7ED2">
      <w:r w:rsidRPr="003E7ED2">
        <w:t>A cafeteria rendszerbe bevont juttatások összege 102 485 eFt, az egyéb juttatások és adók, járulékok összege 108 988 eFt.</w:t>
      </w:r>
    </w:p>
    <w:p w:rsidR="003E7ED2" w:rsidRPr="003E7ED2" w:rsidRDefault="003E7ED2" w:rsidP="003E7ED2">
      <w:pPr>
        <w:rPr>
          <w:sz w:val="8"/>
          <w:szCs w:val="8"/>
        </w:rPr>
      </w:pPr>
    </w:p>
    <w:p w:rsidR="003E7ED2" w:rsidRDefault="003E7ED2" w:rsidP="003E7ED2">
      <w:pPr>
        <w:ind w:right="-141"/>
      </w:pPr>
      <w:r w:rsidRPr="003E7ED2">
        <w:t xml:space="preserve">A </w:t>
      </w:r>
      <w:r w:rsidRPr="003E7ED2">
        <w:rPr>
          <w:i/>
        </w:rPr>
        <w:t>bérjárulékok</w:t>
      </w:r>
      <w:r w:rsidRPr="003E7ED2">
        <w:t xml:space="preserve"> mértéke 386 682 eFt, ebből a szociális hozzájárulás összege a 16 796 eFt adókedve</w:t>
      </w:r>
      <w:r w:rsidR="005A42F1">
        <w:t xml:space="preserve">zménnyel csökkentve 349 068 eFt. </w:t>
      </w:r>
      <w:r w:rsidRPr="003E7ED2">
        <w:t>A bérjárulékok mértéke csökkent</w:t>
      </w:r>
      <w:r w:rsidR="005A42F1">
        <w:t>,</w:t>
      </w:r>
      <w:r w:rsidRPr="003E7ED2">
        <w:t xml:space="preserve"> ami részben a bevezetett szocho járulék kedvezmény és a szakképzési hozzájárulás eltörlésének hatása.</w:t>
      </w:r>
    </w:p>
    <w:p w:rsidR="003E7ED2" w:rsidRPr="003E7ED2" w:rsidRDefault="003E7ED2" w:rsidP="003E7ED2">
      <w:pPr>
        <w:rPr>
          <w:i/>
        </w:rPr>
      </w:pPr>
    </w:p>
    <w:p w:rsidR="003E7ED2" w:rsidRPr="003E7ED2" w:rsidRDefault="003E7ED2" w:rsidP="003E7ED2">
      <w:pPr>
        <w:ind w:right="-141"/>
      </w:pPr>
      <w:r w:rsidRPr="003E7ED2">
        <w:rPr>
          <w:b/>
          <w:i/>
          <w:iCs/>
        </w:rPr>
        <w:t>Értékcsökkenési leírás</w:t>
      </w:r>
      <w:r w:rsidR="00E31EF0">
        <w:t xml:space="preserve"> a tervezett 94,1</w:t>
      </w:r>
      <w:r w:rsidRPr="003E7ED2">
        <w:t xml:space="preserve"> %-a, mértéke 357 437 eFt, amely a működtető vagyon és a rendszerfüggetlen víziközmű elemek után elszámolt értékcsökkenést tartalmazza.</w:t>
      </w:r>
    </w:p>
    <w:p w:rsidR="003E7ED2" w:rsidRPr="003E7ED2" w:rsidRDefault="003E7ED2" w:rsidP="003E7ED2">
      <w:pPr>
        <w:ind w:right="-141"/>
      </w:pPr>
      <w:r w:rsidRPr="003E7ED2">
        <w:rPr>
          <w:i/>
        </w:rPr>
        <w:t xml:space="preserve">A terv szerinti értékcsökkenés </w:t>
      </w:r>
      <w:r w:rsidRPr="003E7ED2">
        <w:t>338 271 eFt (teljesítési szint 95,3%).</w:t>
      </w:r>
    </w:p>
    <w:p w:rsidR="003E7ED2" w:rsidRPr="003E7ED2" w:rsidRDefault="003E7ED2" w:rsidP="003E7ED2">
      <w:pPr>
        <w:ind w:right="-141"/>
      </w:pPr>
      <w:r w:rsidRPr="003E7ED2">
        <w:rPr>
          <w:i/>
        </w:rPr>
        <w:t xml:space="preserve">Kis értékű tárgyi eszköz értékcsökkenés </w:t>
      </w:r>
      <w:r w:rsidRPr="003E7ED2">
        <w:t>19 166 eFt (teljesítési szint 76,7%).</w:t>
      </w:r>
    </w:p>
    <w:p w:rsidR="003E7ED2" w:rsidRPr="003E7ED2" w:rsidRDefault="003E7ED2" w:rsidP="003E7ED2">
      <w:pPr>
        <w:rPr>
          <w:szCs w:val="24"/>
        </w:rPr>
      </w:pPr>
    </w:p>
    <w:p w:rsidR="003E7ED2" w:rsidRPr="003E7ED2" w:rsidRDefault="003E7ED2" w:rsidP="003E7ED2">
      <w:r w:rsidRPr="003E7ED2">
        <w:rPr>
          <w:i/>
        </w:rPr>
        <w:t xml:space="preserve">Egyéb ráfordítások </w:t>
      </w:r>
      <w:r w:rsidRPr="003E7ED2">
        <w:t xml:space="preserve">összege 451 015 eFt, a tervezettnél 97 233 eFt-tal, 27,5 %-kal magasabb. </w:t>
      </w:r>
    </w:p>
    <w:p w:rsidR="003E7ED2" w:rsidRPr="003E7ED2" w:rsidRDefault="003E7ED2" w:rsidP="003E7ED2">
      <w:pPr>
        <w:rPr>
          <w:i/>
          <w:sz w:val="8"/>
          <w:szCs w:val="8"/>
        </w:rPr>
      </w:pPr>
    </w:p>
    <w:p w:rsidR="003E7ED2" w:rsidRPr="003E7ED2" w:rsidRDefault="003E7ED2" w:rsidP="003E7ED2">
      <w:pPr>
        <w:rPr>
          <w:i/>
        </w:rPr>
      </w:pPr>
    </w:p>
    <w:p w:rsidR="003E7ED2" w:rsidRPr="003E7ED2" w:rsidRDefault="00E31EF0" w:rsidP="003E7ED2">
      <w:pPr>
        <w:jc w:val="center"/>
        <w:rPr>
          <w:i/>
        </w:rPr>
      </w:pPr>
      <w:r>
        <w:rPr>
          <w:noProof/>
        </w:rPr>
        <w:drawing>
          <wp:inline distT="0" distB="0" distL="0" distR="0" wp14:anchorId="1E8B1754" wp14:editId="68D37DA1">
            <wp:extent cx="6305703" cy="3035808"/>
            <wp:effectExtent l="0" t="0" r="0" b="12700"/>
            <wp:docPr id="40" name="Diagram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3E7ED2" w:rsidRPr="003E7ED2" w:rsidRDefault="003E7ED2" w:rsidP="003E7ED2">
      <w:pPr>
        <w:rPr>
          <w:i/>
        </w:rPr>
      </w:pPr>
    </w:p>
    <w:p w:rsidR="003E7ED2" w:rsidRPr="003E7ED2" w:rsidRDefault="003E7ED2" w:rsidP="003E7ED2">
      <w:r w:rsidRPr="003E7ED2">
        <w:rPr>
          <w:i/>
        </w:rPr>
        <w:t>Víz- és levegőterhelési díj</w:t>
      </w:r>
      <w:r w:rsidRPr="003E7ED2">
        <w:t xml:space="preserve"> befizetési kötelezettségünk 40 987 eFt.</w:t>
      </w:r>
    </w:p>
    <w:p w:rsidR="003E7ED2" w:rsidRPr="003E7ED2" w:rsidRDefault="003E7ED2" w:rsidP="003E7ED2">
      <w:r w:rsidRPr="003E7ED2">
        <w:rPr>
          <w:i/>
        </w:rPr>
        <w:t xml:space="preserve">Közművezeték adó mértéke </w:t>
      </w:r>
      <w:r w:rsidRPr="003E7ED2">
        <w:t>2022. évben 146 950 eFt, ami a tervezettek szerint alakult.</w:t>
      </w:r>
    </w:p>
    <w:p w:rsidR="003E7ED2" w:rsidRPr="003E7ED2" w:rsidRDefault="003E7ED2" w:rsidP="003E7ED2">
      <w:pPr>
        <w:rPr>
          <w:i/>
        </w:rPr>
      </w:pPr>
      <w:r w:rsidRPr="003E7ED2">
        <w:t>A 2013. évben bevezetett közművezeték adó törvény 2021. évben módosult. A naptári év első napján üzemeltetett ivóvíz- és szennyvízvezeték után fizetendő közművezeték adójának alapja 2021. évben a víziközmű közművezeték nyomvonalának korrigált hossza. Bevezetésre került az ún. korrekciós tényező, amely a tárgyévet megelőző évben értékesített ivóvíz és elvezetett szennyvíz köbméterben számított mennyiségének 1 kilométer közművezetékre vonatkoztatott hányadosa. Az így számított közművezeték minden megkezdett métere után fizetendő adó 125 Ft</w:t>
      </w:r>
      <w:r w:rsidRPr="003E7ED2">
        <w:rPr>
          <w:i/>
        </w:rPr>
        <w:t>.</w:t>
      </w:r>
    </w:p>
    <w:p w:rsidR="003E7ED2" w:rsidRPr="003E7ED2" w:rsidRDefault="003E7ED2" w:rsidP="003E7ED2">
      <w:r w:rsidRPr="003E7ED2">
        <w:rPr>
          <w:i/>
        </w:rPr>
        <w:t>Innovációs hozzájárulás</w:t>
      </w:r>
      <w:r w:rsidRPr="003E7ED2">
        <w:t xml:space="preserve"> 15 632 eFt, 84,5%-on teljesült.</w:t>
      </w:r>
      <w:r w:rsidR="005A42F1">
        <w:t xml:space="preserve"> </w:t>
      </w:r>
      <w:r w:rsidRPr="003E7ED2">
        <w:t>Az innovációs hozzájárulás alapja a helyi iparűzési adóval megegyező. Az iparűzési adó is kedvezőbb volt a tervezettnél, ez okozta az innovációs hozzájárulás tervtől való eltérését is.</w:t>
      </w:r>
    </w:p>
    <w:p w:rsidR="003E7ED2" w:rsidRPr="003E7ED2" w:rsidRDefault="003E7ED2" w:rsidP="003E7ED2"/>
    <w:p w:rsidR="003E7ED2" w:rsidRPr="003E7ED2" w:rsidRDefault="003E7ED2" w:rsidP="003E7ED2">
      <w:pPr>
        <w:jc w:val="center"/>
      </w:pPr>
      <w:r w:rsidRPr="003E7ED2">
        <w:rPr>
          <w:noProof/>
        </w:rPr>
        <w:lastRenderedPageBreak/>
        <w:drawing>
          <wp:inline distT="0" distB="0" distL="0" distR="0" wp14:anchorId="32A9049C" wp14:editId="1922A3CD">
            <wp:extent cx="5438775" cy="2590800"/>
            <wp:effectExtent l="0" t="0" r="9525" b="0"/>
            <wp:docPr id="33" name="Diagram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3E7ED2" w:rsidRPr="003E7ED2" w:rsidRDefault="003E7ED2" w:rsidP="003E7ED2"/>
    <w:p w:rsidR="003E7ED2" w:rsidRPr="003E7ED2" w:rsidRDefault="003E7ED2" w:rsidP="003E7ED2">
      <w:r w:rsidRPr="003E7ED2">
        <w:t xml:space="preserve">Az </w:t>
      </w:r>
      <w:r w:rsidRPr="003E7ED2">
        <w:rPr>
          <w:i/>
        </w:rPr>
        <w:t>iparűzési adó</w:t>
      </w:r>
      <w:r w:rsidRPr="003E7ED2">
        <w:t xml:space="preserve"> 90 843 eFt, amely 84,2%-os szinten teljesült. Ebből Szombathely MJV-nak fizetett iparűzési adó összege 48 015 eFt, a teljes kötelezettség 56,8 %-a.</w:t>
      </w:r>
    </w:p>
    <w:p w:rsidR="003E7ED2" w:rsidRPr="003E7ED2" w:rsidRDefault="003E7ED2" w:rsidP="003E7ED2">
      <w:r w:rsidRPr="003E7ED2">
        <w:rPr>
          <w:i/>
        </w:rPr>
        <w:t>Építményadó</w:t>
      </w:r>
      <w:r w:rsidRPr="003E7ED2">
        <w:t xml:space="preserve"> 10 196 eFt, a tervezett szinten teljesült. Ebből Szombathely MJV-nak fizetett építményadó 9 703 eFt, a teljes kötelezettség 95,2 %-a.</w:t>
      </w:r>
    </w:p>
    <w:p w:rsidR="00814F8E" w:rsidRDefault="003E7ED2" w:rsidP="003E7ED2">
      <w:r w:rsidRPr="003E7ED2">
        <w:rPr>
          <w:i/>
        </w:rPr>
        <w:t>Gépjárműadó</w:t>
      </w:r>
      <w:r w:rsidRPr="003E7ED2">
        <w:t xml:space="preserve"> 7 674 eFt, a tervezett összeg 98,4 %-a.</w:t>
      </w:r>
    </w:p>
    <w:p w:rsidR="00814F8E" w:rsidRDefault="00814F8E">
      <w:pPr>
        <w:jc w:val="left"/>
      </w:pPr>
      <w:r>
        <w:br w:type="page"/>
      </w:r>
    </w:p>
    <w:p w:rsidR="00855E4A" w:rsidRPr="00814F8E" w:rsidRDefault="00855E4A" w:rsidP="003E7ED2">
      <w:pPr>
        <w:rPr>
          <w:sz w:val="16"/>
          <w:szCs w:val="16"/>
        </w:rPr>
      </w:pPr>
    </w:p>
    <w:p w:rsidR="00855E4A" w:rsidRPr="00814F8E" w:rsidRDefault="00855E4A" w:rsidP="003E7ED2">
      <w:pPr>
        <w:rPr>
          <w:sz w:val="16"/>
          <w:szCs w:val="16"/>
        </w:rPr>
      </w:pPr>
    </w:p>
    <w:p w:rsidR="003E7ED2" w:rsidRPr="003E7ED2" w:rsidRDefault="003E7ED2" w:rsidP="003E7ED2">
      <w:r w:rsidRPr="003E7ED2">
        <w:rPr>
          <w:i/>
        </w:rPr>
        <w:t>Káreseményekkel kapcsolatos kártérítés</w:t>
      </w:r>
      <w:r w:rsidRPr="003E7ED2">
        <w:t xml:space="preserve"> 12 708 eFt. </w:t>
      </w:r>
    </w:p>
    <w:p w:rsidR="003E7ED2" w:rsidRPr="003E7ED2" w:rsidRDefault="003E7ED2" w:rsidP="003E7ED2">
      <w:r w:rsidRPr="003E7ED2">
        <w:rPr>
          <w:szCs w:val="24"/>
        </w:rPr>
        <w:t xml:space="preserve">A </w:t>
      </w:r>
      <w:r w:rsidRPr="003E7ED2">
        <w:rPr>
          <w:i/>
          <w:szCs w:val="24"/>
        </w:rPr>
        <w:t>szennyvízkibocsátás</w:t>
      </w:r>
      <w:r w:rsidRPr="003E7ED2">
        <w:rPr>
          <w:szCs w:val="24"/>
        </w:rPr>
        <w:t xml:space="preserve"> utáni </w:t>
      </w:r>
      <w:r w:rsidRPr="003E7ED2">
        <w:rPr>
          <w:i/>
          <w:szCs w:val="24"/>
        </w:rPr>
        <w:t>bírság</w:t>
      </w:r>
      <w:r w:rsidRPr="003E7ED2">
        <w:rPr>
          <w:szCs w:val="24"/>
        </w:rPr>
        <w:t xml:space="preserve"> összege a vizsgált időszakban 733 eFt,</w:t>
      </w:r>
      <w:r w:rsidRPr="003E7ED2">
        <w:rPr>
          <w14:shadow w14:blurRad="50800" w14:dist="38100" w14:dir="2700000" w14:sx="100000" w14:sy="100000" w14:kx="0" w14:ky="0" w14:algn="tl">
            <w14:srgbClr w14:val="000000">
              <w14:alpha w14:val="60000"/>
            </w14:srgbClr>
          </w14:shadow>
        </w:rPr>
        <w:t xml:space="preserve"> </w:t>
      </w:r>
    </w:p>
    <w:p w:rsidR="003E7ED2" w:rsidRPr="003E7ED2" w:rsidRDefault="003E7ED2" w:rsidP="003E7ED2">
      <w:r w:rsidRPr="003E7ED2">
        <w:rPr>
          <w:i/>
        </w:rPr>
        <w:t>Különféle egyéb ráfordítások</w:t>
      </w:r>
      <w:r w:rsidRPr="003E7ED2">
        <w:t xml:space="preserve"> 18 141 eFt, ebből a kintlévőségek leírása 6 442 eFt, selejtezés miatt a nyilvántartásból kivezetett tárg</w:t>
      </w:r>
      <w:r w:rsidR="00806E40">
        <w:t>yi eszközök bruttó értéke 10 355</w:t>
      </w:r>
      <w:r w:rsidRPr="003E7ED2">
        <w:t xml:space="preserve"> eFt.</w:t>
      </w:r>
    </w:p>
    <w:p w:rsidR="003E7ED2" w:rsidRPr="003E7ED2" w:rsidRDefault="003E7ED2" w:rsidP="003E7ED2">
      <w:pPr>
        <w:ind w:right="-141"/>
        <w:rPr>
          <w:szCs w:val="23"/>
        </w:rPr>
      </w:pPr>
      <w:r w:rsidRPr="003E7ED2">
        <w:rPr>
          <w:i/>
        </w:rPr>
        <w:t>Támogatások</w:t>
      </w:r>
      <w:r w:rsidRPr="003E7ED2">
        <w:t xml:space="preserve"> mértéke 5 030 eFt, </w:t>
      </w:r>
      <w:r w:rsidRPr="003E7ED2">
        <w:rPr>
          <w:szCs w:val="23"/>
        </w:rPr>
        <w:t>amely egyrészt a szakszervezet működésére a Kollektív Szerződés alapján biztosított összeg, 880 eFt, valamint a Szakszervezeti Alapítványnak nyújtott támogatás, 550 eFt is tartalmazza.</w:t>
      </w:r>
    </w:p>
    <w:p w:rsidR="003E7ED2" w:rsidRPr="003E7ED2" w:rsidRDefault="003E7ED2" w:rsidP="003E7ED2">
      <w:r w:rsidRPr="003E7ED2">
        <w:rPr>
          <w:i/>
        </w:rPr>
        <w:t xml:space="preserve">A követelések elszámolt értékvesztése </w:t>
      </w:r>
      <w:r w:rsidRPr="003E7ED2">
        <w:t xml:space="preserve">35 855 eFt, nem tervezett tétel. Az egyéb bevételek között elszámolt, szintén nem tervezett értékvesztett követelésekre befolyt </w:t>
      </w:r>
      <w:r w:rsidR="00806E40">
        <w:t xml:space="preserve">összeg 32 502 eFt. Különbözete </w:t>
      </w:r>
      <w:r w:rsidRPr="003E7ED2">
        <w:t>3 353 eFt, negatív hatással van az eredményre</w:t>
      </w:r>
    </w:p>
    <w:p w:rsidR="003E7ED2" w:rsidRPr="003E7ED2" w:rsidRDefault="003E7ED2" w:rsidP="003E7ED2">
      <w:r w:rsidRPr="003E7ED2">
        <w:rPr>
          <w:i/>
        </w:rPr>
        <w:t>Cégautó adó</w:t>
      </w:r>
      <w:r w:rsidRPr="003E7ED2">
        <w:t xml:space="preserve"> 1 321 eFt, a tervhez képest 421 eFt-tal magasabb. Oka az adó jelentős emelkedése.</w:t>
      </w:r>
    </w:p>
    <w:p w:rsidR="003E7ED2" w:rsidRPr="003E7ED2" w:rsidRDefault="003E7ED2" w:rsidP="003E7ED2">
      <w:pPr>
        <w:tabs>
          <w:tab w:val="center" w:pos="9356"/>
        </w:tabs>
        <w:rPr>
          <w:szCs w:val="24"/>
        </w:rPr>
      </w:pPr>
      <w:r w:rsidRPr="003E7ED2">
        <w:rPr>
          <w:i/>
          <w:iCs/>
          <w:szCs w:val="24"/>
        </w:rPr>
        <w:t>Sajátos egyéb ráfordítás</w:t>
      </w:r>
      <w:r w:rsidRPr="003E7ED2">
        <w:rPr>
          <w:iCs/>
          <w:szCs w:val="24"/>
        </w:rPr>
        <w:t xml:space="preserve"> értéke 2022. évben 51 436 eFt. Ebből önkormányzatoknak térítésmentesen átadott víziközmű eszközök értéke 49 290 eFt.</w:t>
      </w:r>
      <w:r w:rsidRPr="003E7ED2">
        <w:rPr>
          <w:szCs w:val="24"/>
        </w:rPr>
        <w:t xml:space="preserve"> A Vksztv. rendelkezéseinek értelmében víziközmű vagyontárgy nem lehet a társaság tulajdonában, kivétel a rendszerfüggetlen elemek. </w:t>
      </w:r>
    </w:p>
    <w:p w:rsidR="003E7ED2" w:rsidRPr="00A179C0" w:rsidRDefault="003E7ED2" w:rsidP="003E7ED2">
      <w:pPr>
        <w:rPr>
          <w:i/>
          <w:szCs w:val="24"/>
        </w:rPr>
      </w:pPr>
    </w:p>
    <w:p w:rsidR="003E7ED2" w:rsidRPr="003E7ED2" w:rsidRDefault="003E7ED2" w:rsidP="003E7ED2">
      <w:pPr>
        <w:rPr>
          <w:i/>
        </w:rPr>
      </w:pPr>
      <w:r w:rsidRPr="003E7ED2">
        <w:rPr>
          <w:i/>
        </w:rPr>
        <w:t>Pénzügyi műveletek ráfordítása</w:t>
      </w:r>
    </w:p>
    <w:p w:rsidR="003E7ED2" w:rsidRPr="003E7ED2" w:rsidRDefault="003E7ED2" w:rsidP="003E7ED2">
      <w:pPr>
        <w:rPr>
          <w:iCs/>
          <w:szCs w:val="24"/>
        </w:rPr>
      </w:pPr>
      <w:r w:rsidRPr="003E7ED2">
        <w:t>Pénzügyi műveletek ráfordítása 2 111 eFt,</w:t>
      </w:r>
      <w:r w:rsidRPr="003E7ED2">
        <w:rPr>
          <w:i/>
          <w:iCs/>
          <w:szCs w:val="24"/>
        </w:rPr>
        <w:t xml:space="preserve"> </w:t>
      </w:r>
      <w:r w:rsidRPr="003E7ED2">
        <w:rPr>
          <w:iCs/>
          <w:szCs w:val="24"/>
        </w:rPr>
        <w:t>amely árfolyamveszteséget tartalmazza.</w:t>
      </w:r>
    </w:p>
    <w:p w:rsidR="003E7ED2" w:rsidRPr="003E7ED2" w:rsidRDefault="003E7ED2" w:rsidP="003E7ED2">
      <w:pPr>
        <w:rPr>
          <w:sz w:val="12"/>
          <w:szCs w:val="12"/>
        </w:rPr>
      </w:pPr>
      <w:r w:rsidRPr="003E7ED2">
        <w:rPr>
          <w:iCs/>
          <w:szCs w:val="24"/>
        </w:rPr>
        <w:t xml:space="preserve"> </w:t>
      </w:r>
    </w:p>
    <w:p w:rsidR="003E7ED2" w:rsidRPr="003E7ED2" w:rsidRDefault="003E7ED2" w:rsidP="003E7ED2">
      <w:pPr>
        <w:rPr>
          <w:b/>
        </w:rPr>
      </w:pPr>
      <w:r w:rsidRPr="003E7ED2">
        <w:rPr>
          <w:b/>
        </w:rPr>
        <w:t>Az összes költség és ráfordítás 8 958 247 eFt, amely a tervez</w:t>
      </w:r>
      <w:r w:rsidR="00806E40">
        <w:rPr>
          <w:b/>
        </w:rPr>
        <w:t>ett összegnél 2,3 %-kal, 202 765</w:t>
      </w:r>
      <w:r w:rsidRPr="003E7ED2">
        <w:rPr>
          <w:b/>
        </w:rPr>
        <w:t xml:space="preserve"> eFt-tal magasabb.</w:t>
      </w:r>
    </w:p>
    <w:p w:rsidR="003E7ED2" w:rsidRPr="003E7ED2" w:rsidRDefault="003E7ED2" w:rsidP="003E7ED2">
      <w:pPr>
        <w:rPr>
          <w:b/>
          <w:sz w:val="20"/>
        </w:rPr>
      </w:pPr>
    </w:p>
    <w:p w:rsidR="003E7ED2" w:rsidRPr="003E7ED2" w:rsidRDefault="003E7ED2" w:rsidP="003E7ED2">
      <w:pPr>
        <w:ind w:right="100"/>
        <w:rPr>
          <w:b/>
          <w:sz w:val="20"/>
        </w:rPr>
      </w:pPr>
    </w:p>
    <w:p w:rsidR="003E7ED2" w:rsidRPr="00814F8E" w:rsidRDefault="003E7ED2" w:rsidP="003E7ED2">
      <w:pPr>
        <w:pStyle w:val="Cmsor1"/>
        <w:rPr>
          <w:sz w:val="26"/>
          <w:szCs w:val="26"/>
        </w:rPr>
      </w:pPr>
      <w:bookmarkStart w:id="79" w:name="_Toc132629507"/>
      <w:r w:rsidRPr="00814F8E">
        <w:rPr>
          <w:sz w:val="26"/>
          <w:szCs w:val="26"/>
        </w:rPr>
        <w:t>XII. Eredmény alakulása</w:t>
      </w:r>
      <w:bookmarkEnd w:id="79"/>
    </w:p>
    <w:p w:rsidR="003E7ED2" w:rsidRPr="003E7ED2" w:rsidRDefault="003E7ED2" w:rsidP="003E7ED2"/>
    <w:p w:rsidR="003E7ED2" w:rsidRDefault="003E7ED2" w:rsidP="003E7ED2">
      <w:pPr>
        <w:rPr>
          <w:szCs w:val="23"/>
        </w:rPr>
      </w:pPr>
      <w:r w:rsidRPr="003E7ED2">
        <w:rPr>
          <w:szCs w:val="23"/>
        </w:rPr>
        <w:t>Az összes korrigált bevétel és a saját előállítású eszközök értéke, valamint a költségek, ráfordítások különbözeteként az eredmény 2022.</w:t>
      </w:r>
      <w:r w:rsidR="00663CBE">
        <w:rPr>
          <w:szCs w:val="23"/>
        </w:rPr>
        <w:t xml:space="preserve"> </w:t>
      </w:r>
      <w:r w:rsidRPr="003E7ED2">
        <w:rPr>
          <w:szCs w:val="23"/>
        </w:rPr>
        <w:t>évben –619 526 eFt, teljesítési szint 101,3%</w:t>
      </w:r>
      <w:r w:rsidR="00663CBE">
        <w:rPr>
          <w:szCs w:val="23"/>
        </w:rPr>
        <w:t>.</w:t>
      </w:r>
    </w:p>
    <w:p w:rsidR="00663CBE" w:rsidRDefault="00663CBE" w:rsidP="00663CBE">
      <w:r>
        <w:t xml:space="preserve">A tervtől való eltérést számszakilag az okozza, hogy az összes bevétel 1,6 %-kal, 101mFt-tal nagyobb a tervezett bevételnél, az összes költség és ráfordítás pedig 2,3%-kal, 203mFt-tal magasabb a tervezett összegnél. </w:t>
      </w:r>
    </w:p>
    <w:p w:rsidR="00663CBE" w:rsidRDefault="00663CBE" w:rsidP="00663CBE">
      <w:r>
        <w:t>Társaságunk bevételeit nagymértékben meghatározó elsődleges tevékenységek árbevétele 31mFt-tal haladta meg a tervezett értéket, az előző évi tényleges összegnél pedig 28</w:t>
      </w:r>
      <w:r w:rsidR="00B85D36">
        <w:t xml:space="preserve"> </w:t>
      </w:r>
      <w:r>
        <w:t>mFt-tal lett nagyobb.</w:t>
      </w:r>
    </w:p>
    <w:p w:rsidR="00663CBE" w:rsidRDefault="00663CBE" w:rsidP="00663CBE">
      <w:r>
        <w:lastRenderedPageBreak/>
        <w:t>A bevételek közül az alaptevékenységen kívüli tevékenységek a tervhez képest 97</w:t>
      </w:r>
      <w:r w:rsidR="00B85D36">
        <w:t xml:space="preserve"> </w:t>
      </w:r>
      <w:r>
        <w:t>mFt-tal, az előző évihez viszonyítva pedig 121</w:t>
      </w:r>
      <w:r w:rsidR="00B85D36">
        <w:t xml:space="preserve"> </w:t>
      </w:r>
      <w:r>
        <w:t>mFt-tal lett több. Ennek okai, hogy Társaságunk egyéb tevékenységekben is igyekezett növelni a bevételeit például vagyonértékelést bonyolítottunk le. Továbbá építőipari munkához kedvező feltételekkel beszerzett anyagértékesítést is bevállaltunk. Ezeknek a bevételei és költségei is megjelennek a tényadatokban.</w:t>
      </w:r>
    </w:p>
    <w:p w:rsidR="00663CBE" w:rsidRDefault="00663CBE" w:rsidP="00663CBE">
      <w:r>
        <w:t>Az egyéb bevételeink 138mFt-tal haladták meg a tervezettet, az előző évhez viszonyítva 262</w:t>
      </w:r>
      <w:r w:rsidR="00B85D36">
        <w:t xml:space="preserve"> </w:t>
      </w:r>
      <w:r>
        <w:t>mFt a növekedés. Ennek okai egyrészről, hogy az SZMJV Önkormányzatán keresztül a HM az uszoda működési finanszírozásához 31,750</w:t>
      </w:r>
      <w:r w:rsidR="00B85D36">
        <w:t xml:space="preserve"> </w:t>
      </w:r>
      <w:r>
        <w:t>eFt támogatást biztosított az utolsó negyedévre az energiaárak nagymértékű emelkedése miatt. Továbbá két pályázathoz kapcsolódó támogatási összegek elszámolása is megtörtént 2022. évben. A VEF energiahatékonysági pályázat támogatási összege 93</w:t>
      </w:r>
      <w:r w:rsidR="00B85D36">
        <w:t xml:space="preserve"> </w:t>
      </w:r>
      <w:r>
        <w:t>mFt összegben, a KEHOP Kommunikációs pályázat 20mFt összegben módosította az egyéb bevételeket.</w:t>
      </w:r>
    </w:p>
    <w:p w:rsidR="00663CBE" w:rsidRDefault="00663CBE" w:rsidP="00663CBE">
      <w:r>
        <w:t>A pénzügyi műveletek mintegy 73</w:t>
      </w:r>
      <w:r w:rsidR="00B85D36">
        <w:t xml:space="preserve"> </w:t>
      </w:r>
      <w:r>
        <w:t>mFt összegben növelték a bevételeket a tervhez viszonyítva.</w:t>
      </w:r>
    </w:p>
    <w:p w:rsidR="00663CBE" w:rsidRDefault="00663CBE" w:rsidP="00663CBE">
      <w:r>
        <w:t>A költségek és ráfordítások alakulásában jelentős szerepet játszottak az anyag és energia árak, az energiaköltségek növekedtek 75</w:t>
      </w:r>
      <w:r w:rsidR="00B85D36">
        <w:t xml:space="preserve"> </w:t>
      </w:r>
      <w:r>
        <w:t>mFt, az anyagköltségek pedig 406</w:t>
      </w:r>
      <w:r w:rsidR="00B85D36">
        <w:t xml:space="preserve"> </w:t>
      </w:r>
      <w:r>
        <w:t>mFt összegben a tervhez képest. Ennek okai a 2022. évben, főleg annak második felében lezajlott energia, üzemanyag és egyéb anyagok, áruk árának drasztikus növekedése, amely Társaságunkat is nagymértékben érintette.</w:t>
      </w:r>
    </w:p>
    <w:p w:rsidR="00814F8E" w:rsidRDefault="00663CBE" w:rsidP="00663CBE">
      <w:r>
        <w:t>A tervezett anyagköltség növekedésében a pályázati elszámolások okán is van növekedés, ez összefügg a VEF energiahatékonysági pályázathoz kapcsolódó beszerzésekhez, amelyet a tervezés során az egyéb igénybe vett soron terveztünk meg. Az anyagköltségben 406 mFt növekedés, az igénybe vett szolgáltatások soron 414 mFt csökkenés tapasztalható.</w:t>
      </w:r>
    </w:p>
    <w:p w:rsidR="00814F8E" w:rsidRDefault="00814F8E">
      <w:pPr>
        <w:jc w:val="left"/>
      </w:pPr>
      <w:r>
        <w:br w:type="page"/>
      </w:r>
    </w:p>
    <w:p w:rsidR="00AF4206" w:rsidRPr="00AF4206" w:rsidRDefault="00AF4206" w:rsidP="00663CBE"/>
    <w:p w:rsidR="00405F09" w:rsidRDefault="006D6D87" w:rsidP="00405F09">
      <w:pPr>
        <w:ind w:right="-1"/>
        <w:jc w:val="center"/>
        <w:rPr>
          <w:szCs w:val="23"/>
        </w:rPr>
      </w:pPr>
      <w:r>
        <w:rPr>
          <w:noProof/>
        </w:rPr>
        <w:drawing>
          <wp:inline distT="0" distB="0" distL="0" distR="0" wp14:anchorId="4C36E683" wp14:editId="15BA0F80">
            <wp:extent cx="5847907" cy="2849526"/>
            <wp:effectExtent l="19050" t="19050" r="19685" b="27305"/>
            <wp:docPr id="45" name="Diagram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405F09" w:rsidRDefault="00405F09" w:rsidP="003E7ED2">
      <w:pPr>
        <w:ind w:right="-1"/>
        <w:rPr>
          <w:szCs w:val="23"/>
        </w:rPr>
      </w:pPr>
    </w:p>
    <w:p w:rsidR="003E7ED2" w:rsidRPr="003E7ED2" w:rsidRDefault="003E7ED2" w:rsidP="003E7ED2">
      <w:pPr>
        <w:ind w:right="-1"/>
        <w:rPr>
          <w:szCs w:val="24"/>
        </w:rPr>
      </w:pPr>
      <w:r w:rsidRPr="003E7ED2">
        <w:rPr>
          <w:szCs w:val="23"/>
        </w:rPr>
        <w:t>Az</w:t>
      </w:r>
      <w:r w:rsidRPr="003E7ED2">
        <w:rPr>
          <w:i/>
          <w:iCs/>
          <w:szCs w:val="23"/>
        </w:rPr>
        <w:t xml:space="preserve"> elsődleges tevékenységek 2022.évi vesztesége a tervhez viszonyítva 110,1%, adózás előtti együttes eredménye</w:t>
      </w:r>
      <w:r w:rsidRPr="003E7ED2">
        <w:rPr>
          <w:szCs w:val="23"/>
        </w:rPr>
        <w:t xml:space="preserve"> –869 698 eFt</w:t>
      </w:r>
      <w:r w:rsidRPr="003E7ED2">
        <w:rPr>
          <w:szCs w:val="24"/>
        </w:rPr>
        <w:t>.</w:t>
      </w:r>
    </w:p>
    <w:p w:rsidR="003E7ED2" w:rsidRPr="003E7ED2" w:rsidRDefault="003E7ED2" w:rsidP="003E7ED2">
      <w:pPr>
        <w:ind w:right="-1"/>
        <w:rPr>
          <w:szCs w:val="24"/>
        </w:rPr>
      </w:pPr>
      <w:r w:rsidRPr="003E7ED2">
        <w:rPr>
          <w:szCs w:val="24"/>
        </w:rPr>
        <w:t>Elsődleges tevékenységek esetében az eredmény alakulásának okai:</w:t>
      </w:r>
    </w:p>
    <w:p w:rsidR="003E7ED2" w:rsidRPr="003E7ED2" w:rsidRDefault="003E7ED2" w:rsidP="003E7ED2">
      <w:pPr>
        <w:ind w:right="-1"/>
      </w:pPr>
      <w:r w:rsidRPr="003E7ED2">
        <w:t xml:space="preserve">Az </w:t>
      </w:r>
      <w:r w:rsidRPr="003E7ED2">
        <w:rPr>
          <w:i/>
        </w:rPr>
        <w:t>elsődleges tevékenységek árbevétele</w:t>
      </w:r>
      <w:r w:rsidRPr="003E7ED2">
        <w:t xml:space="preserve"> 0,5 %-kal magasabb a tervezettnél.</w:t>
      </w:r>
    </w:p>
    <w:p w:rsidR="003E7ED2" w:rsidRPr="003E7ED2" w:rsidRDefault="003E7ED2" w:rsidP="0017174C">
      <w:pPr>
        <w:rPr>
          <w:szCs w:val="24"/>
        </w:rPr>
      </w:pPr>
      <w:r w:rsidRPr="003E7ED2">
        <w:rPr>
          <w:szCs w:val="24"/>
        </w:rPr>
        <w:t xml:space="preserve">Az </w:t>
      </w:r>
      <w:r w:rsidRPr="003E7ED2">
        <w:rPr>
          <w:i/>
          <w:szCs w:val="24"/>
        </w:rPr>
        <w:t xml:space="preserve">elsődleges tevékenységek közvetlen költsége </w:t>
      </w:r>
      <w:r w:rsidRPr="003E7ED2">
        <w:rPr>
          <w:szCs w:val="24"/>
        </w:rPr>
        <w:t>1,5%-kal magasabb az üzleti tervben meghatározottnál.</w:t>
      </w:r>
    </w:p>
    <w:p w:rsidR="003E7ED2" w:rsidRPr="003E7ED2" w:rsidRDefault="003E7ED2" w:rsidP="003E7ED2">
      <w:pPr>
        <w:widowControl w:val="0"/>
        <w:overflowPunct w:val="0"/>
        <w:autoSpaceDE w:val="0"/>
        <w:autoSpaceDN w:val="0"/>
        <w:adjustRightInd w:val="0"/>
        <w:rPr>
          <w:szCs w:val="24"/>
        </w:rPr>
      </w:pPr>
      <w:r w:rsidRPr="003E7ED2">
        <w:rPr>
          <w:noProof/>
        </w:rPr>
        <w:drawing>
          <wp:inline distT="0" distB="0" distL="0" distR="0" wp14:anchorId="6C615325" wp14:editId="6CBFAFB8">
            <wp:extent cx="6534150" cy="3514725"/>
            <wp:effectExtent l="0" t="0" r="0" b="9525"/>
            <wp:docPr id="26" name="Diagram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3E7ED2" w:rsidRPr="003E7ED2" w:rsidRDefault="003E7ED2" w:rsidP="003E7ED2">
      <w:pPr>
        <w:widowControl w:val="0"/>
        <w:overflowPunct w:val="0"/>
        <w:autoSpaceDE w:val="0"/>
        <w:autoSpaceDN w:val="0"/>
        <w:adjustRightInd w:val="0"/>
        <w:rPr>
          <w:szCs w:val="24"/>
        </w:rPr>
      </w:pPr>
      <w:r w:rsidRPr="003E7ED2">
        <w:rPr>
          <w:szCs w:val="24"/>
        </w:rPr>
        <w:lastRenderedPageBreak/>
        <w:t xml:space="preserve">A VASIVÍZ ZRt. alaptevékenysége - az alapító tulajdonos önkormányzatok szándékának megfelelően - a közműves ivóvízellátás, valamint a közműves szennyvízelvezetés és -tisztítás. Ugyanakkor a részvénytársaság alapításakor és azóta is a Szombathelyi Fedett Uszoda és Termálfürdő üzemeltetője. </w:t>
      </w:r>
    </w:p>
    <w:p w:rsidR="003E7ED2" w:rsidRPr="003E7ED2" w:rsidRDefault="003E7ED2" w:rsidP="003E7ED2">
      <w:pPr>
        <w:jc w:val="left"/>
        <w:rPr>
          <w:sz w:val="8"/>
          <w:szCs w:val="8"/>
        </w:rPr>
      </w:pPr>
    </w:p>
    <w:p w:rsidR="00912E1F" w:rsidRDefault="003E7ED2" w:rsidP="003E7ED2">
      <w:pPr>
        <w:rPr>
          <w:szCs w:val="24"/>
        </w:rPr>
      </w:pPr>
      <w:r w:rsidRPr="003E7ED2">
        <w:rPr>
          <w:szCs w:val="24"/>
        </w:rPr>
        <w:t xml:space="preserve">A </w:t>
      </w:r>
      <w:r w:rsidRPr="003E7ED2">
        <w:rPr>
          <w:i/>
          <w:szCs w:val="24"/>
        </w:rPr>
        <w:t>másodlagos tevékenységek</w:t>
      </w:r>
      <w:r w:rsidRPr="003E7ED2">
        <w:rPr>
          <w:szCs w:val="24"/>
        </w:rPr>
        <w:t xml:space="preserve"> a fürdőszolgáltatáson kívül az építési tevékenység, ipari szolgáltatás, az alaptevékenységhez kapcsolódó és az alaptevékenységen kívüli szolgáltatások.</w:t>
      </w:r>
      <w:r w:rsidRPr="003E7ED2">
        <w:rPr>
          <w:rFonts w:asciiTheme="minorHAnsi" w:eastAsiaTheme="minorHAnsi" w:hAnsiTheme="minorHAnsi" w:cstheme="minorBidi"/>
          <w:sz w:val="22"/>
          <w:szCs w:val="22"/>
          <w:lang w:eastAsia="en-US"/>
        </w:rPr>
        <w:t xml:space="preserve"> </w:t>
      </w:r>
      <w:r w:rsidRPr="003E7ED2">
        <w:rPr>
          <w:szCs w:val="24"/>
        </w:rPr>
        <w:t xml:space="preserve">A VASIVÍZ ZRt. víziközmű-szolgáltatói tevékenységét a víziközmű-szolgáltatásról szóló 2011. évi CCIX. törvény (a továbbiakban: Vksztv.) és ennek végrehajtási rendelete szabályozza. Ennek értelmében az uszoda és fürdőszolgáltatás </w:t>
      </w:r>
      <w:r w:rsidRPr="003E7ED2">
        <w:rPr>
          <w:i/>
          <w:szCs w:val="24"/>
        </w:rPr>
        <w:t>másodlagos tevékenységnek</w:t>
      </w:r>
      <w:r w:rsidRPr="003E7ED2">
        <w:rPr>
          <w:szCs w:val="24"/>
        </w:rPr>
        <w:t xml:space="preserve"> minősül. </w:t>
      </w:r>
    </w:p>
    <w:p w:rsidR="00912E1F" w:rsidRDefault="00912E1F">
      <w:pPr>
        <w:jc w:val="left"/>
        <w:rPr>
          <w:szCs w:val="24"/>
        </w:rPr>
      </w:pPr>
      <w:r>
        <w:rPr>
          <w:szCs w:val="24"/>
        </w:rPr>
        <w:br w:type="page"/>
      </w:r>
    </w:p>
    <w:p w:rsidR="00AF4206" w:rsidRPr="00AF4206" w:rsidRDefault="00AF4206" w:rsidP="003E7ED2">
      <w:pPr>
        <w:tabs>
          <w:tab w:val="right" w:pos="6237"/>
        </w:tabs>
        <w:rPr>
          <w:i/>
          <w:sz w:val="12"/>
          <w:szCs w:val="12"/>
        </w:rPr>
      </w:pPr>
    </w:p>
    <w:p w:rsidR="003E7ED2" w:rsidRPr="003E7ED2" w:rsidRDefault="003E7ED2" w:rsidP="003E7ED2">
      <w:pPr>
        <w:tabs>
          <w:tab w:val="right" w:pos="6237"/>
        </w:tabs>
        <w:rPr>
          <w:i/>
          <w:szCs w:val="24"/>
        </w:rPr>
      </w:pPr>
      <w:r w:rsidRPr="003E7ED2">
        <w:rPr>
          <w:i/>
          <w:szCs w:val="24"/>
        </w:rPr>
        <w:t>Másodlagos tevékenységek</w:t>
      </w:r>
    </w:p>
    <w:p w:rsidR="003E7ED2" w:rsidRPr="003E7ED2" w:rsidRDefault="003E7ED2" w:rsidP="00912E1F">
      <w:pPr>
        <w:tabs>
          <w:tab w:val="right" w:pos="6237"/>
        </w:tabs>
        <w:ind w:right="-108"/>
        <w:rPr>
          <w:szCs w:val="24"/>
        </w:rPr>
      </w:pPr>
      <w:r w:rsidRPr="003E7ED2">
        <w:rPr>
          <w:szCs w:val="24"/>
        </w:rPr>
        <w:t xml:space="preserve">A </w:t>
      </w:r>
      <w:r w:rsidRPr="003E7ED2">
        <w:rPr>
          <w:i/>
          <w:szCs w:val="24"/>
        </w:rPr>
        <w:t>fürdő szolgáltatás</w:t>
      </w:r>
      <w:r w:rsidRPr="003E7ED2">
        <w:rPr>
          <w:szCs w:val="24"/>
        </w:rPr>
        <w:t xml:space="preserve"> vesztesége -139 455 eFt, a tervezettnél 18 150 eFt-tal kedvezőbben alakult. Szombathely MJV önkormányzata 2022.</w:t>
      </w:r>
      <w:r w:rsidR="00384AF2">
        <w:rPr>
          <w:szCs w:val="24"/>
        </w:rPr>
        <w:t xml:space="preserve"> </w:t>
      </w:r>
      <w:r w:rsidRPr="003E7ED2">
        <w:rPr>
          <w:szCs w:val="24"/>
        </w:rPr>
        <w:t>évben a fürdőszolgáltatás finanszírozását 100 000 eFt-tal támogatta, valamint az állam az Önkormányzaton keresztül a IV. negyedévre 31 750 eFt egyszeri, vissza nem térítendő működési támogatást biztosított, elszámolási kötelezettség mellett.</w:t>
      </w:r>
      <w:r w:rsidR="00384AF2">
        <w:rPr>
          <w:szCs w:val="24"/>
        </w:rPr>
        <w:t xml:space="preserve"> Támogatás nélkül az adózás előtti </w:t>
      </w:r>
      <w:r w:rsidR="00384AF2" w:rsidRPr="00BE1B28">
        <w:rPr>
          <w:szCs w:val="24"/>
        </w:rPr>
        <w:t xml:space="preserve">eredmény </w:t>
      </w:r>
      <w:r w:rsidR="003116F8" w:rsidRPr="00BE1B28">
        <w:rPr>
          <w:szCs w:val="24"/>
        </w:rPr>
        <w:t xml:space="preserve">– </w:t>
      </w:r>
      <w:r w:rsidR="00A2169D" w:rsidRPr="00BE1B28">
        <w:rPr>
          <w:szCs w:val="24"/>
        </w:rPr>
        <w:t>270 240</w:t>
      </w:r>
      <w:r w:rsidR="00384AF2">
        <w:rPr>
          <w:szCs w:val="24"/>
        </w:rPr>
        <w:t xml:space="preserve"> eFt lenne.</w:t>
      </w:r>
    </w:p>
    <w:p w:rsidR="003E7ED2" w:rsidRPr="003E7ED2" w:rsidRDefault="003E7ED2" w:rsidP="00912E1F">
      <w:pPr>
        <w:ind w:right="-108"/>
      </w:pPr>
      <w:r w:rsidRPr="003E7ED2">
        <w:rPr>
          <w:szCs w:val="24"/>
        </w:rPr>
        <w:t xml:space="preserve">Az </w:t>
      </w:r>
      <w:r w:rsidRPr="003E7ED2">
        <w:rPr>
          <w:i/>
          <w:szCs w:val="24"/>
        </w:rPr>
        <w:t>építőipari tevékenység</w:t>
      </w:r>
      <w:r w:rsidRPr="003E7ED2">
        <w:rPr>
          <w:szCs w:val="24"/>
        </w:rPr>
        <w:t xml:space="preserve"> eredménye 110 193 eFt, a tervezetthez képest 40 815 eFt-tal magasabb.</w:t>
      </w:r>
      <w:r w:rsidRPr="003E7ED2">
        <w:t xml:space="preserve"> Az építőipari teljesítményt és az eredményt is javítja a befejezetlen építőipari munkák </w:t>
      </w:r>
      <w:r w:rsidR="003116F8">
        <w:t>összege, amelye</w:t>
      </w:r>
      <w:r w:rsidR="007A16A8">
        <w:t>t az árbevételben kell kimutatni</w:t>
      </w:r>
      <w:r w:rsidR="007A16A8" w:rsidRPr="00A2169D">
        <w:t>. É</w:t>
      </w:r>
      <w:r w:rsidRPr="00A2169D">
        <w:t>rtéke a vizsgált időszakban</w:t>
      </w:r>
      <w:r w:rsidR="007A16A8" w:rsidRPr="00A2169D">
        <w:t>:</w:t>
      </w:r>
      <w:r w:rsidRPr="00A2169D">
        <w:t xml:space="preserve"> 19 332 eFt.</w:t>
      </w:r>
    </w:p>
    <w:p w:rsidR="003E7ED2" w:rsidRPr="003E7ED2" w:rsidRDefault="003E7ED2" w:rsidP="00912E1F">
      <w:pPr>
        <w:tabs>
          <w:tab w:val="right" w:pos="6237"/>
        </w:tabs>
        <w:ind w:right="-108"/>
        <w:rPr>
          <w:szCs w:val="24"/>
        </w:rPr>
      </w:pPr>
      <w:r w:rsidRPr="003E7ED2">
        <w:rPr>
          <w:szCs w:val="24"/>
        </w:rPr>
        <w:t xml:space="preserve">Az </w:t>
      </w:r>
      <w:r w:rsidRPr="003E7ED2">
        <w:rPr>
          <w:i/>
          <w:szCs w:val="24"/>
        </w:rPr>
        <w:t>ipari víz</w:t>
      </w:r>
      <w:r w:rsidRPr="003E7ED2">
        <w:rPr>
          <w:szCs w:val="24"/>
        </w:rPr>
        <w:t xml:space="preserve"> szolgáltatás eredménye 16 940 eFt, 14 394 eFt-tal magasabb a tervezettnél.</w:t>
      </w:r>
    </w:p>
    <w:p w:rsidR="003E7ED2" w:rsidRPr="003E7ED2" w:rsidRDefault="003E7ED2" w:rsidP="00912E1F">
      <w:pPr>
        <w:tabs>
          <w:tab w:val="right" w:pos="6237"/>
        </w:tabs>
        <w:ind w:right="-108"/>
        <w:rPr>
          <w:szCs w:val="24"/>
        </w:rPr>
      </w:pPr>
      <w:r w:rsidRPr="003E7ED2">
        <w:rPr>
          <w:i/>
          <w:szCs w:val="24"/>
        </w:rPr>
        <w:t>Az alaptevékenységgel kapcsolatos egyéb tevékenység</w:t>
      </w:r>
      <w:r w:rsidRPr="003E7ED2">
        <w:rPr>
          <w:szCs w:val="24"/>
        </w:rPr>
        <w:t xml:space="preserve"> eredménye 36 448 eFt, 5 951 eFt-tal marad el a tervezettől.</w:t>
      </w:r>
    </w:p>
    <w:p w:rsidR="003E7ED2" w:rsidRPr="003E7ED2" w:rsidRDefault="003E7ED2" w:rsidP="00912E1F">
      <w:pPr>
        <w:tabs>
          <w:tab w:val="right" w:pos="6237"/>
        </w:tabs>
        <w:ind w:right="-108"/>
        <w:rPr>
          <w:szCs w:val="24"/>
        </w:rPr>
      </w:pPr>
      <w:r w:rsidRPr="003E7ED2">
        <w:rPr>
          <w:i/>
          <w:szCs w:val="24"/>
        </w:rPr>
        <w:t>Alaptevékenységen kívüli tevékenység</w:t>
      </w:r>
      <w:r w:rsidRPr="003E7ED2">
        <w:rPr>
          <w:szCs w:val="24"/>
        </w:rPr>
        <w:t xml:space="preserve"> eredménye 220 776 eFt, a tervezettnél 68 205 eFt-tal magasabb.</w:t>
      </w:r>
    </w:p>
    <w:p w:rsidR="003E7ED2" w:rsidRPr="003E7ED2" w:rsidRDefault="003E7ED2" w:rsidP="00912E1F">
      <w:pPr>
        <w:ind w:right="-108"/>
        <w:rPr>
          <w:szCs w:val="24"/>
        </w:rPr>
      </w:pPr>
      <w:r w:rsidRPr="003E7ED2">
        <w:rPr>
          <w:szCs w:val="24"/>
        </w:rPr>
        <w:t xml:space="preserve">A </w:t>
      </w:r>
      <w:r w:rsidRPr="003E7ED2">
        <w:rPr>
          <w:i/>
          <w:szCs w:val="24"/>
        </w:rPr>
        <w:t>másodlagos tevékenységek nettó árbevétele</w:t>
      </w:r>
      <w:r w:rsidRPr="003E7ED2">
        <w:rPr>
          <w:szCs w:val="24"/>
        </w:rPr>
        <w:t xml:space="preserve"> együttesen 93,2 %-on, az értékesítés közvetlen önköltsége 94,5 %-on teljesült, a</w:t>
      </w:r>
      <w:r w:rsidRPr="003E7ED2">
        <w:rPr>
          <w:i/>
          <w:szCs w:val="24"/>
        </w:rPr>
        <w:t xml:space="preserve"> másodlagos tevékenységek eredménye összesen 244 942 eFt </w:t>
      </w:r>
      <w:r w:rsidRPr="003E7ED2">
        <w:rPr>
          <w:szCs w:val="24"/>
        </w:rPr>
        <w:t xml:space="preserve">a tervezett </w:t>
      </w:r>
      <w:r w:rsidR="00855E4A">
        <w:rPr>
          <w:szCs w:val="24"/>
        </w:rPr>
        <w:br/>
      </w:r>
      <w:r w:rsidRPr="003E7ED2">
        <w:rPr>
          <w:szCs w:val="24"/>
        </w:rPr>
        <w:t>78 303 eFt-hoz képest.</w:t>
      </w:r>
    </w:p>
    <w:p w:rsidR="003E7ED2" w:rsidRPr="003E7ED2" w:rsidRDefault="003E7ED2" w:rsidP="00912E1F">
      <w:pPr>
        <w:tabs>
          <w:tab w:val="right" w:pos="6237"/>
        </w:tabs>
        <w:ind w:left="360" w:right="-108"/>
        <w:rPr>
          <w:sz w:val="12"/>
          <w:szCs w:val="12"/>
        </w:rPr>
      </w:pPr>
    </w:p>
    <w:p w:rsidR="003E7ED2" w:rsidRDefault="003E7ED2" w:rsidP="00912E1F">
      <w:pPr>
        <w:tabs>
          <w:tab w:val="right" w:pos="6237"/>
        </w:tabs>
        <w:ind w:right="-108"/>
        <w:rPr>
          <w:i/>
          <w:szCs w:val="24"/>
        </w:rPr>
      </w:pPr>
      <w:r w:rsidRPr="003E7ED2">
        <w:rPr>
          <w:i/>
          <w:szCs w:val="24"/>
        </w:rPr>
        <w:t xml:space="preserve">A társaság üzemi (üzleti) tevékenységének eredménye így – 690 610 eFt, amelyet a pénzügyi műveletek 71 084 eFt </w:t>
      </w:r>
      <w:r w:rsidR="007A16A8">
        <w:rPr>
          <w:i/>
          <w:szCs w:val="24"/>
        </w:rPr>
        <w:t>összegű eredménye módosított. A Társaság</w:t>
      </w:r>
      <w:r w:rsidRPr="003E7ED2">
        <w:rPr>
          <w:i/>
          <w:szCs w:val="24"/>
        </w:rPr>
        <w:t xml:space="preserve"> adózott eredmény</w:t>
      </w:r>
      <w:r w:rsidR="007A16A8">
        <w:rPr>
          <w:i/>
          <w:szCs w:val="24"/>
        </w:rPr>
        <w:t>e</w:t>
      </w:r>
      <w:r w:rsidRPr="003E7ED2">
        <w:rPr>
          <w:i/>
          <w:szCs w:val="24"/>
        </w:rPr>
        <w:t xml:space="preserve"> (veszteség</w:t>
      </w:r>
      <w:r w:rsidR="007A16A8">
        <w:rPr>
          <w:i/>
          <w:szCs w:val="24"/>
        </w:rPr>
        <w:t>e</w:t>
      </w:r>
      <w:r w:rsidRPr="003E7ED2">
        <w:rPr>
          <w:i/>
          <w:szCs w:val="24"/>
        </w:rPr>
        <w:t>) -619 526 eFt.</w:t>
      </w:r>
    </w:p>
    <w:p w:rsidR="006727F8" w:rsidRPr="00B33D52" w:rsidRDefault="006727F8" w:rsidP="006D07ED">
      <w:pPr>
        <w:tabs>
          <w:tab w:val="right" w:pos="6237"/>
        </w:tabs>
        <w:ind w:right="176"/>
        <w:rPr>
          <w:i/>
          <w:szCs w:val="24"/>
        </w:rPr>
      </w:pPr>
    </w:p>
    <w:p w:rsidR="00D51AA4" w:rsidRPr="00B33D52" w:rsidRDefault="00D51AA4">
      <w:pPr>
        <w:pStyle w:val="Cmsor1"/>
        <w:rPr>
          <w:sz w:val="26"/>
          <w:szCs w:val="26"/>
        </w:rPr>
      </w:pPr>
      <w:bookmarkStart w:id="80" w:name="_Toc132629508"/>
      <w:r w:rsidRPr="00B33D52">
        <w:rPr>
          <w:sz w:val="26"/>
          <w:szCs w:val="26"/>
        </w:rPr>
        <w:t>XIII. Pénzügyi helyzet</w:t>
      </w:r>
      <w:bookmarkEnd w:id="80"/>
    </w:p>
    <w:p w:rsidR="00D51AA4" w:rsidRPr="00B33D52" w:rsidRDefault="00D51AA4">
      <w:pPr>
        <w:tabs>
          <w:tab w:val="right" w:pos="5954"/>
          <w:tab w:val="right" w:pos="8222"/>
        </w:tabs>
        <w:rPr>
          <w:sz w:val="12"/>
          <w:szCs w:val="12"/>
        </w:rPr>
      </w:pPr>
    </w:p>
    <w:p w:rsidR="0022304C" w:rsidRPr="00DE7CFA" w:rsidRDefault="000327AE" w:rsidP="00C50DDA">
      <w:pPr>
        <w:rPr>
          <w:rFonts w:ascii="Times New Roman CE" w:hAnsi="Times New Roman CE" w:cs="Times New Roman CE"/>
          <w:i/>
          <w:iCs/>
          <w:sz w:val="20"/>
        </w:rPr>
      </w:pPr>
      <w:r w:rsidRPr="00DE7CFA">
        <w:t>A társaság likviditását döntő mértékben az ivóvíz- és csatornaszolgáltatásból származó bevétel határozza meg, amely 20</w:t>
      </w:r>
      <w:r w:rsidR="008B0CB2" w:rsidRPr="00DE7CFA">
        <w:t>2</w:t>
      </w:r>
      <w:r w:rsidR="00DE7CFA">
        <w:t>2</w:t>
      </w:r>
      <w:r w:rsidRPr="00DE7CFA">
        <w:t xml:space="preserve">. évben </w:t>
      </w:r>
      <w:r w:rsidR="00A45626" w:rsidRPr="00DE7CFA">
        <w:t>6</w:t>
      </w:r>
      <w:r w:rsidR="00DE7CFA">
        <w:t> </w:t>
      </w:r>
      <w:r w:rsidR="00C70F09" w:rsidRPr="00DE7CFA">
        <w:t>3</w:t>
      </w:r>
      <w:r w:rsidR="00DE7CFA">
        <w:t>90 852</w:t>
      </w:r>
      <w:r w:rsidR="00AD7F30" w:rsidRPr="00DE7CFA">
        <w:t xml:space="preserve"> </w:t>
      </w:r>
      <w:r w:rsidR="008016EB" w:rsidRPr="00DE7CFA">
        <w:t>eFt</w:t>
      </w:r>
      <w:r w:rsidR="00DE7CFA">
        <w:t xml:space="preserve"> </w:t>
      </w:r>
      <w:r w:rsidR="00737C04" w:rsidRPr="00DE7CFA">
        <w:t>volt</w:t>
      </w:r>
      <w:r w:rsidR="008016EB" w:rsidRPr="00DE7CFA">
        <w:t xml:space="preserve">, </w:t>
      </w:r>
      <w:r w:rsidRPr="00DE7CFA">
        <w:t xml:space="preserve">az összes nettó árbevétel </w:t>
      </w:r>
      <w:r w:rsidR="00C70F09" w:rsidRPr="00DE7CFA">
        <w:t>82</w:t>
      </w:r>
      <w:r w:rsidRPr="00DE7CFA">
        <w:t xml:space="preserve"> %-át tette ki. A két szolgáltatásról </w:t>
      </w:r>
      <w:r w:rsidR="0022304C">
        <w:t>905 892</w:t>
      </w:r>
      <w:r w:rsidR="0029230D" w:rsidRPr="00DE7CFA">
        <w:t xml:space="preserve"> </w:t>
      </w:r>
      <w:r w:rsidRPr="00DE7CFA">
        <w:t xml:space="preserve">db számla készült. </w:t>
      </w:r>
      <w:r w:rsidR="0022304C">
        <w:t xml:space="preserve"> </w:t>
      </w:r>
    </w:p>
    <w:p w:rsidR="00C50DDA" w:rsidRPr="00013B32" w:rsidRDefault="00C50DDA" w:rsidP="00C50DDA">
      <w:pPr>
        <w:rPr>
          <w:rFonts w:ascii="Times New Roman CE" w:hAnsi="Times New Roman CE" w:cs="Times New Roman CE"/>
          <w:i/>
          <w:iCs/>
          <w:sz w:val="12"/>
          <w:szCs w:val="12"/>
        </w:rPr>
      </w:pPr>
    </w:p>
    <w:p w:rsidR="00141527" w:rsidRPr="00DE7CFA" w:rsidRDefault="00141527" w:rsidP="00141527">
      <w:pPr>
        <w:rPr>
          <w:szCs w:val="24"/>
        </w:rPr>
      </w:pPr>
      <w:r w:rsidRPr="00DE7CFA">
        <w:rPr>
          <w:szCs w:val="24"/>
        </w:rPr>
        <w:t xml:space="preserve">Az 1-30 nap lejáratú kintlévőség összege nagyon különböző lehet attól függően, hogy a leolvasási és számlázási ütemterv szerint év végén kibocsátott számlák fizetési határideje adott évre esik, vagy átkerül a következő évre. Ennek hatása kiszűrhető, amennyiben a </w:t>
      </w:r>
      <w:r w:rsidRPr="00DE7CFA">
        <w:rPr>
          <w:i/>
          <w:szCs w:val="24"/>
        </w:rPr>
        <w:t>mérlegkészítés időpontjáig beérkezett befizetéseket figyelembe vevő tartozásokat</w:t>
      </w:r>
      <w:r w:rsidRPr="00DE7CFA">
        <w:rPr>
          <w:szCs w:val="24"/>
        </w:rPr>
        <w:t xml:space="preserve"> vizsgáljuk.</w:t>
      </w:r>
    </w:p>
    <w:p w:rsidR="00E316AE" w:rsidRPr="00DE7CFA" w:rsidRDefault="00E316AE" w:rsidP="00141527">
      <w:pPr>
        <w:rPr>
          <w:sz w:val="16"/>
          <w:szCs w:val="16"/>
        </w:rPr>
      </w:pPr>
    </w:p>
    <w:p w:rsidR="0027556E" w:rsidRPr="00DE7CFA" w:rsidRDefault="0027556E" w:rsidP="0084797B">
      <w:pPr>
        <w:pStyle w:val="Szvegtrzs2"/>
        <w:ind w:right="-108"/>
        <w:rPr>
          <w:i/>
          <w:iCs/>
          <w:sz w:val="23"/>
          <w:szCs w:val="23"/>
        </w:rPr>
      </w:pPr>
      <w:r w:rsidRPr="00DE7CFA">
        <w:rPr>
          <w:i/>
          <w:iCs/>
          <w:sz w:val="23"/>
          <w:szCs w:val="23"/>
        </w:rPr>
        <w:t xml:space="preserve">Lejárt követelések és megoszlásuk a lejárat ideje szerint </w:t>
      </w:r>
      <w:r w:rsidR="0084797B" w:rsidRPr="00DE7CFA">
        <w:rPr>
          <w:i/>
          <w:iCs/>
          <w:sz w:val="23"/>
          <w:szCs w:val="23"/>
        </w:rPr>
        <w:tab/>
      </w:r>
      <w:r w:rsidR="0084797B" w:rsidRPr="00DE7CFA">
        <w:rPr>
          <w:i/>
          <w:iCs/>
          <w:sz w:val="23"/>
          <w:szCs w:val="23"/>
        </w:rPr>
        <w:tab/>
      </w:r>
      <w:r w:rsidR="0084797B" w:rsidRPr="00DE7CFA">
        <w:rPr>
          <w:i/>
          <w:iCs/>
          <w:sz w:val="23"/>
          <w:szCs w:val="23"/>
        </w:rPr>
        <w:tab/>
      </w:r>
      <w:r w:rsidR="0084797B" w:rsidRPr="00DE7CFA">
        <w:rPr>
          <w:i/>
          <w:iCs/>
          <w:sz w:val="23"/>
          <w:szCs w:val="23"/>
        </w:rPr>
        <w:tab/>
      </w:r>
      <w:r w:rsidR="0084797B" w:rsidRPr="00DE7CFA">
        <w:rPr>
          <w:i/>
          <w:iCs/>
          <w:sz w:val="23"/>
          <w:szCs w:val="23"/>
        </w:rPr>
        <w:tab/>
      </w:r>
      <w:r w:rsidR="0084797B" w:rsidRPr="00DE7CFA">
        <w:rPr>
          <w:i/>
          <w:iCs/>
          <w:sz w:val="23"/>
          <w:szCs w:val="23"/>
        </w:rPr>
        <w:tab/>
        <w:t xml:space="preserve">    </w:t>
      </w:r>
      <w:r w:rsidR="0084797B" w:rsidRPr="00DE7CFA">
        <w:rPr>
          <w:i/>
          <w:iCs/>
          <w:sz w:val="22"/>
          <w:szCs w:val="22"/>
        </w:rPr>
        <w:t>eFt</w:t>
      </w:r>
    </w:p>
    <w:tbl>
      <w:tblPr>
        <w:tblW w:w="5333" w:type="pct"/>
        <w:tblLayout w:type="fixed"/>
        <w:tblCellMar>
          <w:left w:w="70" w:type="dxa"/>
          <w:right w:w="70" w:type="dxa"/>
        </w:tblCellMar>
        <w:tblLook w:val="04A0" w:firstRow="1" w:lastRow="0" w:firstColumn="1" w:lastColumn="0" w:noHBand="0" w:noVBand="1"/>
      </w:tblPr>
      <w:tblGrid>
        <w:gridCol w:w="1257"/>
        <w:gridCol w:w="160"/>
        <w:gridCol w:w="144"/>
        <w:gridCol w:w="848"/>
        <w:gridCol w:w="98"/>
        <w:gridCol w:w="180"/>
        <w:gridCol w:w="161"/>
        <w:gridCol w:w="695"/>
        <w:gridCol w:w="266"/>
        <w:gridCol w:w="1026"/>
        <w:gridCol w:w="249"/>
        <w:gridCol w:w="875"/>
        <w:gridCol w:w="408"/>
        <w:gridCol w:w="8"/>
        <w:gridCol w:w="863"/>
        <w:gridCol w:w="124"/>
        <w:gridCol w:w="165"/>
        <w:gridCol w:w="982"/>
        <w:gridCol w:w="170"/>
        <w:gridCol w:w="419"/>
        <w:gridCol w:w="264"/>
        <w:gridCol w:w="138"/>
        <w:gridCol w:w="693"/>
        <w:gridCol w:w="21"/>
        <w:gridCol w:w="255"/>
      </w:tblGrid>
      <w:tr w:rsidR="00F54067" w:rsidRPr="00DE7CFA" w:rsidTr="008B1B91">
        <w:trPr>
          <w:gridAfter w:val="2"/>
          <w:wAfter w:w="132" w:type="pct"/>
          <w:trHeight w:val="77"/>
        </w:trPr>
        <w:tc>
          <w:tcPr>
            <w:tcW w:w="600" w:type="pct"/>
            <w:vMerge w:val="restart"/>
            <w:tcBorders>
              <w:top w:val="single" w:sz="4" w:space="0" w:color="auto"/>
              <w:left w:val="nil"/>
              <w:bottom w:val="nil"/>
              <w:right w:val="nil"/>
            </w:tcBorders>
            <w:shd w:val="clear" w:color="auto" w:fill="auto"/>
            <w:noWrap/>
            <w:vAlign w:val="bottom"/>
            <w:hideMark/>
          </w:tcPr>
          <w:p w:rsidR="006147AF" w:rsidRPr="00DE7CFA" w:rsidRDefault="006147AF" w:rsidP="006147AF">
            <w:pPr>
              <w:jc w:val="center"/>
              <w:rPr>
                <w:rFonts w:ascii="Times New Roman CE" w:hAnsi="Times New Roman CE" w:cs="Times New Roman CE"/>
                <w:i/>
                <w:iCs/>
                <w:sz w:val="20"/>
              </w:rPr>
            </w:pPr>
            <w:r w:rsidRPr="00DE7CFA">
              <w:rPr>
                <w:rFonts w:ascii="Times New Roman CE" w:hAnsi="Times New Roman CE" w:cs="Times New Roman CE"/>
                <w:i/>
                <w:iCs/>
                <w:sz w:val="20"/>
              </w:rPr>
              <w:t>Lejárat ideje</w:t>
            </w:r>
          </w:p>
        </w:tc>
        <w:tc>
          <w:tcPr>
            <w:tcW w:w="1218" w:type="pct"/>
            <w:gridSpan w:val="8"/>
            <w:vMerge w:val="restart"/>
            <w:tcBorders>
              <w:top w:val="single" w:sz="4" w:space="0" w:color="auto"/>
              <w:left w:val="nil"/>
              <w:bottom w:val="single" w:sz="4" w:space="0" w:color="000000"/>
              <w:right w:val="nil"/>
            </w:tcBorders>
            <w:shd w:val="clear" w:color="auto" w:fill="auto"/>
            <w:noWrap/>
            <w:vAlign w:val="center"/>
            <w:hideMark/>
          </w:tcPr>
          <w:p w:rsidR="006147AF" w:rsidRPr="00DE7CFA" w:rsidRDefault="006147AF" w:rsidP="006147AF">
            <w:pPr>
              <w:jc w:val="center"/>
              <w:rPr>
                <w:rFonts w:ascii="Times New Roman CE" w:hAnsi="Times New Roman CE" w:cs="Times New Roman CE"/>
                <w:i/>
                <w:iCs/>
                <w:sz w:val="20"/>
              </w:rPr>
            </w:pPr>
            <w:r w:rsidRPr="00DE7CFA">
              <w:rPr>
                <w:rFonts w:ascii="Times New Roman CE" w:hAnsi="Times New Roman CE" w:cs="Times New Roman CE"/>
                <w:i/>
                <w:iCs/>
                <w:sz w:val="20"/>
              </w:rPr>
              <w:t>Kintlévőség</w:t>
            </w:r>
          </w:p>
        </w:tc>
        <w:tc>
          <w:tcPr>
            <w:tcW w:w="1226" w:type="pct"/>
            <w:gridSpan w:val="5"/>
            <w:vMerge w:val="restart"/>
            <w:tcBorders>
              <w:top w:val="single" w:sz="4" w:space="0" w:color="auto"/>
              <w:left w:val="nil"/>
              <w:bottom w:val="single" w:sz="4" w:space="0" w:color="000000"/>
              <w:right w:val="nil"/>
            </w:tcBorders>
            <w:shd w:val="clear" w:color="auto" w:fill="auto"/>
            <w:vAlign w:val="bottom"/>
            <w:hideMark/>
          </w:tcPr>
          <w:p w:rsidR="006147AF" w:rsidRPr="00DE7CFA" w:rsidRDefault="006147AF" w:rsidP="006147AF">
            <w:pPr>
              <w:jc w:val="center"/>
              <w:rPr>
                <w:rFonts w:ascii="Times New Roman CE" w:hAnsi="Times New Roman CE" w:cs="Times New Roman CE"/>
                <w:i/>
                <w:iCs/>
                <w:sz w:val="20"/>
              </w:rPr>
            </w:pPr>
            <w:r w:rsidRPr="00DE7CFA">
              <w:rPr>
                <w:rFonts w:ascii="Times New Roman CE" w:hAnsi="Times New Roman CE" w:cs="Times New Roman CE"/>
                <w:i/>
                <w:iCs/>
                <w:sz w:val="20"/>
              </w:rPr>
              <w:t xml:space="preserve">Mérlegkész.időpontjáig </w:t>
            </w:r>
            <w:r w:rsidRPr="00DE7CFA">
              <w:rPr>
                <w:rFonts w:ascii="Times New Roman CE" w:hAnsi="Times New Roman CE" w:cs="Times New Roman CE"/>
                <w:i/>
                <w:iCs/>
                <w:sz w:val="20"/>
              </w:rPr>
              <w:br/>
              <w:t>befolyt követelés</w:t>
            </w:r>
          </w:p>
        </w:tc>
        <w:tc>
          <w:tcPr>
            <w:tcW w:w="1823" w:type="pct"/>
            <w:gridSpan w:val="9"/>
            <w:tcBorders>
              <w:top w:val="single" w:sz="4" w:space="0" w:color="auto"/>
              <w:left w:val="nil"/>
              <w:bottom w:val="nil"/>
              <w:right w:val="nil"/>
            </w:tcBorders>
            <w:shd w:val="clear" w:color="auto" w:fill="auto"/>
            <w:vAlign w:val="bottom"/>
            <w:hideMark/>
          </w:tcPr>
          <w:p w:rsidR="006147AF" w:rsidRPr="00DE7CFA" w:rsidRDefault="006147AF" w:rsidP="006147AF">
            <w:pPr>
              <w:jc w:val="center"/>
              <w:rPr>
                <w:rFonts w:ascii="Times New Roman CE" w:hAnsi="Times New Roman CE" w:cs="Times New Roman CE"/>
                <w:i/>
                <w:iCs/>
                <w:sz w:val="20"/>
              </w:rPr>
            </w:pPr>
            <w:r w:rsidRPr="00DE7CFA">
              <w:rPr>
                <w:rFonts w:ascii="Times New Roman CE" w:hAnsi="Times New Roman CE" w:cs="Times New Roman CE"/>
                <w:i/>
                <w:iCs/>
                <w:sz w:val="20"/>
              </w:rPr>
              <w:t xml:space="preserve">Mérlegkészítés időpontjában fennálló köv. </w:t>
            </w:r>
          </w:p>
        </w:tc>
      </w:tr>
      <w:tr w:rsidR="00F54067" w:rsidRPr="00DE7CFA" w:rsidTr="008B1B91">
        <w:trPr>
          <w:gridAfter w:val="2"/>
          <w:wAfter w:w="132" w:type="pct"/>
          <w:trHeight w:val="124"/>
        </w:trPr>
        <w:tc>
          <w:tcPr>
            <w:tcW w:w="600" w:type="pct"/>
            <w:vMerge/>
            <w:tcBorders>
              <w:top w:val="single" w:sz="4" w:space="0" w:color="auto"/>
              <w:left w:val="nil"/>
              <w:bottom w:val="nil"/>
              <w:right w:val="nil"/>
            </w:tcBorders>
            <w:vAlign w:val="center"/>
            <w:hideMark/>
          </w:tcPr>
          <w:p w:rsidR="006147AF" w:rsidRPr="00DE7CFA" w:rsidRDefault="006147AF" w:rsidP="006147AF">
            <w:pPr>
              <w:jc w:val="left"/>
              <w:rPr>
                <w:rFonts w:ascii="Times New Roman CE" w:hAnsi="Times New Roman CE" w:cs="Times New Roman CE"/>
                <w:i/>
                <w:iCs/>
                <w:sz w:val="20"/>
              </w:rPr>
            </w:pPr>
          </w:p>
        </w:tc>
        <w:tc>
          <w:tcPr>
            <w:tcW w:w="1218" w:type="pct"/>
            <w:gridSpan w:val="8"/>
            <w:vMerge/>
            <w:tcBorders>
              <w:top w:val="single" w:sz="4" w:space="0" w:color="auto"/>
              <w:left w:val="nil"/>
              <w:bottom w:val="single" w:sz="4" w:space="0" w:color="000000"/>
              <w:right w:val="nil"/>
            </w:tcBorders>
            <w:vAlign w:val="center"/>
            <w:hideMark/>
          </w:tcPr>
          <w:p w:rsidR="006147AF" w:rsidRPr="00DE7CFA" w:rsidRDefault="006147AF" w:rsidP="006147AF">
            <w:pPr>
              <w:jc w:val="left"/>
              <w:rPr>
                <w:rFonts w:ascii="Times New Roman CE" w:hAnsi="Times New Roman CE" w:cs="Times New Roman CE"/>
                <w:i/>
                <w:iCs/>
                <w:sz w:val="20"/>
              </w:rPr>
            </w:pPr>
          </w:p>
        </w:tc>
        <w:tc>
          <w:tcPr>
            <w:tcW w:w="1226" w:type="pct"/>
            <w:gridSpan w:val="5"/>
            <w:vMerge/>
            <w:tcBorders>
              <w:top w:val="single" w:sz="4" w:space="0" w:color="auto"/>
              <w:left w:val="nil"/>
              <w:bottom w:val="single" w:sz="4" w:space="0" w:color="000000"/>
              <w:right w:val="nil"/>
            </w:tcBorders>
            <w:vAlign w:val="center"/>
            <w:hideMark/>
          </w:tcPr>
          <w:p w:rsidR="006147AF" w:rsidRPr="00DE7CFA" w:rsidRDefault="006147AF" w:rsidP="006147AF">
            <w:pPr>
              <w:jc w:val="left"/>
              <w:rPr>
                <w:rFonts w:ascii="Times New Roman CE" w:hAnsi="Times New Roman CE" w:cs="Times New Roman CE"/>
                <w:i/>
                <w:iCs/>
                <w:sz w:val="20"/>
              </w:rPr>
            </w:pPr>
          </w:p>
        </w:tc>
        <w:tc>
          <w:tcPr>
            <w:tcW w:w="1100" w:type="pct"/>
            <w:gridSpan w:val="5"/>
            <w:tcBorders>
              <w:top w:val="nil"/>
              <w:left w:val="nil"/>
              <w:bottom w:val="single" w:sz="4" w:space="0" w:color="auto"/>
              <w:right w:val="nil"/>
            </w:tcBorders>
            <w:shd w:val="clear" w:color="auto" w:fill="auto"/>
            <w:vAlign w:val="bottom"/>
            <w:hideMark/>
          </w:tcPr>
          <w:p w:rsidR="006147AF" w:rsidRPr="00DE7CFA" w:rsidRDefault="006147AF" w:rsidP="006147AF">
            <w:pPr>
              <w:jc w:val="center"/>
              <w:rPr>
                <w:rFonts w:ascii="Times New Roman CE" w:hAnsi="Times New Roman CE" w:cs="Times New Roman CE"/>
                <w:i/>
                <w:iCs/>
                <w:sz w:val="20"/>
              </w:rPr>
            </w:pPr>
            <w:r w:rsidRPr="00DE7CFA">
              <w:rPr>
                <w:rFonts w:ascii="Times New Roman CE" w:hAnsi="Times New Roman CE" w:cs="Times New Roman CE"/>
                <w:i/>
                <w:iCs/>
                <w:sz w:val="20"/>
              </w:rPr>
              <w:t>összege</w:t>
            </w:r>
          </w:p>
        </w:tc>
        <w:tc>
          <w:tcPr>
            <w:tcW w:w="723" w:type="pct"/>
            <w:gridSpan w:val="4"/>
            <w:tcBorders>
              <w:top w:val="nil"/>
              <w:left w:val="nil"/>
              <w:bottom w:val="single" w:sz="4" w:space="0" w:color="auto"/>
              <w:right w:val="nil"/>
            </w:tcBorders>
            <w:shd w:val="clear" w:color="auto" w:fill="auto"/>
            <w:vAlign w:val="bottom"/>
            <w:hideMark/>
          </w:tcPr>
          <w:p w:rsidR="006147AF" w:rsidRPr="00DE7CFA" w:rsidRDefault="006147AF" w:rsidP="006147AF">
            <w:pPr>
              <w:jc w:val="center"/>
              <w:rPr>
                <w:rFonts w:ascii="Times New Roman CE" w:hAnsi="Times New Roman CE" w:cs="Times New Roman CE"/>
                <w:i/>
                <w:iCs/>
                <w:sz w:val="20"/>
              </w:rPr>
            </w:pPr>
            <w:r w:rsidRPr="00DE7CFA">
              <w:rPr>
                <w:rFonts w:ascii="Times New Roman CE" w:hAnsi="Times New Roman CE" w:cs="Times New Roman CE"/>
                <w:i/>
                <w:iCs/>
                <w:sz w:val="20"/>
              </w:rPr>
              <w:t>változása</w:t>
            </w:r>
          </w:p>
        </w:tc>
      </w:tr>
      <w:tr w:rsidR="008B1B91" w:rsidRPr="00DE7CFA" w:rsidTr="008B1B91">
        <w:trPr>
          <w:gridAfter w:val="2"/>
          <w:wAfter w:w="132" w:type="pct"/>
          <w:trHeight w:val="300"/>
        </w:trPr>
        <w:tc>
          <w:tcPr>
            <w:tcW w:w="600" w:type="pct"/>
            <w:tcBorders>
              <w:top w:val="nil"/>
              <w:left w:val="nil"/>
              <w:bottom w:val="single" w:sz="4" w:space="0" w:color="auto"/>
              <w:right w:val="nil"/>
            </w:tcBorders>
            <w:shd w:val="clear" w:color="auto" w:fill="auto"/>
            <w:noWrap/>
            <w:vAlign w:val="bottom"/>
            <w:hideMark/>
          </w:tcPr>
          <w:p w:rsidR="006147AF" w:rsidRPr="00DE7CFA" w:rsidRDefault="006147AF" w:rsidP="006147AF">
            <w:pPr>
              <w:jc w:val="left"/>
              <w:rPr>
                <w:rFonts w:ascii="Times New Roman CE" w:hAnsi="Times New Roman CE" w:cs="Times New Roman CE"/>
                <w:i/>
                <w:iCs/>
                <w:sz w:val="20"/>
              </w:rPr>
            </w:pPr>
            <w:r w:rsidRPr="00DE7CFA">
              <w:rPr>
                <w:rFonts w:ascii="Times New Roman CE" w:hAnsi="Times New Roman CE" w:cs="Times New Roman CE"/>
                <w:i/>
                <w:iCs/>
                <w:sz w:val="20"/>
              </w:rPr>
              <w:t> </w:t>
            </w:r>
          </w:p>
        </w:tc>
        <w:tc>
          <w:tcPr>
            <w:tcW w:w="597" w:type="pct"/>
            <w:gridSpan w:val="4"/>
            <w:tcBorders>
              <w:top w:val="nil"/>
              <w:left w:val="nil"/>
              <w:bottom w:val="single" w:sz="4" w:space="0" w:color="auto"/>
              <w:right w:val="nil"/>
            </w:tcBorders>
            <w:shd w:val="clear" w:color="auto" w:fill="auto"/>
            <w:noWrap/>
            <w:vAlign w:val="bottom"/>
            <w:hideMark/>
          </w:tcPr>
          <w:p w:rsidR="006147AF" w:rsidRPr="00DE7CFA" w:rsidRDefault="006147AF" w:rsidP="0022304C">
            <w:pPr>
              <w:jc w:val="center"/>
              <w:rPr>
                <w:rFonts w:ascii="Times New Roman CE" w:hAnsi="Times New Roman CE" w:cs="Times New Roman CE"/>
                <w:i/>
                <w:iCs/>
                <w:sz w:val="20"/>
              </w:rPr>
            </w:pPr>
            <w:r w:rsidRPr="00DE7CFA">
              <w:rPr>
                <w:rFonts w:ascii="Times New Roman CE" w:hAnsi="Times New Roman CE" w:cs="Times New Roman CE"/>
                <w:i/>
                <w:iCs/>
                <w:sz w:val="20"/>
              </w:rPr>
              <w:t>20</w:t>
            </w:r>
            <w:r w:rsidR="00C70F09" w:rsidRPr="00DE7CFA">
              <w:rPr>
                <w:rFonts w:ascii="Times New Roman CE" w:hAnsi="Times New Roman CE" w:cs="Times New Roman CE"/>
                <w:i/>
                <w:iCs/>
                <w:sz w:val="20"/>
              </w:rPr>
              <w:t>2</w:t>
            </w:r>
            <w:r w:rsidR="0022304C">
              <w:rPr>
                <w:rFonts w:ascii="Times New Roman CE" w:hAnsi="Times New Roman CE" w:cs="Times New Roman CE"/>
                <w:i/>
                <w:iCs/>
                <w:sz w:val="20"/>
              </w:rPr>
              <w:t>1</w:t>
            </w:r>
            <w:r w:rsidRPr="00DE7CFA">
              <w:rPr>
                <w:rFonts w:ascii="Times New Roman CE" w:hAnsi="Times New Roman CE" w:cs="Times New Roman CE"/>
                <w:i/>
                <w:iCs/>
                <w:sz w:val="20"/>
              </w:rPr>
              <w:t>.dec.31.</w:t>
            </w:r>
          </w:p>
        </w:tc>
        <w:tc>
          <w:tcPr>
            <w:tcW w:w="622" w:type="pct"/>
            <w:gridSpan w:val="4"/>
            <w:tcBorders>
              <w:top w:val="nil"/>
              <w:left w:val="nil"/>
              <w:bottom w:val="single" w:sz="4" w:space="0" w:color="auto"/>
              <w:right w:val="nil"/>
            </w:tcBorders>
            <w:shd w:val="clear" w:color="auto" w:fill="auto"/>
            <w:noWrap/>
            <w:vAlign w:val="bottom"/>
            <w:hideMark/>
          </w:tcPr>
          <w:p w:rsidR="006147AF" w:rsidRPr="00DE7CFA" w:rsidRDefault="006147AF" w:rsidP="0022304C">
            <w:pPr>
              <w:jc w:val="center"/>
              <w:rPr>
                <w:rFonts w:ascii="Times New Roman CE" w:hAnsi="Times New Roman CE" w:cs="Times New Roman CE"/>
                <w:i/>
                <w:iCs/>
                <w:sz w:val="20"/>
              </w:rPr>
            </w:pPr>
            <w:r w:rsidRPr="00DE7CFA">
              <w:rPr>
                <w:rFonts w:ascii="Times New Roman CE" w:hAnsi="Times New Roman CE" w:cs="Times New Roman CE"/>
                <w:i/>
                <w:iCs/>
                <w:sz w:val="20"/>
              </w:rPr>
              <w:t>20</w:t>
            </w:r>
            <w:r w:rsidR="002722EE" w:rsidRPr="00DE7CFA">
              <w:rPr>
                <w:rFonts w:ascii="Times New Roman CE" w:hAnsi="Times New Roman CE" w:cs="Times New Roman CE"/>
                <w:i/>
                <w:iCs/>
                <w:sz w:val="20"/>
              </w:rPr>
              <w:t>2</w:t>
            </w:r>
            <w:r w:rsidR="0022304C">
              <w:rPr>
                <w:rFonts w:ascii="Times New Roman CE" w:hAnsi="Times New Roman CE" w:cs="Times New Roman CE"/>
                <w:i/>
                <w:iCs/>
                <w:sz w:val="20"/>
              </w:rPr>
              <w:t>2</w:t>
            </w:r>
            <w:r w:rsidRPr="00DE7CFA">
              <w:rPr>
                <w:rFonts w:ascii="Times New Roman CE" w:hAnsi="Times New Roman CE" w:cs="Times New Roman CE"/>
                <w:i/>
                <w:iCs/>
                <w:sz w:val="20"/>
              </w:rPr>
              <w:t>.dec.31.</w:t>
            </w:r>
          </w:p>
        </w:tc>
        <w:tc>
          <w:tcPr>
            <w:tcW w:w="609" w:type="pct"/>
            <w:gridSpan w:val="2"/>
            <w:tcBorders>
              <w:top w:val="nil"/>
              <w:left w:val="nil"/>
              <w:bottom w:val="single" w:sz="4" w:space="0" w:color="auto"/>
              <w:right w:val="nil"/>
            </w:tcBorders>
            <w:shd w:val="clear" w:color="auto" w:fill="auto"/>
            <w:noWrap/>
            <w:vAlign w:val="bottom"/>
            <w:hideMark/>
          </w:tcPr>
          <w:p w:rsidR="006147AF" w:rsidRPr="00DE7CFA" w:rsidRDefault="006147AF" w:rsidP="0022304C">
            <w:pPr>
              <w:jc w:val="center"/>
              <w:rPr>
                <w:rFonts w:ascii="Times New Roman CE" w:hAnsi="Times New Roman CE" w:cs="Times New Roman CE"/>
                <w:i/>
                <w:iCs/>
                <w:sz w:val="20"/>
              </w:rPr>
            </w:pPr>
            <w:r w:rsidRPr="00DE7CFA">
              <w:rPr>
                <w:rFonts w:ascii="Times New Roman CE" w:hAnsi="Times New Roman CE" w:cs="Times New Roman CE"/>
                <w:i/>
                <w:iCs/>
                <w:sz w:val="20"/>
              </w:rPr>
              <w:t>20</w:t>
            </w:r>
            <w:r w:rsidR="002722EE" w:rsidRPr="00DE7CFA">
              <w:rPr>
                <w:rFonts w:ascii="Times New Roman CE" w:hAnsi="Times New Roman CE" w:cs="Times New Roman CE"/>
                <w:i/>
                <w:iCs/>
                <w:sz w:val="20"/>
              </w:rPr>
              <w:t>2</w:t>
            </w:r>
            <w:r w:rsidR="0022304C">
              <w:rPr>
                <w:rFonts w:ascii="Times New Roman CE" w:hAnsi="Times New Roman CE" w:cs="Times New Roman CE"/>
                <w:i/>
                <w:iCs/>
                <w:sz w:val="20"/>
              </w:rPr>
              <w:t>2</w:t>
            </w:r>
            <w:r w:rsidRPr="00DE7CFA">
              <w:rPr>
                <w:rFonts w:ascii="Times New Roman CE" w:hAnsi="Times New Roman CE" w:cs="Times New Roman CE"/>
                <w:i/>
                <w:iCs/>
                <w:sz w:val="20"/>
              </w:rPr>
              <w:t>.febr15.</w:t>
            </w:r>
          </w:p>
        </w:tc>
        <w:tc>
          <w:tcPr>
            <w:tcW w:w="613" w:type="pct"/>
            <w:gridSpan w:val="2"/>
            <w:tcBorders>
              <w:top w:val="nil"/>
              <w:left w:val="nil"/>
              <w:bottom w:val="single" w:sz="4" w:space="0" w:color="auto"/>
              <w:right w:val="nil"/>
            </w:tcBorders>
            <w:shd w:val="clear" w:color="auto" w:fill="auto"/>
            <w:noWrap/>
            <w:vAlign w:val="bottom"/>
            <w:hideMark/>
          </w:tcPr>
          <w:p w:rsidR="006147AF" w:rsidRPr="00DE7CFA" w:rsidRDefault="006147AF" w:rsidP="0022304C">
            <w:pPr>
              <w:rPr>
                <w:rFonts w:ascii="Times New Roman CE" w:hAnsi="Times New Roman CE" w:cs="Times New Roman CE"/>
                <w:i/>
                <w:iCs/>
                <w:sz w:val="20"/>
              </w:rPr>
            </w:pPr>
            <w:r w:rsidRPr="00DE7CFA">
              <w:rPr>
                <w:rFonts w:ascii="Times New Roman CE" w:hAnsi="Times New Roman CE" w:cs="Times New Roman CE"/>
                <w:i/>
                <w:iCs/>
                <w:sz w:val="20"/>
              </w:rPr>
              <w:t>20</w:t>
            </w:r>
            <w:r w:rsidR="00B5163B" w:rsidRPr="00DE7CFA">
              <w:rPr>
                <w:rFonts w:ascii="Times New Roman CE" w:hAnsi="Times New Roman CE" w:cs="Times New Roman CE"/>
                <w:i/>
                <w:iCs/>
                <w:sz w:val="20"/>
              </w:rPr>
              <w:t>2</w:t>
            </w:r>
            <w:r w:rsidR="0022304C">
              <w:rPr>
                <w:rFonts w:ascii="Times New Roman CE" w:hAnsi="Times New Roman CE" w:cs="Times New Roman CE"/>
                <w:i/>
                <w:iCs/>
                <w:sz w:val="20"/>
              </w:rPr>
              <w:t>3</w:t>
            </w:r>
            <w:r w:rsidRPr="00DE7CFA">
              <w:rPr>
                <w:rFonts w:ascii="Times New Roman CE" w:hAnsi="Times New Roman CE" w:cs="Times New Roman CE"/>
                <w:i/>
                <w:iCs/>
                <w:sz w:val="20"/>
              </w:rPr>
              <w:t>.febr15.</w:t>
            </w:r>
          </w:p>
        </w:tc>
        <w:tc>
          <w:tcPr>
            <w:tcW w:w="554" w:type="pct"/>
            <w:gridSpan w:val="4"/>
            <w:tcBorders>
              <w:top w:val="nil"/>
              <w:left w:val="nil"/>
              <w:bottom w:val="single" w:sz="4" w:space="0" w:color="auto"/>
              <w:right w:val="nil"/>
            </w:tcBorders>
            <w:shd w:val="clear" w:color="auto" w:fill="auto"/>
            <w:noWrap/>
            <w:vAlign w:val="bottom"/>
            <w:hideMark/>
          </w:tcPr>
          <w:p w:rsidR="006147AF" w:rsidRPr="00DE7CFA" w:rsidRDefault="006147AF" w:rsidP="0022304C">
            <w:pPr>
              <w:ind w:left="-217" w:firstLine="217"/>
              <w:jc w:val="left"/>
              <w:rPr>
                <w:rFonts w:ascii="Times New Roman CE" w:hAnsi="Times New Roman CE" w:cs="Times New Roman CE"/>
                <w:i/>
                <w:iCs/>
                <w:sz w:val="20"/>
              </w:rPr>
            </w:pPr>
            <w:r w:rsidRPr="00DE7CFA">
              <w:rPr>
                <w:rFonts w:ascii="Times New Roman CE" w:hAnsi="Times New Roman CE" w:cs="Times New Roman CE"/>
                <w:i/>
                <w:iCs/>
                <w:sz w:val="20"/>
              </w:rPr>
              <w:t>20</w:t>
            </w:r>
            <w:r w:rsidR="002722EE" w:rsidRPr="00DE7CFA">
              <w:rPr>
                <w:rFonts w:ascii="Times New Roman CE" w:hAnsi="Times New Roman CE" w:cs="Times New Roman CE"/>
                <w:i/>
                <w:iCs/>
                <w:sz w:val="20"/>
              </w:rPr>
              <w:t>2</w:t>
            </w:r>
            <w:r w:rsidR="0022304C">
              <w:rPr>
                <w:rFonts w:ascii="Times New Roman CE" w:hAnsi="Times New Roman CE" w:cs="Times New Roman CE"/>
                <w:i/>
                <w:iCs/>
                <w:sz w:val="20"/>
              </w:rPr>
              <w:t>2</w:t>
            </w:r>
            <w:r w:rsidRPr="00DE7CFA">
              <w:rPr>
                <w:rFonts w:ascii="Times New Roman CE" w:hAnsi="Times New Roman CE" w:cs="Times New Roman CE"/>
                <w:i/>
                <w:iCs/>
                <w:sz w:val="20"/>
              </w:rPr>
              <w:t>.febr15</w:t>
            </w:r>
          </w:p>
        </w:tc>
        <w:tc>
          <w:tcPr>
            <w:tcW w:w="550" w:type="pct"/>
            <w:gridSpan w:val="2"/>
            <w:tcBorders>
              <w:top w:val="nil"/>
              <w:left w:val="nil"/>
              <w:bottom w:val="single" w:sz="4" w:space="0" w:color="auto"/>
              <w:right w:val="nil"/>
            </w:tcBorders>
            <w:shd w:val="clear" w:color="auto" w:fill="auto"/>
            <w:noWrap/>
            <w:vAlign w:val="bottom"/>
            <w:hideMark/>
          </w:tcPr>
          <w:p w:rsidR="006147AF" w:rsidRPr="00DE7CFA" w:rsidRDefault="006147AF" w:rsidP="0022304C">
            <w:pPr>
              <w:jc w:val="center"/>
              <w:rPr>
                <w:rFonts w:ascii="Times New Roman CE" w:hAnsi="Times New Roman CE" w:cs="Times New Roman CE"/>
                <w:i/>
                <w:iCs/>
                <w:sz w:val="20"/>
              </w:rPr>
            </w:pPr>
            <w:r w:rsidRPr="00DE7CFA">
              <w:rPr>
                <w:rFonts w:ascii="Times New Roman CE" w:hAnsi="Times New Roman CE" w:cs="Times New Roman CE"/>
                <w:i/>
                <w:iCs/>
                <w:sz w:val="20"/>
              </w:rPr>
              <w:t>20</w:t>
            </w:r>
            <w:r w:rsidR="00B5163B" w:rsidRPr="00DE7CFA">
              <w:rPr>
                <w:rFonts w:ascii="Times New Roman CE" w:hAnsi="Times New Roman CE" w:cs="Times New Roman CE"/>
                <w:i/>
                <w:iCs/>
                <w:sz w:val="20"/>
              </w:rPr>
              <w:t>2</w:t>
            </w:r>
            <w:r w:rsidR="0022304C">
              <w:rPr>
                <w:rFonts w:ascii="Times New Roman CE" w:hAnsi="Times New Roman CE" w:cs="Times New Roman CE"/>
                <w:i/>
                <w:iCs/>
                <w:sz w:val="20"/>
              </w:rPr>
              <w:t>3</w:t>
            </w:r>
            <w:r w:rsidRPr="00DE7CFA">
              <w:rPr>
                <w:rFonts w:ascii="Times New Roman CE" w:hAnsi="Times New Roman CE" w:cs="Times New Roman CE"/>
                <w:i/>
                <w:iCs/>
                <w:sz w:val="20"/>
              </w:rPr>
              <w:t>.febr15</w:t>
            </w:r>
          </w:p>
        </w:tc>
        <w:tc>
          <w:tcPr>
            <w:tcW w:w="200" w:type="pct"/>
            <w:tcBorders>
              <w:top w:val="nil"/>
              <w:left w:val="nil"/>
              <w:bottom w:val="single" w:sz="4" w:space="0" w:color="auto"/>
              <w:right w:val="nil"/>
            </w:tcBorders>
            <w:shd w:val="clear" w:color="auto" w:fill="auto"/>
            <w:noWrap/>
            <w:vAlign w:val="bottom"/>
            <w:hideMark/>
          </w:tcPr>
          <w:p w:rsidR="006147AF" w:rsidRPr="00DE7CFA" w:rsidRDefault="006147AF" w:rsidP="006147AF">
            <w:pPr>
              <w:jc w:val="center"/>
              <w:rPr>
                <w:rFonts w:ascii="Times New Roman CE" w:hAnsi="Times New Roman CE" w:cs="Times New Roman CE"/>
                <w:i/>
                <w:iCs/>
                <w:sz w:val="20"/>
              </w:rPr>
            </w:pPr>
            <w:r w:rsidRPr="00DE7CFA">
              <w:rPr>
                <w:rFonts w:ascii="Times New Roman CE" w:hAnsi="Times New Roman CE" w:cs="Times New Roman CE"/>
                <w:i/>
                <w:iCs/>
                <w:sz w:val="20"/>
              </w:rPr>
              <w:t xml:space="preserve">eFt </w:t>
            </w:r>
          </w:p>
        </w:tc>
        <w:tc>
          <w:tcPr>
            <w:tcW w:w="523" w:type="pct"/>
            <w:gridSpan w:val="3"/>
            <w:tcBorders>
              <w:top w:val="nil"/>
              <w:left w:val="nil"/>
              <w:bottom w:val="single" w:sz="4" w:space="0" w:color="auto"/>
              <w:right w:val="nil"/>
            </w:tcBorders>
            <w:shd w:val="clear" w:color="auto" w:fill="auto"/>
            <w:noWrap/>
            <w:vAlign w:val="bottom"/>
            <w:hideMark/>
          </w:tcPr>
          <w:p w:rsidR="006147AF" w:rsidRPr="00DE7CFA" w:rsidRDefault="006147AF" w:rsidP="004D06CB">
            <w:pPr>
              <w:jc w:val="center"/>
              <w:rPr>
                <w:rFonts w:ascii="Times New Roman CE" w:hAnsi="Times New Roman CE" w:cs="Times New Roman CE"/>
                <w:i/>
                <w:iCs/>
                <w:sz w:val="20"/>
              </w:rPr>
            </w:pPr>
            <w:r w:rsidRPr="00DE7CFA">
              <w:rPr>
                <w:rFonts w:ascii="Times New Roman CE" w:hAnsi="Times New Roman CE" w:cs="Times New Roman CE"/>
                <w:i/>
                <w:iCs/>
                <w:sz w:val="20"/>
              </w:rPr>
              <w:t>index</w:t>
            </w:r>
          </w:p>
        </w:tc>
      </w:tr>
      <w:tr w:rsidR="008B1B91" w:rsidRPr="0022304C" w:rsidTr="008B1B91">
        <w:trPr>
          <w:gridAfter w:val="1"/>
          <w:wAfter w:w="123" w:type="pct"/>
          <w:trHeight w:val="270"/>
        </w:trPr>
        <w:tc>
          <w:tcPr>
            <w:tcW w:w="676" w:type="pct"/>
            <w:gridSpan w:val="2"/>
            <w:tcBorders>
              <w:top w:val="nil"/>
              <w:left w:val="nil"/>
              <w:bottom w:val="nil"/>
              <w:right w:val="nil"/>
            </w:tcBorders>
            <w:shd w:val="clear" w:color="auto" w:fill="auto"/>
            <w:noWrap/>
            <w:vAlign w:val="bottom"/>
            <w:hideMark/>
          </w:tcPr>
          <w:p w:rsidR="0022304C" w:rsidRPr="0022304C" w:rsidRDefault="0022304C" w:rsidP="0022304C">
            <w:pPr>
              <w:jc w:val="left"/>
              <w:rPr>
                <w:rFonts w:ascii="Times New Roman CE" w:hAnsi="Times New Roman CE" w:cs="Times New Roman CE"/>
                <w:sz w:val="21"/>
                <w:szCs w:val="21"/>
              </w:rPr>
            </w:pPr>
            <w:r w:rsidRPr="0022304C">
              <w:rPr>
                <w:rFonts w:ascii="Times New Roman CE" w:hAnsi="Times New Roman CE" w:cs="Times New Roman CE"/>
                <w:sz w:val="21"/>
                <w:szCs w:val="21"/>
              </w:rPr>
              <w:t>1-30 nap</w:t>
            </w:r>
          </w:p>
        </w:tc>
        <w:tc>
          <w:tcPr>
            <w:tcW w:w="473" w:type="pct"/>
            <w:gridSpan w:val="2"/>
            <w:tcBorders>
              <w:top w:val="nil"/>
              <w:left w:val="nil"/>
              <w:bottom w:val="nil"/>
              <w:right w:val="nil"/>
            </w:tcBorders>
            <w:shd w:val="clear" w:color="auto" w:fill="auto"/>
            <w:noWrap/>
            <w:vAlign w:val="bottom"/>
            <w:hideMark/>
          </w:tcPr>
          <w:p w:rsidR="0022304C" w:rsidRPr="0022304C" w:rsidRDefault="0022304C" w:rsidP="0022304C">
            <w:pPr>
              <w:jc w:val="right"/>
              <w:rPr>
                <w:rFonts w:ascii="Times New Roman CE" w:hAnsi="Times New Roman CE" w:cs="Times New Roman CE"/>
                <w:sz w:val="21"/>
                <w:szCs w:val="21"/>
              </w:rPr>
            </w:pPr>
            <w:r w:rsidRPr="0022304C">
              <w:rPr>
                <w:rFonts w:ascii="Times New Roman CE" w:hAnsi="Times New Roman CE" w:cs="Times New Roman CE"/>
                <w:sz w:val="21"/>
                <w:szCs w:val="21"/>
              </w:rPr>
              <w:t>82 629</w:t>
            </w:r>
          </w:p>
        </w:tc>
        <w:tc>
          <w:tcPr>
            <w:tcW w:w="542" w:type="pct"/>
            <w:gridSpan w:val="4"/>
            <w:tcBorders>
              <w:top w:val="nil"/>
              <w:left w:val="nil"/>
              <w:bottom w:val="nil"/>
              <w:right w:val="nil"/>
            </w:tcBorders>
            <w:shd w:val="clear" w:color="auto" w:fill="auto"/>
            <w:noWrap/>
            <w:vAlign w:val="bottom"/>
            <w:hideMark/>
          </w:tcPr>
          <w:p w:rsidR="0022304C" w:rsidRPr="0022304C" w:rsidRDefault="0022304C" w:rsidP="0022304C">
            <w:pPr>
              <w:jc w:val="right"/>
              <w:rPr>
                <w:rFonts w:ascii="Times New Roman CE" w:hAnsi="Times New Roman CE" w:cs="Times New Roman CE"/>
                <w:sz w:val="21"/>
                <w:szCs w:val="21"/>
              </w:rPr>
            </w:pPr>
            <w:r w:rsidRPr="0022304C">
              <w:rPr>
                <w:rFonts w:ascii="Times New Roman CE" w:hAnsi="Times New Roman CE" w:cs="Times New Roman CE"/>
                <w:sz w:val="21"/>
                <w:szCs w:val="21"/>
              </w:rPr>
              <w:t>78 000</w:t>
            </w:r>
          </w:p>
        </w:tc>
        <w:tc>
          <w:tcPr>
            <w:tcW w:w="617" w:type="pct"/>
            <w:gridSpan w:val="2"/>
            <w:tcBorders>
              <w:top w:val="nil"/>
              <w:left w:val="nil"/>
              <w:bottom w:val="nil"/>
              <w:right w:val="nil"/>
            </w:tcBorders>
            <w:shd w:val="clear" w:color="auto" w:fill="auto"/>
            <w:noWrap/>
            <w:vAlign w:val="bottom"/>
            <w:hideMark/>
          </w:tcPr>
          <w:p w:rsidR="0022304C" w:rsidRPr="0022304C" w:rsidRDefault="0022304C" w:rsidP="0022304C">
            <w:pPr>
              <w:jc w:val="right"/>
              <w:rPr>
                <w:rFonts w:ascii="Times New Roman CE" w:hAnsi="Times New Roman CE" w:cs="Times New Roman CE"/>
                <w:sz w:val="21"/>
                <w:szCs w:val="21"/>
              </w:rPr>
            </w:pPr>
            <w:r w:rsidRPr="0022304C">
              <w:rPr>
                <w:rFonts w:ascii="Times New Roman CE" w:hAnsi="Times New Roman CE" w:cs="Times New Roman CE"/>
                <w:sz w:val="21"/>
                <w:szCs w:val="21"/>
              </w:rPr>
              <w:t>49 359</w:t>
            </w:r>
          </w:p>
        </w:tc>
        <w:tc>
          <w:tcPr>
            <w:tcW w:w="537" w:type="pct"/>
            <w:gridSpan w:val="2"/>
            <w:tcBorders>
              <w:top w:val="nil"/>
              <w:left w:val="nil"/>
              <w:bottom w:val="nil"/>
              <w:right w:val="nil"/>
            </w:tcBorders>
            <w:shd w:val="clear" w:color="auto" w:fill="auto"/>
            <w:noWrap/>
            <w:vAlign w:val="bottom"/>
            <w:hideMark/>
          </w:tcPr>
          <w:p w:rsidR="0022304C" w:rsidRPr="0022304C" w:rsidRDefault="0022304C" w:rsidP="0022304C">
            <w:pPr>
              <w:jc w:val="right"/>
              <w:rPr>
                <w:rFonts w:ascii="Times New Roman CE" w:hAnsi="Times New Roman CE" w:cs="Times New Roman CE"/>
                <w:sz w:val="21"/>
                <w:szCs w:val="21"/>
              </w:rPr>
            </w:pPr>
            <w:r w:rsidRPr="0022304C">
              <w:rPr>
                <w:rFonts w:ascii="Times New Roman CE" w:hAnsi="Times New Roman CE" w:cs="Times New Roman CE"/>
                <w:sz w:val="21"/>
                <w:szCs w:val="21"/>
              </w:rPr>
              <w:t>21 847</w:t>
            </w:r>
          </w:p>
        </w:tc>
        <w:tc>
          <w:tcPr>
            <w:tcW w:w="611" w:type="pct"/>
            <w:gridSpan w:val="3"/>
            <w:tcBorders>
              <w:top w:val="nil"/>
              <w:left w:val="nil"/>
              <w:bottom w:val="nil"/>
              <w:right w:val="nil"/>
            </w:tcBorders>
            <w:shd w:val="clear" w:color="auto" w:fill="auto"/>
            <w:noWrap/>
            <w:vAlign w:val="bottom"/>
            <w:hideMark/>
          </w:tcPr>
          <w:p w:rsidR="0022304C" w:rsidRPr="0022304C" w:rsidRDefault="0022304C" w:rsidP="0022304C">
            <w:pPr>
              <w:jc w:val="right"/>
              <w:rPr>
                <w:rFonts w:ascii="Times New Roman CE" w:hAnsi="Times New Roman CE" w:cs="Times New Roman CE"/>
                <w:sz w:val="21"/>
                <w:szCs w:val="21"/>
              </w:rPr>
            </w:pPr>
            <w:r w:rsidRPr="0022304C">
              <w:rPr>
                <w:rFonts w:ascii="Times New Roman CE" w:hAnsi="Times New Roman CE" w:cs="Times New Roman CE"/>
                <w:sz w:val="21"/>
                <w:szCs w:val="21"/>
              </w:rPr>
              <w:t>33 270</w:t>
            </w:r>
          </w:p>
        </w:tc>
        <w:tc>
          <w:tcPr>
            <w:tcW w:w="607" w:type="pct"/>
            <w:gridSpan w:val="3"/>
            <w:tcBorders>
              <w:top w:val="nil"/>
              <w:left w:val="nil"/>
              <w:bottom w:val="nil"/>
              <w:right w:val="nil"/>
            </w:tcBorders>
            <w:shd w:val="clear" w:color="auto" w:fill="auto"/>
            <w:noWrap/>
            <w:vAlign w:val="bottom"/>
            <w:hideMark/>
          </w:tcPr>
          <w:p w:rsidR="0022304C" w:rsidRPr="0022304C" w:rsidRDefault="0022304C" w:rsidP="0022304C">
            <w:pPr>
              <w:jc w:val="right"/>
              <w:rPr>
                <w:rFonts w:ascii="Times New Roman CE" w:hAnsi="Times New Roman CE" w:cs="Times New Roman CE"/>
                <w:sz w:val="21"/>
                <w:szCs w:val="21"/>
              </w:rPr>
            </w:pPr>
            <w:r w:rsidRPr="0022304C">
              <w:rPr>
                <w:rFonts w:ascii="Times New Roman CE" w:hAnsi="Times New Roman CE" w:cs="Times New Roman CE"/>
                <w:sz w:val="21"/>
                <w:szCs w:val="21"/>
              </w:rPr>
              <w:t>56 153</w:t>
            </w:r>
          </w:p>
        </w:tc>
        <w:tc>
          <w:tcPr>
            <w:tcW w:w="407" w:type="pct"/>
            <w:gridSpan w:val="3"/>
            <w:tcBorders>
              <w:top w:val="nil"/>
              <w:left w:val="nil"/>
              <w:bottom w:val="nil"/>
              <w:right w:val="nil"/>
            </w:tcBorders>
            <w:shd w:val="clear" w:color="auto" w:fill="auto"/>
            <w:noWrap/>
            <w:vAlign w:val="bottom"/>
            <w:hideMark/>
          </w:tcPr>
          <w:p w:rsidR="0022304C" w:rsidRPr="0022304C" w:rsidRDefault="0022304C" w:rsidP="0022304C">
            <w:pPr>
              <w:jc w:val="right"/>
              <w:rPr>
                <w:rFonts w:ascii="Times New Roman CE" w:hAnsi="Times New Roman CE" w:cs="Times New Roman CE"/>
                <w:sz w:val="21"/>
                <w:szCs w:val="21"/>
              </w:rPr>
            </w:pPr>
            <w:r w:rsidRPr="0022304C">
              <w:rPr>
                <w:rFonts w:ascii="Times New Roman CE" w:hAnsi="Times New Roman CE" w:cs="Times New Roman CE"/>
                <w:sz w:val="21"/>
                <w:szCs w:val="21"/>
              </w:rPr>
              <w:t>22 883</w:t>
            </w:r>
          </w:p>
        </w:tc>
        <w:tc>
          <w:tcPr>
            <w:tcW w:w="407" w:type="pct"/>
            <w:gridSpan w:val="3"/>
            <w:tcBorders>
              <w:top w:val="nil"/>
              <w:left w:val="nil"/>
              <w:bottom w:val="nil"/>
              <w:right w:val="nil"/>
            </w:tcBorders>
            <w:shd w:val="clear" w:color="auto" w:fill="auto"/>
            <w:noWrap/>
            <w:vAlign w:val="bottom"/>
            <w:hideMark/>
          </w:tcPr>
          <w:p w:rsidR="0022304C" w:rsidRPr="0022304C" w:rsidRDefault="0022304C" w:rsidP="0022304C">
            <w:pPr>
              <w:jc w:val="center"/>
              <w:rPr>
                <w:rFonts w:ascii="Times New Roman CE" w:hAnsi="Times New Roman CE" w:cs="Times New Roman CE"/>
                <w:sz w:val="21"/>
                <w:szCs w:val="21"/>
              </w:rPr>
            </w:pPr>
            <w:r w:rsidRPr="0022304C">
              <w:rPr>
                <w:rFonts w:ascii="Times New Roman CE" w:hAnsi="Times New Roman CE" w:cs="Times New Roman CE"/>
                <w:sz w:val="21"/>
                <w:szCs w:val="21"/>
              </w:rPr>
              <w:t>168,8%</w:t>
            </w:r>
          </w:p>
        </w:tc>
      </w:tr>
      <w:tr w:rsidR="008B1B91" w:rsidRPr="0022304C" w:rsidTr="008B1B91">
        <w:trPr>
          <w:gridAfter w:val="1"/>
          <w:wAfter w:w="123" w:type="pct"/>
          <w:trHeight w:val="270"/>
        </w:trPr>
        <w:tc>
          <w:tcPr>
            <w:tcW w:w="676" w:type="pct"/>
            <w:gridSpan w:val="2"/>
            <w:tcBorders>
              <w:top w:val="nil"/>
              <w:left w:val="nil"/>
              <w:bottom w:val="nil"/>
              <w:right w:val="nil"/>
            </w:tcBorders>
            <w:shd w:val="clear" w:color="auto" w:fill="auto"/>
            <w:noWrap/>
            <w:vAlign w:val="bottom"/>
            <w:hideMark/>
          </w:tcPr>
          <w:p w:rsidR="0022304C" w:rsidRPr="0022304C" w:rsidRDefault="0022304C" w:rsidP="0022304C">
            <w:pPr>
              <w:jc w:val="left"/>
              <w:rPr>
                <w:rFonts w:ascii="Times New Roman CE" w:hAnsi="Times New Roman CE" w:cs="Times New Roman CE"/>
                <w:sz w:val="21"/>
                <w:szCs w:val="21"/>
              </w:rPr>
            </w:pPr>
            <w:r w:rsidRPr="0022304C">
              <w:rPr>
                <w:rFonts w:ascii="Times New Roman CE" w:hAnsi="Times New Roman CE" w:cs="Times New Roman CE"/>
                <w:sz w:val="21"/>
                <w:szCs w:val="21"/>
              </w:rPr>
              <w:t>31-90nap</w:t>
            </w:r>
          </w:p>
        </w:tc>
        <w:tc>
          <w:tcPr>
            <w:tcW w:w="473" w:type="pct"/>
            <w:gridSpan w:val="2"/>
            <w:tcBorders>
              <w:top w:val="nil"/>
              <w:left w:val="nil"/>
              <w:bottom w:val="nil"/>
              <w:right w:val="nil"/>
            </w:tcBorders>
            <w:shd w:val="clear" w:color="auto" w:fill="auto"/>
            <w:noWrap/>
            <w:vAlign w:val="bottom"/>
            <w:hideMark/>
          </w:tcPr>
          <w:p w:rsidR="0022304C" w:rsidRPr="0022304C" w:rsidRDefault="0022304C" w:rsidP="0022304C">
            <w:pPr>
              <w:jc w:val="right"/>
              <w:rPr>
                <w:rFonts w:ascii="Times New Roman CE" w:hAnsi="Times New Roman CE" w:cs="Times New Roman CE"/>
                <w:color w:val="000000"/>
                <w:sz w:val="21"/>
                <w:szCs w:val="21"/>
              </w:rPr>
            </w:pPr>
            <w:r w:rsidRPr="0022304C">
              <w:rPr>
                <w:rFonts w:ascii="Times New Roman CE" w:hAnsi="Times New Roman CE" w:cs="Times New Roman CE"/>
                <w:color w:val="000000"/>
                <w:sz w:val="21"/>
                <w:szCs w:val="21"/>
              </w:rPr>
              <w:t>37 103</w:t>
            </w:r>
          </w:p>
        </w:tc>
        <w:tc>
          <w:tcPr>
            <w:tcW w:w="542" w:type="pct"/>
            <w:gridSpan w:val="4"/>
            <w:tcBorders>
              <w:top w:val="nil"/>
              <w:left w:val="nil"/>
              <w:bottom w:val="nil"/>
              <w:right w:val="nil"/>
            </w:tcBorders>
            <w:shd w:val="clear" w:color="auto" w:fill="auto"/>
            <w:noWrap/>
            <w:vAlign w:val="bottom"/>
            <w:hideMark/>
          </w:tcPr>
          <w:p w:rsidR="0022304C" w:rsidRPr="0022304C" w:rsidRDefault="0022304C" w:rsidP="0022304C">
            <w:pPr>
              <w:jc w:val="right"/>
              <w:rPr>
                <w:rFonts w:ascii="Times New Roman CE" w:hAnsi="Times New Roman CE" w:cs="Times New Roman CE"/>
                <w:color w:val="000000"/>
                <w:sz w:val="21"/>
                <w:szCs w:val="21"/>
              </w:rPr>
            </w:pPr>
            <w:r w:rsidRPr="0022304C">
              <w:rPr>
                <w:rFonts w:ascii="Times New Roman CE" w:hAnsi="Times New Roman CE" w:cs="Times New Roman CE"/>
                <w:color w:val="000000"/>
                <w:sz w:val="21"/>
                <w:szCs w:val="21"/>
              </w:rPr>
              <w:t>20 496</w:t>
            </w:r>
          </w:p>
        </w:tc>
        <w:tc>
          <w:tcPr>
            <w:tcW w:w="617" w:type="pct"/>
            <w:gridSpan w:val="2"/>
            <w:tcBorders>
              <w:top w:val="nil"/>
              <w:left w:val="nil"/>
              <w:bottom w:val="nil"/>
              <w:right w:val="nil"/>
            </w:tcBorders>
            <w:shd w:val="clear" w:color="auto" w:fill="auto"/>
            <w:noWrap/>
            <w:vAlign w:val="bottom"/>
            <w:hideMark/>
          </w:tcPr>
          <w:p w:rsidR="0022304C" w:rsidRPr="0022304C" w:rsidRDefault="0022304C" w:rsidP="0022304C">
            <w:pPr>
              <w:jc w:val="right"/>
              <w:rPr>
                <w:rFonts w:ascii="Times New Roman CE" w:hAnsi="Times New Roman CE" w:cs="Times New Roman CE"/>
                <w:sz w:val="21"/>
                <w:szCs w:val="21"/>
              </w:rPr>
            </w:pPr>
            <w:r w:rsidRPr="0022304C">
              <w:rPr>
                <w:rFonts w:ascii="Times New Roman CE" w:hAnsi="Times New Roman CE" w:cs="Times New Roman CE"/>
                <w:sz w:val="21"/>
                <w:szCs w:val="21"/>
              </w:rPr>
              <w:t>10 672</w:t>
            </w:r>
          </w:p>
        </w:tc>
        <w:tc>
          <w:tcPr>
            <w:tcW w:w="537" w:type="pct"/>
            <w:gridSpan w:val="2"/>
            <w:tcBorders>
              <w:top w:val="nil"/>
              <w:left w:val="nil"/>
              <w:bottom w:val="nil"/>
              <w:right w:val="nil"/>
            </w:tcBorders>
            <w:shd w:val="clear" w:color="auto" w:fill="auto"/>
            <w:noWrap/>
            <w:vAlign w:val="bottom"/>
            <w:hideMark/>
          </w:tcPr>
          <w:p w:rsidR="0022304C" w:rsidRPr="0022304C" w:rsidRDefault="0022304C" w:rsidP="0022304C">
            <w:pPr>
              <w:jc w:val="right"/>
              <w:rPr>
                <w:rFonts w:ascii="Times New Roman CE" w:hAnsi="Times New Roman CE" w:cs="Times New Roman CE"/>
                <w:sz w:val="21"/>
                <w:szCs w:val="21"/>
              </w:rPr>
            </w:pPr>
            <w:r w:rsidRPr="0022304C">
              <w:rPr>
                <w:rFonts w:ascii="Times New Roman CE" w:hAnsi="Times New Roman CE" w:cs="Times New Roman CE"/>
                <w:sz w:val="21"/>
                <w:szCs w:val="21"/>
              </w:rPr>
              <w:t>14 813</w:t>
            </w:r>
          </w:p>
        </w:tc>
        <w:tc>
          <w:tcPr>
            <w:tcW w:w="611" w:type="pct"/>
            <w:gridSpan w:val="3"/>
            <w:tcBorders>
              <w:top w:val="nil"/>
              <w:left w:val="nil"/>
              <w:bottom w:val="nil"/>
              <w:right w:val="nil"/>
            </w:tcBorders>
            <w:shd w:val="clear" w:color="auto" w:fill="auto"/>
            <w:noWrap/>
            <w:vAlign w:val="bottom"/>
            <w:hideMark/>
          </w:tcPr>
          <w:p w:rsidR="0022304C" w:rsidRPr="0022304C" w:rsidRDefault="0022304C" w:rsidP="0022304C">
            <w:pPr>
              <w:jc w:val="right"/>
              <w:rPr>
                <w:rFonts w:ascii="Times New Roman CE" w:hAnsi="Times New Roman CE" w:cs="Times New Roman CE"/>
                <w:sz w:val="21"/>
                <w:szCs w:val="21"/>
              </w:rPr>
            </w:pPr>
            <w:r w:rsidRPr="0022304C">
              <w:rPr>
                <w:rFonts w:ascii="Times New Roman CE" w:hAnsi="Times New Roman CE" w:cs="Times New Roman CE"/>
                <w:sz w:val="21"/>
                <w:szCs w:val="21"/>
              </w:rPr>
              <w:t>26 431</w:t>
            </w:r>
          </w:p>
        </w:tc>
        <w:tc>
          <w:tcPr>
            <w:tcW w:w="607" w:type="pct"/>
            <w:gridSpan w:val="3"/>
            <w:tcBorders>
              <w:top w:val="nil"/>
              <w:left w:val="nil"/>
              <w:bottom w:val="nil"/>
              <w:right w:val="nil"/>
            </w:tcBorders>
            <w:shd w:val="clear" w:color="auto" w:fill="auto"/>
            <w:noWrap/>
            <w:vAlign w:val="bottom"/>
            <w:hideMark/>
          </w:tcPr>
          <w:p w:rsidR="0022304C" w:rsidRPr="0022304C" w:rsidRDefault="0022304C" w:rsidP="0022304C">
            <w:pPr>
              <w:jc w:val="right"/>
              <w:rPr>
                <w:rFonts w:ascii="Times New Roman CE" w:hAnsi="Times New Roman CE" w:cs="Times New Roman CE"/>
                <w:sz w:val="21"/>
                <w:szCs w:val="21"/>
              </w:rPr>
            </w:pPr>
            <w:r w:rsidRPr="0022304C">
              <w:rPr>
                <w:rFonts w:ascii="Times New Roman CE" w:hAnsi="Times New Roman CE" w:cs="Times New Roman CE"/>
                <w:sz w:val="21"/>
                <w:szCs w:val="21"/>
              </w:rPr>
              <w:t>5 683</w:t>
            </w:r>
          </w:p>
        </w:tc>
        <w:tc>
          <w:tcPr>
            <w:tcW w:w="407" w:type="pct"/>
            <w:gridSpan w:val="3"/>
            <w:tcBorders>
              <w:top w:val="nil"/>
              <w:left w:val="nil"/>
              <w:bottom w:val="nil"/>
              <w:right w:val="nil"/>
            </w:tcBorders>
            <w:shd w:val="clear" w:color="auto" w:fill="auto"/>
            <w:noWrap/>
            <w:vAlign w:val="bottom"/>
            <w:hideMark/>
          </w:tcPr>
          <w:p w:rsidR="0022304C" w:rsidRPr="0022304C" w:rsidRDefault="0022304C" w:rsidP="0022304C">
            <w:pPr>
              <w:jc w:val="right"/>
              <w:rPr>
                <w:rFonts w:ascii="Times New Roman CE" w:hAnsi="Times New Roman CE" w:cs="Times New Roman CE"/>
                <w:sz w:val="21"/>
                <w:szCs w:val="21"/>
              </w:rPr>
            </w:pPr>
            <w:r w:rsidRPr="0022304C">
              <w:rPr>
                <w:rFonts w:ascii="Times New Roman CE" w:hAnsi="Times New Roman CE" w:cs="Times New Roman CE"/>
                <w:sz w:val="21"/>
                <w:szCs w:val="21"/>
              </w:rPr>
              <w:t>-20 748</w:t>
            </w:r>
          </w:p>
        </w:tc>
        <w:tc>
          <w:tcPr>
            <w:tcW w:w="407" w:type="pct"/>
            <w:gridSpan w:val="3"/>
            <w:tcBorders>
              <w:top w:val="nil"/>
              <w:left w:val="nil"/>
              <w:bottom w:val="nil"/>
              <w:right w:val="nil"/>
            </w:tcBorders>
            <w:shd w:val="clear" w:color="auto" w:fill="auto"/>
            <w:noWrap/>
            <w:vAlign w:val="bottom"/>
            <w:hideMark/>
          </w:tcPr>
          <w:p w:rsidR="0022304C" w:rsidRPr="0022304C" w:rsidRDefault="0022304C" w:rsidP="0022304C">
            <w:pPr>
              <w:jc w:val="center"/>
              <w:rPr>
                <w:rFonts w:ascii="Times New Roman CE" w:hAnsi="Times New Roman CE" w:cs="Times New Roman CE"/>
                <w:sz w:val="21"/>
                <w:szCs w:val="21"/>
              </w:rPr>
            </w:pPr>
            <w:r w:rsidRPr="0022304C">
              <w:rPr>
                <w:rFonts w:ascii="Times New Roman CE" w:hAnsi="Times New Roman CE" w:cs="Times New Roman CE"/>
                <w:sz w:val="21"/>
                <w:szCs w:val="21"/>
              </w:rPr>
              <w:t>21,5%</w:t>
            </w:r>
          </w:p>
        </w:tc>
      </w:tr>
      <w:tr w:rsidR="008B1B91" w:rsidRPr="0022304C" w:rsidTr="008B1B91">
        <w:trPr>
          <w:gridAfter w:val="1"/>
          <w:wAfter w:w="123" w:type="pct"/>
          <w:trHeight w:val="270"/>
        </w:trPr>
        <w:tc>
          <w:tcPr>
            <w:tcW w:w="676" w:type="pct"/>
            <w:gridSpan w:val="2"/>
            <w:tcBorders>
              <w:top w:val="nil"/>
              <w:left w:val="nil"/>
              <w:bottom w:val="nil"/>
              <w:right w:val="nil"/>
            </w:tcBorders>
            <w:shd w:val="clear" w:color="auto" w:fill="auto"/>
            <w:noWrap/>
            <w:vAlign w:val="bottom"/>
            <w:hideMark/>
          </w:tcPr>
          <w:p w:rsidR="0022304C" w:rsidRPr="0022304C" w:rsidRDefault="0022304C" w:rsidP="0022304C">
            <w:pPr>
              <w:jc w:val="left"/>
              <w:rPr>
                <w:rFonts w:ascii="Times New Roman CE" w:hAnsi="Times New Roman CE" w:cs="Times New Roman CE"/>
                <w:sz w:val="21"/>
                <w:szCs w:val="21"/>
              </w:rPr>
            </w:pPr>
            <w:r w:rsidRPr="0022304C">
              <w:rPr>
                <w:rFonts w:ascii="Times New Roman CE" w:hAnsi="Times New Roman CE" w:cs="Times New Roman CE"/>
                <w:sz w:val="21"/>
                <w:szCs w:val="21"/>
              </w:rPr>
              <w:t>91-180 nap</w:t>
            </w:r>
          </w:p>
        </w:tc>
        <w:tc>
          <w:tcPr>
            <w:tcW w:w="473" w:type="pct"/>
            <w:gridSpan w:val="2"/>
            <w:tcBorders>
              <w:top w:val="nil"/>
              <w:left w:val="nil"/>
              <w:bottom w:val="nil"/>
              <w:right w:val="nil"/>
            </w:tcBorders>
            <w:shd w:val="clear" w:color="auto" w:fill="auto"/>
            <w:noWrap/>
            <w:vAlign w:val="bottom"/>
            <w:hideMark/>
          </w:tcPr>
          <w:p w:rsidR="0022304C" w:rsidRPr="0022304C" w:rsidRDefault="0022304C" w:rsidP="0022304C">
            <w:pPr>
              <w:jc w:val="right"/>
              <w:rPr>
                <w:rFonts w:ascii="Times New Roman CE" w:hAnsi="Times New Roman CE" w:cs="Times New Roman CE"/>
                <w:sz w:val="21"/>
                <w:szCs w:val="21"/>
              </w:rPr>
            </w:pPr>
            <w:r w:rsidRPr="0022304C">
              <w:rPr>
                <w:rFonts w:ascii="Times New Roman CE" w:hAnsi="Times New Roman CE" w:cs="Times New Roman CE"/>
                <w:sz w:val="21"/>
                <w:szCs w:val="21"/>
              </w:rPr>
              <w:t>20 138</w:t>
            </w:r>
          </w:p>
        </w:tc>
        <w:tc>
          <w:tcPr>
            <w:tcW w:w="542" w:type="pct"/>
            <w:gridSpan w:val="4"/>
            <w:tcBorders>
              <w:top w:val="nil"/>
              <w:left w:val="nil"/>
              <w:bottom w:val="nil"/>
              <w:right w:val="nil"/>
            </w:tcBorders>
            <w:shd w:val="clear" w:color="auto" w:fill="auto"/>
            <w:noWrap/>
            <w:vAlign w:val="bottom"/>
            <w:hideMark/>
          </w:tcPr>
          <w:p w:rsidR="0022304C" w:rsidRPr="0022304C" w:rsidRDefault="0022304C" w:rsidP="0022304C">
            <w:pPr>
              <w:jc w:val="right"/>
              <w:rPr>
                <w:rFonts w:ascii="Times New Roman CE" w:hAnsi="Times New Roman CE" w:cs="Times New Roman CE"/>
                <w:sz w:val="21"/>
                <w:szCs w:val="21"/>
              </w:rPr>
            </w:pPr>
            <w:r w:rsidRPr="0022304C">
              <w:rPr>
                <w:rFonts w:ascii="Times New Roman CE" w:hAnsi="Times New Roman CE" w:cs="Times New Roman CE"/>
                <w:sz w:val="21"/>
                <w:szCs w:val="21"/>
              </w:rPr>
              <w:t>41 177</w:t>
            </w:r>
          </w:p>
        </w:tc>
        <w:tc>
          <w:tcPr>
            <w:tcW w:w="617" w:type="pct"/>
            <w:gridSpan w:val="2"/>
            <w:tcBorders>
              <w:top w:val="nil"/>
              <w:left w:val="nil"/>
              <w:bottom w:val="nil"/>
              <w:right w:val="nil"/>
            </w:tcBorders>
            <w:shd w:val="clear" w:color="auto" w:fill="auto"/>
            <w:noWrap/>
            <w:vAlign w:val="bottom"/>
            <w:hideMark/>
          </w:tcPr>
          <w:p w:rsidR="0022304C" w:rsidRPr="0022304C" w:rsidRDefault="0022304C" w:rsidP="0022304C">
            <w:pPr>
              <w:jc w:val="right"/>
              <w:rPr>
                <w:rFonts w:ascii="Times New Roman CE" w:hAnsi="Times New Roman CE" w:cs="Times New Roman CE"/>
                <w:sz w:val="21"/>
                <w:szCs w:val="21"/>
              </w:rPr>
            </w:pPr>
            <w:r w:rsidRPr="0022304C">
              <w:rPr>
                <w:rFonts w:ascii="Times New Roman CE" w:hAnsi="Times New Roman CE" w:cs="Times New Roman CE"/>
                <w:sz w:val="21"/>
                <w:szCs w:val="21"/>
              </w:rPr>
              <w:t>3 143</w:t>
            </w:r>
          </w:p>
        </w:tc>
        <w:tc>
          <w:tcPr>
            <w:tcW w:w="537" w:type="pct"/>
            <w:gridSpan w:val="2"/>
            <w:tcBorders>
              <w:top w:val="nil"/>
              <w:left w:val="nil"/>
              <w:bottom w:val="nil"/>
              <w:right w:val="nil"/>
            </w:tcBorders>
            <w:shd w:val="clear" w:color="auto" w:fill="auto"/>
            <w:noWrap/>
            <w:vAlign w:val="bottom"/>
            <w:hideMark/>
          </w:tcPr>
          <w:p w:rsidR="0022304C" w:rsidRPr="0022304C" w:rsidRDefault="0022304C" w:rsidP="0022304C">
            <w:pPr>
              <w:jc w:val="right"/>
              <w:rPr>
                <w:rFonts w:ascii="Times New Roman CE" w:hAnsi="Times New Roman CE" w:cs="Times New Roman CE"/>
                <w:sz w:val="21"/>
                <w:szCs w:val="21"/>
              </w:rPr>
            </w:pPr>
            <w:r w:rsidRPr="0022304C">
              <w:rPr>
                <w:rFonts w:ascii="Times New Roman CE" w:hAnsi="Times New Roman CE" w:cs="Times New Roman CE"/>
                <w:sz w:val="21"/>
                <w:szCs w:val="21"/>
              </w:rPr>
              <w:t>8 054</w:t>
            </w:r>
          </w:p>
        </w:tc>
        <w:tc>
          <w:tcPr>
            <w:tcW w:w="611" w:type="pct"/>
            <w:gridSpan w:val="3"/>
            <w:tcBorders>
              <w:top w:val="nil"/>
              <w:left w:val="nil"/>
              <w:bottom w:val="nil"/>
              <w:right w:val="nil"/>
            </w:tcBorders>
            <w:shd w:val="clear" w:color="auto" w:fill="auto"/>
            <w:noWrap/>
            <w:vAlign w:val="bottom"/>
            <w:hideMark/>
          </w:tcPr>
          <w:p w:rsidR="0022304C" w:rsidRPr="0022304C" w:rsidRDefault="0022304C" w:rsidP="0022304C">
            <w:pPr>
              <w:jc w:val="right"/>
              <w:rPr>
                <w:rFonts w:ascii="Times New Roman CE" w:hAnsi="Times New Roman CE" w:cs="Times New Roman CE"/>
                <w:sz w:val="21"/>
                <w:szCs w:val="21"/>
              </w:rPr>
            </w:pPr>
            <w:r w:rsidRPr="0022304C">
              <w:rPr>
                <w:rFonts w:ascii="Times New Roman CE" w:hAnsi="Times New Roman CE" w:cs="Times New Roman CE"/>
                <w:sz w:val="21"/>
                <w:szCs w:val="21"/>
              </w:rPr>
              <w:t>16 995</w:t>
            </w:r>
          </w:p>
        </w:tc>
        <w:tc>
          <w:tcPr>
            <w:tcW w:w="607" w:type="pct"/>
            <w:gridSpan w:val="3"/>
            <w:tcBorders>
              <w:top w:val="nil"/>
              <w:left w:val="nil"/>
              <w:bottom w:val="nil"/>
              <w:right w:val="nil"/>
            </w:tcBorders>
            <w:shd w:val="clear" w:color="auto" w:fill="auto"/>
            <w:noWrap/>
            <w:vAlign w:val="bottom"/>
            <w:hideMark/>
          </w:tcPr>
          <w:p w:rsidR="0022304C" w:rsidRPr="0022304C" w:rsidRDefault="0022304C" w:rsidP="0022304C">
            <w:pPr>
              <w:jc w:val="right"/>
              <w:rPr>
                <w:rFonts w:ascii="Times New Roman CE" w:hAnsi="Times New Roman CE" w:cs="Times New Roman CE"/>
                <w:sz w:val="21"/>
                <w:szCs w:val="21"/>
              </w:rPr>
            </w:pPr>
            <w:r w:rsidRPr="0022304C">
              <w:rPr>
                <w:rFonts w:ascii="Times New Roman CE" w:hAnsi="Times New Roman CE" w:cs="Times New Roman CE"/>
                <w:sz w:val="21"/>
                <w:szCs w:val="21"/>
              </w:rPr>
              <w:t>33 123</w:t>
            </w:r>
          </w:p>
        </w:tc>
        <w:tc>
          <w:tcPr>
            <w:tcW w:w="407" w:type="pct"/>
            <w:gridSpan w:val="3"/>
            <w:tcBorders>
              <w:top w:val="nil"/>
              <w:left w:val="nil"/>
              <w:bottom w:val="nil"/>
              <w:right w:val="nil"/>
            </w:tcBorders>
            <w:shd w:val="clear" w:color="auto" w:fill="auto"/>
            <w:noWrap/>
            <w:vAlign w:val="bottom"/>
            <w:hideMark/>
          </w:tcPr>
          <w:p w:rsidR="0022304C" w:rsidRPr="0022304C" w:rsidRDefault="0022304C" w:rsidP="0022304C">
            <w:pPr>
              <w:jc w:val="right"/>
              <w:rPr>
                <w:rFonts w:ascii="Times New Roman CE" w:hAnsi="Times New Roman CE" w:cs="Times New Roman CE"/>
                <w:sz w:val="21"/>
                <w:szCs w:val="21"/>
              </w:rPr>
            </w:pPr>
            <w:r w:rsidRPr="0022304C">
              <w:rPr>
                <w:rFonts w:ascii="Times New Roman CE" w:hAnsi="Times New Roman CE" w:cs="Times New Roman CE"/>
                <w:sz w:val="21"/>
                <w:szCs w:val="21"/>
              </w:rPr>
              <w:t>16 128</w:t>
            </w:r>
          </w:p>
        </w:tc>
        <w:tc>
          <w:tcPr>
            <w:tcW w:w="407" w:type="pct"/>
            <w:gridSpan w:val="3"/>
            <w:tcBorders>
              <w:top w:val="nil"/>
              <w:left w:val="nil"/>
              <w:bottom w:val="nil"/>
              <w:right w:val="nil"/>
            </w:tcBorders>
            <w:shd w:val="clear" w:color="auto" w:fill="auto"/>
            <w:noWrap/>
            <w:vAlign w:val="bottom"/>
            <w:hideMark/>
          </w:tcPr>
          <w:p w:rsidR="0022304C" w:rsidRPr="0022304C" w:rsidRDefault="0022304C" w:rsidP="0022304C">
            <w:pPr>
              <w:jc w:val="center"/>
              <w:rPr>
                <w:rFonts w:ascii="Times New Roman CE" w:hAnsi="Times New Roman CE" w:cs="Times New Roman CE"/>
                <w:sz w:val="21"/>
                <w:szCs w:val="21"/>
              </w:rPr>
            </w:pPr>
            <w:r w:rsidRPr="0022304C">
              <w:rPr>
                <w:rFonts w:ascii="Times New Roman CE" w:hAnsi="Times New Roman CE" w:cs="Times New Roman CE"/>
                <w:sz w:val="21"/>
                <w:szCs w:val="21"/>
              </w:rPr>
              <w:t>194,9%</w:t>
            </w:r>
          </w:p>
        </w:tc>
      </w:tr>
      <w:tr w:rsidR="008B1B91" w:rsidRPr="0022304C" w:rsidTr="008B1B91">
        <w:trPr>
          <w:gridAfter w:val="1"/>
          <w:wAfter w:w="123" w:type="pct"/>
          <w:trHeight w:val="270"/>
        </w:trPr>
        <w:tc>
          <w:tcPr>
            <w:tcW w:w="676" w:type="pct"/>
            <w:gridSpan w:val="2"/>
            <w:tcBorders>
              <w:top w:val="nil"/>
              <w:left w:val="nil"/>
              <w:bottom w:val="nil"/>
              <w:right w:val="nil"/>
            </w:tcBorders>
            <w:shd w:val="clear" w:color="auto" w:fill="auto"/>
            <w:noWrap/>
            <w:vAlign w:val="bottom"/>
            <w:hideMark/>
          </w:tcPr>
          <w:p w:rsidR="0022304C" w:rsidRPr="0022304C" w:rsidRDefault="0022304C" w:rsidP="0022304C">
            <w:pPr>
              <w:jc w:val="left"/>
              <w:rPr>
                <w:rFonts w:ascii="Times New Roman CE" w:hAnsi="Times New Roman CE" w:cs="Times New Roman CE"/>
                <w:sz w:val="21"/>
                <w:szCs w:val="21"/>
              </w:rPr>
            </w:pPr>
            <w:r w:rsidRPr="0022304C">
              <w:rPr>
                <w:rFonts w:ascii="Times New Roman CE" w:hAnsi="Times New Roman CE" w:cs="Times New Roman CE"/>
                <w:sz w:val="21"/>
                <w:szCs w:val="21"/>
              </w:rPr>
              <w:t>181-365 nap</w:t>
            </w:r>
          </w:p>
        </w:tc>
        <w:tc>
          <w:tcPr>
            <w:tcW w:w="473" w:type="pct"/>
            <w:gridSpan w:val="2"/>
            <w:tcBorders>
              <w:top w:val="nil"/>
              <w:left w:val="nil"/>
              <w:bottom w:val="nil"/>
              <w:right w:val="nil"/>
            </w:tcBorders>
            <w:shd w:val="clear" w:color="auto" w:fill="auto"/>
            <w:noWrap/>
            <w:vAlign w:val="bottom"/>
            <w:hideMark/>
          </w:tcPr>
          <w:p w:rsidR="0022304C" w:rsidRPr="0022304C" w:rsidRDefault="0022304C" w:rsidP="0022304C">
            <w:pPr>
              <w:jc w:val="right"/>
              <w:rPr>
                <w:rFonts w:ascii="Times New Roman CE" w:hAnsi="Times New Roman CE" w:cs="Times New Roman CE"/>
                <w:sz w:val="21"/>
                <w:szCs w:val="21"/>
              </w:rPr>
            </w:pPr>
            <w:r w:rsidRPr="0022304C">
              <w:rPr>
                <w:rFonts w:ascii="Times New Roman CE" w:hAnsi="Times New Roman CE" w:cs="Times New Roman CE"/>
                <w:sz w:val="21"/>
                <w:szCs w:val="21"/>
              </w:rPr>
              <w:t>26 389</w:t>
            </w:r>
          </w:p>
        </w:tc>
        <w:tc>
          <w:tcPr>
            <w:tcW w:w="542" w:type="pct"/>
            <w:gridSpan w:val="4"/>
            <w:tcBorders>
              <w:top w:val="nil"/>
              <w:left w:val="nil"/>
              <w:bottom w:val="nil"/>
              <w:right w:val="nil"/>
            </w:tcBorders>
            <w:shd w:val="clear" w:color="auto" w:fill="auto"/>
            <w:noWrap/>
            <w:vAlign w:val="bottom"/>
            <w:hideMark/>
          </w:tcPr>
          <w:p w:rsidR="0022304C" w:rsidRPr="0022304C" w:rsidRDefault="0022304C" w:rsidP="0022304C">
            <w:pPr>
              <w:jc w:val="right"/>
              <w:rPr>
                <w:rFonts w:ascii="Times New Roman CE" w:hAnsi="Times New Roman CE" w:cs="Times New Roman CE"/>
                <w:sz w:val="21"/>
                <w:szCs w:val="21"/>
              </w:rPr>
            </w:pPr>
            <w:r w:rsidRPr="0022304C">
              <w:rPr>
                <w:rFonts w:ascii="Times New Roman CE" w:hAnsi="Times New Roman CE" w:cs="Times New Roman CE"/>
                <w:sz w:val="21"/>
                <w:szCs w:val="21"/>
              </w:rPr>
              <w:t>29 114</w:t>
            </w:r>
          </w:p>
        </w:tc>
        <w:tc>
          <w:tcPr>
            <w:tcW w:w="617" w:type="pct"/>
            <w:gridSpan w:val="2"/>
            <w:tcBorders>
              <w:top w:val="nil"/>
              <w:left w:val="nil"/>
              <w:bottom w:val="nil"/>
              <w:right w:val="nil"/>
            </w:tcBorders>
            <w:shd w:val="clear" w:color="auto" w:fill="auto"/>
            <w:noWrap/>
            <w:vAlign w:val="bottom"/>
            <w:hideMark/>
          </w:tcPr>
          <w:p w:rsidR="0022304C" w:rsidRPr="0022304C" w:rsidRDefault="0022304C" w:rsidP="0022304C">
            <w:pPr>
              <w:jc w:val="right"/>
              <w:rPr>
                <w:rFonts w:ascii="Times New Roman CE" w:hAnsi="Times New Roman CE" w:cs="Times New Roman CE"/>
                <w:sz w:val="21"/>
                <w:szCs w:val="21"/>
              </w:rPr>
            </w:pPr>
            <w:r w:rsidRPr="0022304C">
              <w:rPr>
                <w:rFonts w:ascii="Times New Roman CE" w:hAnsi="Times New Roman CE" w:cs="Times New Roman CE"/>
                <w:sz w:val="21"/>
                <w:szCs w:val="21"/>
              </w:rPr>
              <w:t>4 263</w:t>
            </w:r>
          </w:p>
        </w:tc>
        <w:tc>
          <w:tcPr>
            <w:tcW w:w="537" w:type="pct"/>
            <w:gridSpan w:val="2"/>
            <w:tcBorders>
              <w:top w:val="nil"/>
              <w:left w:val="nil"/>
              <w:bottom w:val="nil"/>
              <w:right w:val="nil"/>
            </w:tcBorders>
            <w:shd w:val="clear" w:color="auto" w:fill="auto"/>
            <w:noWrap/>
            <w:vAlign w:val="bottom"/>
            <w:hideMark/>
          </w:tcPr>
          <w:p w:rsidR="0022304C" w:rsidRPr="0022304C" w:rsidRDefault="0022304C" w:rsidP="0022304C">
            <w:pPr>
              <w:jc w:val="right"/>
              <w:rPr>
                <w:rFonts w:ascii="Times New Roman CE" w:hAnsi="Times New Roman CE" w:cs="Times New Roman CE"/>
                <w:sz w:val="21"/>
                <w:szCs w:val="21"/>
              </w:rPr>
            </w:pPr>
            <w:r w:rsidRPr="0022304C">
              <w:rPr>
                <w:rFonts w:ascii="Times New Roman CE" w:hAnsi="Times New Roman CE" w:cs="Times New Roman CE"/>
                <w:sz w:val="21"/>
                <w:szCs w:val="21"/>
              </w:rPr>
              <w:t>2 266</w:t>
            </w:r>
          </w:p>
        </w:tc>
        <w:tc>
          <w:tcPr>
            <w:tcW w:w="611" w:type="pct"/>
            <w:gridSpan w:val="3"/>
            <w:tcBorders>
              <w:top w:val="nil"/>
              <w:left w:val="nil"/>
              <w:bottom w:val="nil"/>
              <w:right w:val="nil"/>
            </w:tcBorders>
            <w:shd w:val="clear" w:color="auto" w:fill="auto"/>
            <w:noWrap/>
            <w:vAlign w:val="bottom"/>
            <w:hideMark/>
          </w:tcPr>
          <w:p w:rsidR="0022304C" w:rsidRPr="0022304C" w:rsidRDefault="0022304C" w:rsidP="0022304C">
            <w:pPr>
              <w:jc w:val="right"/>
              <w:rPr>
                <w:rFonts w:ascii="Times New Roman CE" w:hAnsi="Times New Roman CE" w:cs="Times New Roman CE"/>
                <w:sz w:val="21"/>
                <w:szCs w:val="21"/>
              </w:rPr>
            </w:pPr>
            <w:r w:rsidRPr="0022304C">
              <w:rPr>
                <w:rFonts w:ascii="Times New Roman CE" w:hAnsi="Times New Roman CE" w:cs="Times New Roman CE"/>
                <w:sz w:val="21"/>
                <w:szCs w:val="21"/>
              </w:rPr>
              <w:t>22 126</w:t>
            </w:r>
          </w:p>
        </w:tc>
        <w:tc>
          <w:tcPr>
            <w:tcW w:w="607" w:type="pct"/>
            <w:gridSpan w:val="3"/>
            <w:tcBorders>
              <w:top w:val="nil"/>
              <w:left w:val="nil"/>
              <w:bottom w:val="nil"/>
              <w:right w:val="nil"/>
            </w:tcBorders>
            <w:shd w:val="clear" w:color="auto" w:fill="auto"/>
            <w:noWrap/>
            <w:vAlign w:val="bottom"/>
            <w:hideMark/>
          </w:tcPr>
          <w:p w:rsidR="0022304C" w:rsidRPr="0022304C" w:rsidRDefault="0022304C" w:rsidP="0022304C">
            <w:pPr>
              <w:jc w:val="right"/>
              <w:rPr>
                <w:rFonts w:ascii="Times New Roman CE" w:hAnsi="Times New Roman CE" w:cs="Times New Roman CE"/>
                <w:sz w:val="21"/>
                <w:szCs w:val="21"/>
              </w:rPr>
            </w:pPr>
            <w:r w:rsidRPr="0022304C">
              <w:rPr>
                <w:rFonts w:ascii="Times New Roman CE" w:hAnsi="Times New Roman CE" w:cs="Times New Roman CE"/>
                <w:sz w:val="21"/>
                <w:szCs w:val="21"/>
              </w:rPr>
              <w:t>26 848</w:t>
            </w:r>
          </w:p>
        </w:tc>
        <w:tc>
          <w:tcPr>
            <w:tcW w:w="407" w:type="pct"/>
            <w:gridSpan w:val="3"/>
            <w:tcBorders>
              <w:top w:val="nil"/>
              <w:left w:val="nil"/>
              <w:bottom w:val="nil"/>
              <w:right w:val="nil"/>
            </w:tcBorders>
            <w:shd w:val="clear" w:color="auto" w:fill="auto"/>
            <w:noWrap/>
            <w:vAlign w:val="bottom"/>
            <w:hideMark/>
          </w:tcPr>
          <w:p w:rsidR="0022304C" w:rsidRPr="0022304C" w:rsidRDefault="0022304C" w:rsidP="0022304C">
            <w:pPr>
              <w:jc w:val="right"/>
              <w:rPr>
                <w:rFonts w:ascii="Times New Roman CE" w:hAnsi="Times New Roman CE" w:cs="Times New Roman CE"/>
                <w:sz w:val="21"/>
                <w:szCs w:val="21"/>
              </w:rPr>
            </w:pPr>
            <w:r w:rsidRPr="0022304C">
              <w:rPr>
                <w:rFonts w:ascii="Times New Roman CE" w:hAnsi="Times New Roman CE" w:cs="Times New Roman CE"/>
                <w:sz w:val="21"/>
                <w:szCs w:val="21"/>
              </w:rPr>
              <w:t>4 722</w:t>
            </w:r>
          </w:p>
        </w:tc>
        <w:tc>
          <w:tcPr>
            <w:tcW w:w="407" w:type="pct"/>
            <w:gridSpan w:val="3"/>
            <w:tcBorders>
              <w:top w:val="nil"/>
              <w:left w:val="nil"/>
              <w:bottom w:val="nil"/>
              <w:right w:val="nil"/>
            </w:tcBorders>
            <w:shd w:val="clear" w:color="auto" w:fill="auto"/>
            <w:noWrap/>
            <w:vAlign w:val="bottom"/>
            <w:hideMark/>
          </w:tcPr>
          <w:p w:rsidR="0022304C" w:rsidRPr="0022304C" w:rsidRDefault="0022304C" w:rsidP="0022304C">
            <w:pPr>
              <w:jc w:val="center"/>
              <w:rPr>
                <w:rFonts w:ascii="Times New Roman CE" w:hAnsi="Times New Roman CE" w:cs="Times New Roman CE"/>
                <w:sz w:val="21"/>
                <w:szCs w:val="21"/>
              </w:rPr>
            </w:pPr>
            <w:r w:rsidRPr="0022304C">
              <w:rPr>
                <w:rFonts w:ascii="Times New Roman CE" w:hAnsi="Times New Roman CE" w:cs="Times New Roman CE"/>
                <w:sz w:val="21"/>
                <w:szCs w:val="21"/>
              </w:rPr>
              <w:t>121,3%</w:t>
            </w:r>
          </w:p>
        </w:tc>
      </w:tr>
      <w:tr w:rsidR="008B1B91" w:rsidRPr="0022304C" w:rsidTr="008B1B91">
        <w:trPr>
          <w:gridAfter w:val="1"/>
          <w:wAfter w:w="123" w:type="pct"/>
          <w:trHeight w:val="285"/>
        </w:trPr>
        <w:tc>
          <w:tcPr>
            <w:tcW w:w="676" w:type="pct"/>
            <w:gridSpan w:val="2"/>
            <w:tcBorders>
              <w:top w:val="nil"/>
              <w:left w:val="nil"/>
              <w:bottom w:val="single" w:sz="4" w:space="0" w:color="auto"/>
              <w:right w:val="nil"/>
            </w:tcBorders>
            <w:shd w:val="clear" w:color="auto" w:fill="auto"/>
            <w:noWrap/>
            <w:vAlign w:val="bottom"/>
            <w:hideMark/>
          </w:tcPr>
          <w:p w:rsidR="0022304C" w:rsidRPr="0022304C" w:rsidRDefault="0022304C" w:rsidP="0022304C">
            <w:pPr>
              <w:jc w:val="left"/>
              <w:rPr>
                <w:rFonts w:ascii="Times New Roman CE" w:hAnsi="Times New Roman CE" w:cs="Times New Roman CE"/>
                <w:sz w:val="21"/>
                <w:szCs w:val="21"/>
              </w:rPr>
            </w:pPr>
            <w:r w:rsidRPr="0022304C">
              <w:rPr>
                <w:rFonts w:ascii="Times New Roman CE" w:hAnsi="Times New Roman CE" w:cs="Times New Roman CE"/>
                <w:sz w:val="21"/>
                <w:szCs w:val="21"/>
              </w:rPr>
              <w:t>365 napon túl</w:t>
            </w:r>
          </w:p>
        </w:tc>
        <w:tc>
          <w:tcPr>
            <w:tcW w:w="473" w:type="pct"/>
            <w:gridSpan w:val="2"/>
            <w:tcBorders>
              <w:top w:val="nil"/>
              <w:left w:val="nil"/>
              <w:bottom w:val="single" w:sz="4" w:space="0" w:color="auto"/>
              <w:right w:val="nil"/>
            </w:tcBorders>
            <w:shd w:val="clear" w:color="auto" w:fill="auto"/>
            <w:noWrap/>
            <w:vAlign w:val="bottom"/>
            <w:hideMark/>
          </w:tcPr>
          <w:p w:rsidR="0022304C" w:rsidRPr="0022304C" w:rsidRDefault="0022304C" w:rsidP="0022304C">
            <w:pPr>
              <w:jc w:val="right"/>
              <w:rPr>
                <w:rFonts w:ascii="Times New Roman CE" w:hAnsi="Times New Roman CE" w:cs="Times New Roman CE"/>
                <w:color w:val="000000"/>
                <w:sz w:val="21"/>
                <w:szCs w:val="21"/>
              </w:rPr>
            </w:pPr>
            <w:r w:rsidRPr="0022304C">
              <w:rPr>
                <w:rFonts w:ascii="Times New Roman CE" w:hAnsi="Times New Roman CE" w:cs="Times New Roman CE"/>
                <w:color w:val="000000"/>
                <w:sz w:val="21"/>
                <w:szCs w:val="21"/>
              </w:rPr>
              <w:t>172 151</w:t>
            </w:r>
          </w:p>
        </w:tc>
        <w:tc>
          <w:tcPr>
            <w:tcW w:w="542" w:type="pct"/>
            <w:gridSpan w:val="4"/>
            <w:tcBorders>
              <w:top w:val="nil"/>
              <w:left w:val="nil"/>
              <w:bottom w:val="single" w:sz="4" w:space="0" w:color="auto"/>
              <w:right w:val="nil"/>
            </w:tcBorders>
            <w:shd w:val="clear" w:color="auto" w:fill="auto"/>
            <w:noWrap/>
            <w:vAlign w:val="bottom"/>
            <w:hideMark/>
          </w:tcPr>
          <w:p w:rsidR="0022304C" w:rsidRPr="0022304C" w:rsidRDefault="0022304C" w:rsidP="0022304C">
            <w:pPr>
              <w:jc w:val="right"/>
              <w:rPr>
                <w:rFonts w:ascii="Times New Roman CE" w:hAnsi="Times New Roman CE" w:cs="Times New Roman CE"/>
                <w:color w:val="000000"/>
                <w:sz w:val="21"/>
                <w:szCs w:val="21"/>
              </w:rPr>
            </w:pPr>
            <w:r w:rsidRPr="0022304C">
              <w:rPr>
                <w:rFonts w:ascii="Times New Roman CE" w:hAnsi="Times New Roman CE" w:cs="Times New Roman CE"/>
                <w:color w:val="000000"/>
                <w:sz w:val="21"/>
                <w:szCs w:val="21"/>
              </w:rPr>
              <w:t>178 866</w:t>
            </w:r>
          </w:p>
        </w:tc>
        <w:tc>
          <w:tcPr>
            <w:tcW w:w="617" w:type="pct"/>
            <w:gridSpan w:val="2"/>
            <w:tcBorders>
              <w:top w:val="nil"/>
              <w:left w:val="nil"/>
              <w:bottom w:val="nil"/>
              <w:right w:val="nil"/>
            </w:tcBorders>
            <w:shd w:val="clear" w:color="auto" w:fill="auto"/>
            <w:noWrap/>
            <w:vAlign w:val="bottom"/>
            <w:hideMark/>
          </w:tcPr>
          <w:p w:rsidR="0022304C" w:rsidRPr="0022304C" w:rsidRDefault="0022304C" w:rsidP="0022304C">
            <w:pPr>
              <w:jc w:val="right"/>
              <w:rPr>
                <w:rFonts w:ascii="Times New Roman CE" w:hAnsi="Times New Roman CE" w:cs="Times New Roman CE"/>
                <w:sz w:val="21"/>
                <w:szCs w:val="21"/>
              </w:rPr>
            </w:pPr>
            <w:r w:rsidRPr="0022304C">
              <w:rPr>
                <w:rFonts w:ascii="Times New Roman CE" w:hAnsi="Times New Roman CE" w:cs="Times New Roman CE"/>
                <w:sz w:val="21"/>
                <w:szCs w:val="21"/>
              </w:rPr>
              <w:t>13 562</w:t>
            </w:r>
          </w:p>
        </w:tc>
        <w:tc>
          <w:tcPr>
            <w:tcW w:w="537" w:type="pct"/>
            <w:gridSpan w:val="2"/>
            <w:tcBorders>
              <w:top w:val="nil"/>
              <w:left w:val="nil"/>
              <w:bottom w:val="nil"/>
              <w:right w:val="nil"/>
            </w:tcBorders>
            <w:shd w:val="clear" w:color="auto" w:fill="auto"/>
            <w:noWrap/>
            <w:vAlign w:val="bottom"/>
            <w:hideMark/>
          </w:tcPr>
          <w:p w:rsidR="0022304C" w:rsidRPr="0022304C" w:rsidRDefault="0022304C" w:rsidP="0022304C">
            <w:pPr>
              <w:jc w:val="right"/>
              <w:rPr>
                <w:rFonts w:ascii="Times New Roman CE" w:hAnsi="Times New Roman CE" w:cs="Times New Roman CE"/>
                <w:sz w:val="21"/>
                <w:szCs w:val="21"/>
              </w:rPr>
            </w:pPr>
            <w:r w:rsidRPr="0022304C">
              <w:rPr>
                <w:rFonts w:ascii="Times New Roman CE" w:hAnsi="Times New Roman CE" w:cs="Times New Roman CE"/>
                <w:sz w:val="21"/>
                <w:szCs w:val="21"/>
              </w:rPr>
              <w:t>15 954</w:t>
            </w:r>
          </w:p>
        </w:tc>
        <w:tc>
          <w:tcPr>
            <w:tcW w:w="611" w:type="pct"/>
            <w:gridSpan w:val="3"/>
            <w:tcBorders>
              <w:top w:val="nil"/>
              <w:left w:val="nil"/>
              <w:bottom w:val="single" w:sz="4" w:space="0" w:color="auto"/>
              <w:right w:val="nil"/>
            </w:tcBorders>
            <w:shd w:val="clear" w:color="auto" w:fill="auto"/>
            <w:noWrap/>
            <w:vAlign w:val="bottom"/>
            <w:hideMark/>
          </w:tcPr>
          <w:p w:rsidR="0022304C" w:rsidRPr="0022304C" w:rsidRDefault="0022304C" w:rsidP="0022304C">
            <w:pPr>
              <w:jc w:val="right"/>
              <w:rPr>
                <w:rFonts w:ascii="Times New Roman CE" w:hAnsi="Times New Roman CE" w:cs="Times New Roman CE"/>
                <w:sz w:val="21"/>
                <w:szCs w:val="21"/>
              </w:rPr>
            </w:pPr>
            <w:r w:rsidRPr="0022304C">
              <w:rPr>
                <w:rFonts w:ascii="Times New Roman CE" w:hAnsi="Times New Roman CE" w:cs="Times New Roman CE"/>
                <w:sz w:val="21"/>
                <w:szCs w:val="21"/>
              </w:rPr>
              <w:t>158 589</w:t>
            </w:r>
          </w:p>
        </w:tc>
        <w:tc>
          <w:tcPr>
            <w:tcW w:w="607" w:type="pct"/>
            <w:gridSpan w:val="3"/>
            <w:tcBorders>
              <w:top w:val="nil"/>
              <w:left w:val="nil"/>
              <w:bottom w:val="single" w:sz="4" w:space="0" w:color="auto"/>
              <w:right w:val="nil"/>
            </w:tcBorders>
            <w:shd w:val="clear" w:color="auto" w:fill="auto"/>
            <w:noWrap/>
            <w:vAlign w:val="bottom"/>
            <w:hideMark/>
          </w:tcPr>
          <w:p w:rsidR="0022304C" w:rsidRPr="0022304C" w:rsidRDefault="0022304C" w:rsidP="0022304C">
            <w:pPr>
              <w:jc w:val="right"/>
              <w:rPr>
                <w:rFonts w:ascii="Times New Roman CE" w:hAnsi="Times New Roman CE" w:cs="Times New Roman CE"/>
                <w:sz w:val="21"/>
                <w:szCs w:val="21"/>
              </w:rPr>
            </w:pPr>
            <w:r w:rsidRPr="0022304C">
              <w:rPr>
                <w:rFonts w:ascii="Times New Roman CE" w:hAnsi="Times New Roman CE" w:cs="Times New Roman CE"/>
                <w:sz w:val="21"/>
                <w:szCs w:val="21"/>
              </w:rPr>
              <w:t>162 912</w:t>
            </w:r>
          </w:p>
        </w:tc>
        <w:tc>
          <w:tcPr>
            <w:tcW w:w="407" w:type="pct"/>
            <w:gridSpan w:val="3"/>
            <w:tcBorders>
              <w:top w:val="nil"/>
              <w:left w:val="nil"/>
              <w:bottom w:val="single" w:sz="4" w:space="0" w:color="auto"/>
              <w:right w:val="nil"/>
            </w:tcBorders>
            <w:shd w:val="clear" w:color="auto" w:fill="auto"/>
            <w:noWrap/>
            <w:vAlign w:val="bottom"/>
            <w:hideMark/>
          </w:tcPr>
          <w:p w:rsidR="0022304C" w:rsidRPr="0022304C" w:rsidRDefault="0022304C" w:rsidP="0022304C">
            <w:pPr>
              <w:jc w:val="right"/>
              <w:rPr>
                <w:rFonts w:ascii="Times New Roman CE" w:hAnsi="Times New Roman CE" w:cs="Times New Roman CE"/>
                <w:sz w:val="21"/>
                <w:szCs w:val="21"/>
              </w:rPr>
            </w:pPr>
            <w:r w:rsidRPr="0022304C">
              <w:rPr>
                <w:rFonts w:ascii="Times New Roman CE" w:hAnsi="Times New Roman CE" w:cs="Times New Roman CE"/>
                <w:sz w:val="21"/>
                <w:szCs w:val="21"/>
              </w:rPr>
              <w:t>4 323</w:t>
            </w:r>
          </w:p>
        </w:tc>
        <w:tc>
          <w:tcPr>
            <w:tcW w:w="407" w:type="pct"/>
            <w:gridSpan w:val="3"/>
            <w:tcBorders>
              <w:top w:val="nil"/>
              <w:left w:val="nil"/>
              <w:bottom w:val="single" w:sz="4" w:space="0" w:color="auto"/>
              <w:right w:val="nil"/>
            </w:tcBorders>
            <w:shd w:val="clear" w:color="auto" w:fill="auto"/>
            <w:noWrap/>
            <w:vAlign w:val="bottom"/>
            <w:hideMark/>
          </w:tcPr>
          <w:p w:rsidR="0022304C" w:rsidRPr="0022304C" w:rsidRDefault="0022304C" w:rsidP="0022304C">
            <w:pPr>
              <w:jc w:val="center"/>
              <w:rPr>
                <w:rFonts w:ascii="Times New Roman CE" w:hAnsi="Times New Roman CE" w:cs="Times New Roman CE"/>
                <w:sz w:val="21"/>
                <w:szCs w:val="21"/>
              </w:rPr>
            </w:pPr>
            <w:r w:rsidRPr="0022304C">
              <w:rPr>
                <w:rFonts w:ascii="Times New Roman CE" w:hAnsi="Times New Roman CE" w:cs="Times New Roman CE"/>
                <w:sz w:val="21"/>
                <w:szCs w:val="21"/>
              </w:rPr>
              <w:t>102,7%</w:t>
            </w:r>
          </w:p>
        </w:tc>
      </w:tr>
      <w:tr w:rsidR="008B1B91" w:rsidRPr="0022304C" w:rsidTr="008B1B91">
        <w:trPr>
          <w:gridAfter w:val="1"/>
          <w:wAfter w:w="123" w:type="pct"/>
          <w:trHeight w:val="270"/>
        </w:trPr>
        <w:tc>
          <w:tcPr>
            <w:tcW w:w="745" w:type="pct"/>
            <w:gridSpan w:val="3"/>
            <w:tcBorders>
              <w:top w:val="nil"/>
              <w:left w:val="nil"/>
              <w:bottom w:val="nil"/>
              <w:right w:val="nil"/>
            </w:tcBorders>
            <w:shd w:val="clear" w:color="auto" w:fill="auto"/>
            <w:noWrap/>
            <w:vAlign w:val="bottom"/>
            <w:hideMark/>
          </w:tcPr>
          <w:p w:rsidR="0022304C" w:rsidRPr="0022304C" w:rsidRDefault="0022304C" w:rsidP="0022304C">
            <w:pPr>
              <w:jc w:val="left"/>
              <w:rPr>
                <w:rFonts w:ascii="Times New Roman CE" w:hAnsi="Times New Roman CE" w:cs="Times New Roman CE"/>
                <w:i/>
                <w:iCs/>
                <w:sz w:val="21"/>
                <w:szCs w:val="21"/>
              </w:rPr>
            </w:pPr>
            <w:r w:rsidRPr="0022304C">
              <w:rPr>
                <w:rFonts w:ascii="Times New Roman CE" w:hAnsi="Times New Roman CE" w:cs="Times New Roman CE"/>
                <w:i/>
                <w:iCs/>
                <w:sz w:val="21"/>
                <w:szCs w:val="21"/>
              </w:rPr>
              <w:t>Lejárt köv. össz.</w:t>
            </w:r>
          </w:p>
        </w:tc>
        <w:tc>
          <w:tcPr>
            <w:tcW w:w="405" w:type="pct"/>
            <w:tcBorders>
              <w:top w:val="nil"/>
              <w:left w:val="nil"/>
              <w:bottom w:val="nil"/>
              <w:right w:val="nil"/>
            </w:tcBorders>
            <w:shd w:val="clear" w:color="auto" w:fill="auto"/>
            <w:noWrap/>
            <w:vAlign w:val="bottom"/>
            <w:hideMark/>
          </w:tcPr>
          <w:p w:rsidR="0022304C" w:rsidRPr="0022304C" w:rsidRDefault="0022304C" w:rsidP="0022304C">
            <w:pPr>
              <w:jc w:val="right"/>
              <w:rPr>
                <w:rFonts w:ascii="Times New Roman CE" w:hAnsi="Times New Roman CE" w:cs="Times New Roman CE"/>
                <w:i/>
                <w:iCs/>
                <w:sz w:val="21"/>
                <w:szCs w:val="21"/>
              </w:rPr>
            </w:pPr>
            <w:r w:rsidRPr="0022304C">
              <w:rPr>
                <w:rFonts w:ascii="Times New Roman CE" w:hAnsi="Times New Roman CE" w:cs="Times New Roman CE"/>
                <w:i/>
                <w:iCs/>
                <w:sz w:val="21"/>
                <w:szCs w:val="21"/>
              </w:rPr>
              <w:t>338 410</w:t>
            </w:r>
          </w:p>
        </w:tc>
        <w:tc>
          <w:tcPr>
            <w:tcW w:w="542" w:type="pct"/>
            <w:gridSpan w:val="4"/>
            <w:tcBorders>
              <w:top w:val="nil"/>
              <w:left w:val="nil"/>
              <w:bottom w:val="nil"/>
              <w:right w:val="nil"/>
            </w:tcBorders>
            <w:shd w:val="clear" w:color="auto" w:fill="auto"/>
            <w:noWrap/>
            <w:vAlign w:val="bottom"/>
            <w:hideMark/>
          </w:tcPr>
          <w:p w:rsidR="0022304C" w:rsidRPr="0022304C" w:rsidRDefault="0022304C" w:rsidP="0022304C">
            <w:pPr>
              <w:jc w:val="right"/>
              <w:rPr>
                <w:rFonts w:ascii="Times New Roman CE" w:hAnsi="Times New Roman CE" w:cs="Times New Roman CE"/>
                <w:i/>
                <w:iCs/>
                <w:sz w:val="21"/>
                <w:szCs w:val="21"/>
              </w:rPr>
            </w:pPr>
            <w:r w:rsidRPr="0022304C">
              <w:rPr>
                <w:rFonts w:ascii="Times New Roman CE" w:hAnsi="Times New Roman CE" w:cs="Times New Roman CE"/>
                <w:i/>
                <w:iCs/>
                <w:sz w:val="21"/>
                <w:szCs w:val="21"/>
              </w:rPr>
              <w:t>347 653</w:t>
            </w:r>
          </w:p>
        </w:tc>
        <w:tc>
          <w:tcPr>
            <w:tcW w:w="617" w:type="pct"/>
            <w:gridSpan w:val="2"/>
            <w:tcBorders>
              <w:top w:val="single" w:sz="4" w:space="0" w:color="auto"/>
              <w:left w:val="nil"/>
              <w:bottom w:val="nil"/>
              <w:right w:val="nil"/>
            </w:tcBorders>
            <w:shd w:val="clear" w:color="auto" w:fill="auto"/>
            <w:noWrap/>
            <w:vAlign w:val="bottom"/>
            <w:hideMark/>
          </w:tcPr>
          <w:p w:rsidR="0022304C" w:rsidRPr="0022304C" w:rsidRDefault="0022304C" w:rsidP="0022304C">
            <w:pPr>
              <w:jc w:val="right"/>
              <w:rPr>
                <w:rFonts w:ascii="Times New Roman CE" w:hAnsi="Times New Roman CE" w:cs="Times New Roman CE"/>
                <w:i/>
                <w:iCs/>
                <w:sz w:val="21"/>
                <w:szCs w:val="21"/>
              </w:rPr>
            </w:pPr>
            <w:r w:rsidRPr="0022304C">
              <w:rPr>
                <w:rFonts w:ascii="Times New Roman CE" w:hAnsi="Times New Roman CE" w:cs="Times New Roman CE"/>
                <w:i/>
                <w:iCs/>
                <w:sz w:val="21"/>
                <w:szCs w:val="21"/>
              </w:rPr>
              <w:t>80 999</w:t>
            </w:r>
          </w:p>
        </w:tc>
        <w:tc>
          <w:tcPr>
            <w:tcW w:w="537" w:type="pct"/>
            <w:gridSpan w:val="2"/>
            <w:tcBorders>
              <w:top w:val="single" w:sz="4" w:space="0" w:color="auto"/>
              <w:left w:val="nil"/>
              <w:bottom w:val="nil"/>
              <w:right w:val="nil"/>
            </w:tcBorders>
            <w:shd w:val="clear" w:color="auto" w:fill="auto"/>
            <w:noWrap/>
            <w:vAlign w:val="bottom"/>
            <w:hideMark/>
          </w:tcPr>
          <w:p w:rsidR="0022304C" w:rsidRPr="0022304C" w:rsidRDefault="0022304C" w:rsidP="0022304C">
            <w:pPr>
              <w:jc w:val="right"/>
              <w:rPr>
                <w:rFonts w:ascii="Times New Roman CE" w:hAnsi="Times New Roman CE" w:cs="Times New Roman CE"/>
                <w:i/>
                <w:iCs/>
                <w:sz w:val="21"/>
                <w:szCs w:val="21"/>
              </w:rPr>
            </w:pPr>
            <w:r w:rsidRPr="0022304C">
              <w:rPr>
                <w:rFonts w:ascii="Times New Roman CE" w:hAnsi="Times New Roman CE" w:cs="Times New Roman CE"/>
                <w:i/>
                <w:iCs/>
                <w:sz w:val="21"/>
                <w:szCs w:val="21"/>
              </w:rPr>
              <w:t>62 934</w:t>
            </w:r>
          </w:p>
        </w:tc>
        <w:tc>
          <w:tcPr>
            <w:tcW w:w="611" w:type="pct"/>
            <w:gridSpan w:val="3"/>
            <w:tcBorders>
              <w:top w:val="nil"/>
              <w:left w:val="nil"/>
              <w:bottom w:val="nil"/>
              <w:right w:val="nil"/>
            </w:tcBorders>
            <w:shd w:val="clear" w:color="auto" w:fill="auto"/>
            <w:noWrap/>
            <w:vAlign w:val="bottom"/>
            <w:hideMark/>
          </w:tcPr>
          <w:p w:rsidR="0022304C" w:rsidRPr="0022304C" w:rsidRDefault="0022304C" w:rsidP="0022304C">
            <w:pPr>
              <w:jc w:val="right"/>
              <w:rPr>
                <w:rFonts w:ascii="Times New Roman CE" w:hAnsi="Times New Roman CE" w:cs="Times New Roman CE"/>
                <w:i/>
                <w:iCs/>
                <w:sz w:val="21"/>
                <w:szCs w:val="21"/>
              </w:rPr>
            </w:pPr>
            <w:r w:rsidRPr="0022304C">
              <w:rPr>
                <w:rFonts w:ascii="Times New Roman CE" w:hAnsi="Times New Roman CE" w:cs="Times New Roman CE"/>
                <w:i/>
                <w:iCs/>
                <w:sz w:val="21"/>
                <w:szCs w:val="21"/>
              </w:rPr>
              <w:t>257 411</w:t>
            </w:r>
          </w:p>
        </w:tc>
        <w:tc>
          <w:tcPr>
            <w:tcW w:w="607" w:type="pct"/>
            <w:gridSpan w:val="3"/>
            <w:tcBorders>
              <w:top w:val="nil"/>
              <w:left w:val="nil"/>
              <w:bottom w:val="nil"/>
              <w:right w:val="nil"/>
            </w:tcBorders>
            <w:shd w:val="clear" w:color="auto" w:fill="auto"/>
            <w:noWrap/>
            <w:vAlign w:val="bottom"/>
            <w:hideMark/>
          </w:tcPr>
          <w:p w:rsidR="0022304C" w:rsidRPr="0022304C" w:rsidRDefault="0022304C" w:rsidP="0022304C">
            <w:pPr>
              <w:jc w:val="right"/>
              <w:rPr>
                <w:rFonts w:ascii="Times New Roman CE" w:hAnsi="Times New Roman CE" w:cs="Times New Roman CE"/>
                <w:i/>
                <w:iCs/>
                <w:sz w:val="21"/>
                <w:szCs w:val="21"/>
              </w:rPr>
            </w:pPr>
            <w:r w:rsidRPr="0022304C">
              <w:rPr>
                <w:rFonts w:ascii="Times New Roman CE" w:hAnsi="Times New Roman CE" w:cs="Times New Roman CE"/>
                <w:i/>
                <w:iCs/>
                <w:sz w:val="21"/>
                <w:szCs w:val="21"/>
              </w:rPr>
              <w:t>284 719</w:t>
            </w:r>
          </w:p>
        </w:tc>
        <w:tc>
          <w:tcPr>
            <w:tcW w:w="407" w:type="pct"/>
            <w:gridSpan w:val="3"/>
            <w:tcBorders>
              <w:top w:val="nil"/>
              <w:left w:val="nil"/>
              <w:bottom w:val="nil"/>
              <w:right w:val="nil"/>
            </w:tcBorders>
            <w:shd w:val="clear" w:color="auto" w:fill="auto"/>
            <w:noWrap/>
            <w:vAlign w:val="bottom"/>
            <w:hideMark/>
          </w:tcPr>
          <w:p w:rsidR="0022304C" w:rsidRPr="0022304C" w:rsidRDefault="0022304C" w:rsidP="0022304C">
            <w:pPr>
              <w:jc w:val="right"/>
              <w:rPr>
                <w:rFonts w:ascii="Times New Roman CE" w:hAnsi="Times New Roman CE" w:cs="Times New Roman CE"/>
                <w:i/>
                <w:iCs/>
                <w:sz w:val="21"/>
                <w:szCs w:val="21"/>
              </w:rPr>
            </w:pPr>
            <w:r w:rsidRPr="0022304C">
              <w:rPr>
                <w:rFonts w:ascii="Times New Roman CE" w:hAnsi="Times New Roman CE" w:cs="Times New Roman CE"/>
                <w:i/>
                <w:iCs/>
                <w:sz w:val="21"/>
                <w:szCs w:val="21"/>
              </w:rPr>
              <w:t>27 308</w:t>
            </w:r>
          </w:p>
        </w:tc>
        <w:tc>
          <w:tcPr>
            <w:tcW w:w="407" w:type="pct"/>
            <w:gridSpan w:val="3"/>
            <w:tcBorders>
              <w:top w:val="nil"/>
              <w:left w:val="nil"/>
              <w:bottom w:val="nil"/>
              <w:right w:val="nil"/>
            </w:tcBorders>
            <w:shd w:val="clear" w:color="auto" w:fill="auto"/>
            <w:noWrap/>
            <w:vAlign w:val="bottom"/>
            <w:hideMark/>
          </w:tcPr>
          <w:p w:rsidR="0022304C" w:rsidRPr="0022304C" w:rsidRDefault="0022304C" w:rsidP="0022304C">
            <w:pPr>
              <w:jc w:val="center"/>
              <w:rPr>
                <w:rFonts w:ascii="Times New Roman CE" w:hAnsi="Times New Roman CE" w:cs="Times New Roman CE"/>
                <w:sz w:val="21"/>
                <w:szCs w:val="21"/>
              </w:rPr>
            </w:pPr>
            <w:r w:rsidRPr="0022304C">
              <w:rPr>
                <w:rFonts w:ascii="Times New Roman CE" w:hAnsi="Times New Roman CE" w:cs="Times New Roman CE"/>
                <w:sz w:val="21"/>
                <w:szCs w:val="21"/>
              </w:rPr>
              <w:t>110,6%</w:t>
            </w:r>
          </w:p>
        </w:tc>
      </w:tr>
      <w:tr w:rsidR="008B1B91" w:rsidRPr="0022304C" w:rsidTr="008B1B91">
        <w:trPr>
          <w:trHeight w:val="270"/>
        </w:trPr>
        <w:tc>
          <w:tcPr>
            <w:tcW w:w="1283" w:type="pct"/>
            <w:gridSpan w:val="6"/>
            <w:tcBorders>
              <w:top w:val="nil"/>
              <w:left w:val="nil"/>
              <w:bottom w:val="nil"/>
              <w:right w:val="nil"/>
            </w:tcBorders>
            <w:shd w:val="clear" w:color="auto" w:fill="auto"/>
            <w:noWrap/>
            <w:vAlign w:val="bottom"/>
            <w:hideMark/>
          </w:tcPr>
          <w:p w:rsidR="0022304C" w:rsidRPr="0022304C" w:rsidRDefault="0022304C" w:rsidP="0022304C">
            <w:pPr>
              <w:jc w:val="left"/>
              <w:rPr>
                <w:rFonts w:ascii="Times New Roman CE" w:hAnsi="Times New Roman CE" w:cs="Times New Roman CE"/>
                <w:i/>
                <w:iCs/>
                <w:sz w:val="21"/>
                <w:szCs w:val="21"/>
              </w:rPr>
            </w:pPr>
            <w:r w:rsidRPr="0022304C">
              <w:rPr>
                <w:rFonts w:ascii="Times New Roman CE" w:hAnsi="Times New Roman CE" w:cs="Times New Roman CE"/>
                <w:i/>
                <w:iCs/>
                <w:sz w:val="21"/>
                <w:szCs w:val="21"/>
              </w:rPr>
              <w:t>Változás bázis adathoz képest</w:t>
            </w:r>
          </w:p>
        </w:tc>
        <w:tc>
          <w:tcPr>
            <w:tcW w:w="77" w:type="pct"/>
            <w:tcBorders>
              <w:top w:val="nil"/>
              <w:left w:val="nil"/>
              <w:bottom w:val="nil"/>
              <w:right w:val="nil"/>
            </w:tcBorders>
            <w:shd w:val="clear" w:color="auto" w:fill="auto"/>
            <w:noWrap/>
            <w:vAlign w:val="bottom"/>
            <w:hideMark/>
          </w:tcPr>
          <w:p w:rsidR="0022304C" w:rsidRPr="0022304C" w:rsidRDefault="0022304C" w:rsidP="0022304C">
            <w:pPr>
              <w:jc w:val="left"/>
              <w:rPr>
                <w:rFonts w:ascii="Times New Roman CE" w:hAnsi="Times New Roman CE" w:cs="Times New Roman CE"/>
                <w:i/>
                <w:iCs/>
                <w:sz w:val="21"/>
                <w:szCs w:val="21"/>
              </w:rPr>
            </w:pPr>
          </w:p>
        </w:tc>
        <w:tc>
          <w:tcPr>
            <w:tcW w:w="331" w:type="pct"/>
            <w:tcBorders>
              <w:top w:val="nil"/>
              <w:left w:val="nil"/>
              <w:bottom w:val="nil"/>
              <w:right w:val="nil"/>
            </w:tcBorders>
            <w:shd w:val="clear" w:color="auto" w:fill="auto"/>
            <w:noWrap/>
            <w:vAlign w:val="bottom"/>
            <w:hideMark/>
          </w:tcPr>
          <w:p w:rsidR="0022304C" w:rsidRPr="0022304C" w:rsidRDefault="0022304C" w:rsidP="0022304C">
            <w:pPr>
              <w:jc w:val="right"/>
              <w:rPr>
                <w:rFonts w:ascii="Times New Roman CE" w:hAnsi="Times New Roman CE" w:cs="Times New Roman CE"/>
                <w:i/>
                <w:iCs/>
                <w:sz w:val="21"/>
                <w:szCs w:val="21"/>
              </w:rPr>
            </w:pPr>
            <w:r w:rsidRPr="0022304C">
              <w:rPr>
                <w:rFonts w:ascii="Times New Roman CE" w:hAnsi="Times New Roman CE" w:cs="Times New Roman CE"/>
                <w:i/>
                <w:iCs/>
                <w:sz w:val="21"/>
                <w:szCs w:val="21"/>
              </w:rPr>
              <w:t>9 243</w:t>
            </w:r>
          </w:p>
        </w:tc>
        <w:tc>
          <w:tcPr>
            <w:tcW w:w="617" w:type="pct"/>
            <w:gridSpan w:val="2"/>
            <w:tcBorders>
              <w:top w:val="nil"/>
              <w:left w:val="nil"/>
              <w:bottom w:val="nil"/>
              <w:right w:val="nil"/>
            </w:tcBorders>
            <w:shd w:val="clear" w:color="auto" w:fill="auto"/>
            <w:noWrap/>
            <w:vAlign w:val="bottom"/>
            <w:hideMark/>
          </w:tcPr>
          <w:p w:rsidR="0022304C" w:rsidRPr="0022304C" w:rsidRDefault="0022304C" w:rsidP="0022304C">
            <w:pPr>
              <w:jc w:val="right"/>
              <w:rPr>
                <w:rFonts w:ascii="Times New Roman CE" w:hAnsi="Times New Roman CE" w:cs="Times New Roman CE"/>
                <w:i/>
                <w:iCs/>
                <w:sz w:val="21"/>
                <w:szCs w:val="21"/>
              </w:rPr>
            </w:pPr>
          </w:p>
        </w:tc>
        <w:tc>
          <w:tcPr>
            <w:tcW w:w="537" w:type="pct"/>
            <w:gridSpan w:val="2"/>
            <w:tcBorders>
              <w:top w:val="nil"/>
              <w:left w:val="nil"/>
              <w:bottom w:val="nil"/>
              <w:right w:val="nil"/>
            </w:tcBorders>
            <w:shd w:val="clear" w:color="auto" w:fill="auto"/>
            <w:noWrap/>
            <w:vAlign w:val="bottom"/>
            <w:hideMark/>
          </w:tcPr>
          <w:p w:rsidR="0022304C" w:rsidRPr="0022304C" w:rsidRDefault="0022304C" w:rsidP="0022304C">
            <w:pPr>
              <w:jc w:val="right"/>
              <w:rPr>
                <w:rFonts w:ascii="Times New Roman CE" w:hAnsi="Times New Roman CE" w:cs="Times New Roman CE"/>
                <w:i/>
                <w:iCs/>
                <w:sz w:val="21"/>
                <w:szCs w:val="21"/>
              </w:rPr>
            </w:pPr>
            <w:r w:rsidRPr="0022304C">
              <w:rPr>
                <w:rFonts w:ascii="Times New Roman CE" w:hAnsi="Times New Roman CE" w:cs="Times New Roman CE"/>
                <w:i/>
                <w:iCs/>
                <w:sz w:val="21"/>
                <w:szCs w:val="21"/>
              </w:rPr>
              <w:t>-18 065</w:t>
            </w:r>
          </w:p>
        </w:tc>
        <w:tc>
          <w:tcPr>
            <w:tcW w:w="670" w:type="pct"/>
            <w:gridSpan w:val="4"/>
            <w:tcBorders>
              <w:top w:val="nil"/>
              <w:left w:val="nil"/>
              <w:bottom w:val="nil"/>
              <w:right w:val="nil"/>
            </w:tcBorders>
            <w:shd w:val="clear" w:color="auto" w:fill="auto"/>
            <w:noWrap/>
            <w:vAlign w:val="bottom"/>
            <w:hideMark/>
          </w:tcPr>
          <w:p w:rsidR="0022304C" w:rsidRPr="0022304C" w:rsidRDefault="0022304C" w:rsidP="0022304C">
            <w:pPr>
              <w:jc w:val="right"/>
              <w:rPr>
                <w:rFonts w:ascii="Times New Roman CE" w:hAnsi="Times New Roman CE" w:cs="Times New Roman CE"/>
                <w:i/>
                <w:iCs/>
                <w:sz w:val="21"/>
                <w:szCs w:val="21"/>
              </w:rPr>
            </w:pPr>
          </w:p>
        </w:tc>
        <w:tc>
          <w:tcPr>
            <w:tcW w:w="547" w:type="pct"/>
            <w:gridSpan w:val="2"/>
            <w:tcBorders>
              <w:top w:val="nil"/>
              <w:left w:val="nil"/>
              <w:bottom w:val="nil"/>
              <w:right w:val="nil"/>
            </w:tcBorders>
            <w:shd w:val="clear" w:color="auto" w:fill="auto"/>
            <w:noWrap/>
            <w:vAlign w:val="bottom"/>
            <w:hideMark/>
          </w:tcPr>
          <w:p w:rsidR="0022304C" w:rsidRPr="0022304C" w:rsidRDefault="0022304C" w:rsidP="0022304C">
            <w:pPr>
              <w:jc w:val="right"/>
              <w:rPr>
                <w:rFonts w:ascii="Times New Roman CE" w:hAnsi="Times New Roman CE" w:cs="Times New Roman CE"/>
                <w:i/>
                <w:iCs/>
                <w:sz w:val="21"/>
                <w:szCs w:val="21"/>
              </w:rPr>
            </w:pPr>
            <w:r w:rsidRPr="0022304C">
              <w:rPr>
                <w:rFonts w:ascii="Times New Roman CE" w:hAnsi="Times New Roman CE" w:cs="Times New Roman CE"/>
                <w:i/>
                <w:iCs/>
                <w:sz w:val="21"/>
                <w:szCs w:val="21"/>
              </w:rPr>
              <w:t>27 308</w:t>
            </w:r>
          </w:p>
        </w:tc>
        <w:tc>
          <w:tcPr>
            <w:tcW w:w="473" w:type="pct"/>
            <w:gridSpan w:val="4"/>
            <w:tcBorders>
              <w:top w:val="nil"/>
              <w:left w:val="nil"/>
              <w:bottom w:val="nil"/>
              <w:right w:val="nil"/>
            </w:tcBorders>
            <w:shd w:val="clear" w:color="auto" w:fill="auto"/>
            <w:noWrap/>
            <w:vAlign w:val="bottom"/>
            <w:hideMark/>
          </w:tcPr>
          <w:p w:rsidR="0022304C" w:rsidRPr="0022304C" w:rsidRDefault="0022304C" w:rsidP="0022304C">
            <w:pPr>
              <w:jc w:val="right"/>
              <w:rPr>
                <w:rFonts w:ascii="Times New Roman CE" w:hAnsi="Times New Roman CE" w:cs="Times New Roman CE"/>
                <w:i/>
                <w:iCs/>
                <w:sz w:val="21"/>
                <w:szCs w:val="21"/>
              </w:rPr>
            </w:pPr>
          </w:p>
        </w:tc>
        <w:tc>
          <w:tcPr>
            <w:tcW w:w="465" w:type="pct"/>
            <w:gridSpan w:val="3"/>
            <w:tcBorders>
              <w:top w:val="nil"/>
              <w:left w:val="nil"/>
              <w:bottom w:val="nil"/>
              <w:right w:val="nil"/>
            </w:tcBorders>
            <w:shd w:val="clear" w:color="auto" w:fill="auto"/>
            <w:noWrap/>
            <w:vAlign w:val="bottom"/>
            <w:hideMark/>
          </w:tcPr>
          <w:p w:rsidR="0022304C" w:rsidRPr="0022304C" w:rsidRDefault="0022304C" w:rsidP="0022304C">
            <w:pPr>
              <w:jc w:val="right"/>
              <w:rPr>
                <w:sz w:val="20"/>
              </w:rPr>
            </w:pPr>
          </w:p>
        </w:tc>
      </w:tr>
    </w:tbl>
    <w:p w:rsidR="0022304C" w:rsidRDefault="0022304C" w:rsidP="00D268AE">
      <w:pPr>
        <w:jc w:val="left"/>
        <w:rPr>
          <w:rFonts w:ascii="Times New Roman CE" w:hAnsi="Times New Roman CE" w:cs="Times New Roman CE"/>
          <w:i/>
          <w:sz w:val="21"/>
          <w:szCs w:val="21"/>
        </w:rPr>
      </w:pPr>
    </w:p>
    <w:p w:rsidR="00D268AE" w:rsidRPr="00DE7CFA" w:rsidRDefault="00D268AE" w:rsidP="00D268AE">
      <w:pPr>
        <w:jc w:val="left"/>
        <w:rPr>
          <w:rFonts w:ascii="Times New Roman CE" w:hAnsi="Times New Roman CE" w:cs="Times New Roman CE"/>
          <w:i/>
          <w:sz w:val="23"/>
          <w:szCs w:val="23"/>
        </w:rPr>
      </w:pPr>
      <w:r w:rsidRPr="00DE7CFA">
        <w:rPr>
          <w:rFonts w:ascii="Times New Roman CE" w:hAnsi="Times New Roman CE" w:cs="Times New Roman CE"/>
          <w:i/>
          <w:sz w:val="23"/>
          <w:szCs w:val="23"/>
        </w:rPr>
        <w:t xml:space="preserve">Lejárt követelések és megoszlásuk a lejárat ideje szerint a víziközmű-használati díjból megvalósult </w:t>
      </w:r>
    </w:p>
    <w:p w:rsidR="00D268AE" w:rsidRPr="00DE7CFA" w:rsidRDefault="00D268AE" w:rsidP="00D268AE">
      <w:pPr>
        <w:jc w:val="left"/>
        <w:rPr>
          <w:rFonts w:ascii="Times New Roman CE" w:hAnsi="Times New Roman CE" w:cs="Times New Roman CE"/>
          <w:i/>
          <w:sz w:val="23"/>
          <w:szCs w:val="23"/>
        </w:rPr>
      </w:pPr>
      <w:r w:rsidRPr="00DE7CFA">
        <w:rPr>
          <w:rFonts w:ascii="Times New Roman CE" w:hAnsi="Times New Roman CE" w:cs="Times New Roman CE"/>
          <w:i/>
          <w:sz w:val="23"/>
          <w:szCs w:val="23"/>
        </w:rPr>
        <w:t xml:space="preserve">önkormányzati építési munkák lejárt fizetési határidejű számlaértékével </w:t>
      </w:r>
      <w:r w:rsidR="00167B74" w:rsidRPr="00DE7CFA">
        <w:rPr>
          <w:rFonts w:ascii="Times New Roman CE" w:hAnsi="Times New Roman CE" w:cs="Times New Roman CE"/>
          <w:i/>
          <w:sz w:val="23"/>
          <w:szCs w:val="23"/>
        </w:rPr>
        <w:t xml:space="preserve">korrigálva   </w:t>
      </w:r>
      <w:r w:rsidRPr="00DE7CFA">
        <w:rPr>
          <w:rFonts w:ascii="Times New Roman CE" w:hAnsi="Times New Roman CE" w:cs="Times New Roman CE"/>
          <w:i/>
          <w:sz w:val="23"/>
          <w:szCs w:val="23"/>
        </w:rPr>
        <w:t xml:space="preserve">                              </w:t>
      </w:r>
      <w:r w:rsidRPr="00DE7CFA">
        <w:rPr>
          <w:rFonts w:ascii="Times New Roman CE" w:hAnsi="Times New Roman CE" w:cs="Times New Roman CE"/>
          <w:i/>
          <w:sz w:val="22"/>
          <w:szCs w:val="22"/>
        </w:rPr>
        <w:t>eFt</w:t>
      </w:r>
    </w:p>
    <w:tbl>
      <w:tblPr>
        <w:tblW w:w="5378" w:type="pct"/>
        <w:tblLayout w:type="fixed"/>
        <w:tblCellMar>
          <w:left w:w="70" w:type="dxa"/>
          <w:right w:w="70" w:type="dxa"/>
        </w:tblCellMar>
        <w:tblLook w:val="04A0" w:firstRow="1" w:lastRow="0" w:firstColumn="1" w:lastColumn="0" w:noHBand="0" w:noVBand="1"/>
      </w:tblPr>
      <w:tblGrid>
        <w:gridCol w:w="1420"/>
        <w:gridCol w:w="132"/>
        <w:gridCol w:w="989"/>
        <w:gridCol w:w="150"/>
        <w:gridCol w:w="76"/>
        <w:gridCol w:w="84"/>
        <w:gridCol w:w="826"/>
        <w:gridCol w:w="49"/>
        <w:gridCol w:w="89"/>
        <w:gridCol w:w="131"/>
        <w:gridCol w:w="948"/>
        <w:gridCol w:w="46"/>
        <w:gridCol w:w="186"/>
        <w:gridCol w:w="893"/>
        <w:gridCol w:w="87"/>
        <w:gridCol w:w="49"/>
        <w:gridCol w:w="220"/>
        <w:gridCol w:w="986"/>
        <w:gridCol w:w="49"/>
        <w:gridCol w:w="150"/>
        <w:gridCol w:w="912"/>
        <w:gridCol w:w="49"/>
        <w:gridCol w:w="264"/>
        <w:gridCol w:w="429"/>
        <w:gridCol w:w="135"/>
        <w:gridCol w:w="190"/>
        <w:gridCol w:w="192"/>
        <w:gridCol w:w="165"/>
        <w:gridCol w:w="169"/>
        <w:gridCol w:w="133"/>
        <w:gridCol w:w="359"/>
      </w:tblGrid>
      <w:tr w:rsidR="0022304C" w:rsidRPr="0022304C" w:rsidTr="008B2EB2">
        <w:trPr>
          <w:gridAfter w:val="3"/>
          <w:wAfter w:w="312" w:type="pct"/>
          <w:trHeight w:val="477"/>
        </w:trPr>
        <w:tc>
          <w:tcPr>
            <w:tcW w:w="673" w:type="pct"/>
            <w:tcBorders>
              <w:top w:val="single" w:sz="4" w:space="0" w:color="auto"/>
              <w:left w:val="nil"/>
              <w:bottom w:val="nil"/>
              <w:right w:val="nil"/>
            </w:tcBorders>
            <w:shd w:val="clear" w:color="auto" w:fill="auto"/>
            <w:noWrap/>
            <w:vAlign w:val="bottom"/>
            <w:hideMark/>
          </w:tcPr>
          <w:p w:rsidR="00D268AE" w:rsidRPr="0022304C" w:rsidRDefault="00D268AE" w:rsidP="00C97212">
            <w:pPr>
              <w:jc w:val="left"/>
              <w:rPr>
                <w:rFonts w:ascii="Times New Roman CE" w:hAnsi="Times New Roman CE" w:cs="Times New Roman CE"/>
                <w:i/>
                <w:iCs/>
                <w:sz w:val="20"/>
              </w:rPr>
            </w:pPr>
            <w:r w:rsidRPr="0022304C">
              <w:rPr>
                <w:rFonts w:ascii="Times New Roman CE" w:hAnsi="Times New Roman CE" w:cs="Times New Roman CE"/>
                <w:i/>
                <w:iCs/>
                <w:sz w:val="20"/>
              </w:rPr>
              <w:t>Lejárat ideje</w:t>
            </w:r>
          </w:p>
        </w:tc>
        <w:tc>
          <w:tcPr>
            <w:tcW w:w="1135" w:type="pct"/>
            <w:gridSpan w:val="8"/>
            <w:tcBorders>
              <w:top w:val="single" w:sz="4" w:space="0" w:color="auto"/>
              <w:left w:val="nil"/>
              <w:bottom w:val="single" w:sz="4" w:space="0" w:color="auto"/>
              <w:right w:val="nil"/>
            </w:tcBorders>
            <w:shd w:val="clear" w:color="auto" w:fill="auto"/>
            <w:noWrap/>
            <w:vAlign w:val="center"/>
            <w:hideMark/>
          </w:tcPr>
          <w:p w:rsidR="00D268AE" w:rsidRPr="0022304C" w:rsidRDefault="00D268AE" w:rsidP="00C97212">
            <w:pPr>
              <w:jc w:val="center"/>
              <w:rPr>
                <w:rFonts w:ascii="Times New Roman CE" w:hAnsi="Times New Roman CE" w:cs="Times New Roman CE"/>
                <w:i/>
                <w:iCs/>
                <w:sz w:val="20"/>
              </w:rPr>
            </w:pPr>
            <w:r w:rsidRPr="0022304C">
              <w:rPr>
                <w:rFonts w:ascii="Times New Roman CE" w:hAnsi="Times New Roman CE" w:cs="Times New Roman CE"/>
                <w:i/>
                <w:iCs/>
                <w:sz w:val="20"/>
              </w:rPr>
              <w:t>Kintlévőség</w:t>
            </w:r>
          </w:p>
        </w:tc>
        <w:tc>
          <w:tcPr>
            <w:tcW w:w="1044" w:type="pct"/>
            <w:gridSpan w:val="5"/>
            <w:tcBorders>
              <w:top w:val="single" w:sz="4" w:space="0" w:color="auto"/>
              <w:left w:val="nil"/>
              <w:bottom w:val="single" w:sz="4" w:space="0" w:color="auto"/>
              <w:right w:val="nil"/>
            </w:tcBorders>
            <w:shd w:val="clear" w:color="auto" w:fill="auto"/>
            <w:vAlign w:val="bottom"/>
            <w:hideMark/>
          </w:tcPr>
          <w:p w:rsidR="00D268AE" w:rsidRPr="0022304C" w:rsidRDefault="00D268AE" w:rsidP="00C97212">
            <w:pPr>
              <w:jc w:val="center"/>
              <w:rPr>
                <w:rFonts w:ascii="Times New Roman CE" w:hAnsi="Times New Roman CE" w:cs="Times New Roman CE"/>
                <w:i/>
                <w:iCs/>
                <w:sz w:val="20"/>
              </w:rPr>
            </w:pPr>
            <w:r w:rsidRPr="0022304C">
              <w:rPr>
                <w:rFonts w:ascii="Times New Roman CE" w:hAnsi="Times New Roman CE" w:cs="Times New Roman CE"/>
                <w:i/>
                <w:iCs/>
                <w:sz w:val="20"/>
              </w:rPr>
              <w:t xml:space="preserve">Mérlegkész.időpontjáig </w:t>
            </w:r>
            <w:r w:rsidRPr="0022304C">
              <w:rPr>
                <w:rFonts w:ascii="Times New Roman CE" w:hAnsi="Times New Roman CE" w:cs="Times New Roman CE"/>
                <w:i/>
                <w:iCs/>
                <w:sz w:val="20"/>
              </w:rPr>
              <w:br/>
              <w:t>befolyt követelés</w:t>
            </w:r>
          </w:p>
        </w:tc>
        <w:tc>
          <w:tcPr>
            <w:tcW w:w="1757" w:type="pct"/>
            <w:gridSpan w:val="13"/>
            <w:tcBorders>
              <w:top w:val="single" w:sz="4" w:space="0" w:color="auto"/>
              <w:left w:val="nil"/>
              <w:bottom w:val="single" w:sz="4" w:space="0" w:color="auto"/>
              <w:right w:val="nil"/>
            </w:tcBorders>
            <w:shd w:val="clear" w:color="auto" w:fill="auto"/>
            <w:vAlign w:val="bottom"/>
            <w:hideMark/>
          </w:tcPr>
          <w:p w:rsidR="00D268AE" w:rsidRPr="0022304C" w:rsidRDefault="00D268AE" w:rsidP="00E85267">
            <w:pPr>
              <w:ind w:right="-68"/>
              <w:rPr>
                <w:i/>
                <w:sz w:val="20"/>
              </w:rPr>
            </w:pPr>
            <w:r w:rsidRPr="0022304C">
              <w:rPr>
                <w:i/>
                <w:sz w:val="20"/>
              </w:rPr>
              <w:t xml:space="preserve">  Mérlegkészítés időpontjában fennálló köv</w:t>
            </w:r>
          </w:p>
          <w:p w:rsidR="00D268AE" w:rsidRPr="0022304C" w:rsidRDefault="00D268AE" w:rsidP="0022304C">
            <w:pPr>
              <w:rPr>
                <w:i/>
                <w:sz w:val="20"/>
              </w:rPr>
            </w:pPr>
            <w:r w:rsidRPr="0022304C">
              <w:rPr>
                <w:i/>
                <w:sz w:val="20"/>
              </w:rPr>
              <w:t xml:space="preserve">               összege                    változása </w:t>
            </w:r>
          </w:p>
        </w:tc>
        <w:tc>
          <w:tcPr>
            <w:tcW w:w="78" w:type="pct"/>
            <w:tcBorders>
              <w:top w:val="single" w:sz="4" w:space="0" w:color="auto"/>
              <w:left w:val="nil"/>
              <w:bottom w:val="single" w:sz="4" w:space="0" w:color="auto"/>
              <w:right w:val="nil"/>
            </w:tcBorders>
            <w:shd w:val="clear" w:color="auto" w:fill="auto"/>
            <w:vAlign w:val="bottom"/>
            <w:hideMark/>
          </w:tcPr>
          <w:p w:rsidR="00D268AE" w:rsidRPr="0022304C" w:rsidRDefault="00D268AE" w:rsidP="00C97212">
            <w:pPr>
              <w:ind w:left="354" w:right="-1345"/>
              <w:jc w:val="center"/>
              <w:rPr>
                <w:rFonts w:ascii="Times New Roman CE" w:hAnsi="Times New Roman CE" w:cs="Times New Roman CE"/>
                <w:i/>
                <w:iCs/>
                <w:sz w:val="20"/>
              </w:rPr>
            </w:pPr>
            <w:r w:rsidRPr="0022304C">
              <w:rPr>
                <w:rFonts w:ascii="Times New Roman CE" w:hAnsi="Times New Roman CE" w:cs="Times New Roman CE"/>
                <w:i/>
                <w:iCs/>
                <w:sz w:val="20"/>
              </w:rPr>
              <w:t xml:space="preserve"> követelés </w:t>
            </w:r>
            <w:r w:rsidRPr="0022304C">
              <w:rPr>
                <w:rFonts w:ascii="Times New Roman CE" w:hAnsi="Times New Roman CE" w:cs="Times New Roman CE"/>
                <w:i/>
                <w:iCs/>
                <w:sz w:val="20"/>
              </w:rPr>
              <w:br/>
              <w:t>változása</w:t>
            </w:r>
          </w:p>
        </w:tc>
      </w:tr>
      <w:tr w:rsidR="008B2EB2" w:rsidRPr="0022304C" w:rsidTr="008B2EB2">
        <w:trPr>
          <w:gridAfter w:val="2"/>
          <w:wAfter w:w="233" w:type="pct"/>
          <w:trHeight w:val="235"/>
        </w:trPr>
        <w:tc>
          <w:tcPr>
            <w:tcW w:w="673" w:type="pct"/>
            <w:tcBorders>
              <w:top w:val="nil"/>
              <w:left w:val="nil"/>
              <w:bottom w:val="single" w:sz="4" w:space="0" w:color="auto"/>
              <w:right w:val="nil"/>
            </w:tcBorders>
            <w:shd w:val="clear" w:color="auto" w:fill="auto"/>
            <w:noWrap/>
            <w:vAlign w:val="bottom"/>
            <w:hideMark/>
          </w:tcPr>
          <w:p w:rsidR="00D268AE" w:rsidRPr="0022304C" w:rsidRDefault="00D268AE" w:rsidP="00C97212">
            <w:pPr>
              <w:jc w:val="left"/>
              <w:rPr>
                <w:rFonts w:ascii="Times New Roman CE" w:hAnsi="Times New Roman CE" w:cs="Times New Roman CE"/>
                <w:i/>
                <w:iCs/>
                <w:sz w:val="20"/>
              </w:rPr>
            </w:pPr>
            <w:r w:rsidRPr="0022304C">
              <w:rPr>
                <w:rFonts w:ascii="Times New Roman CE" w:hAnsi="Times New Roman CE" w:cs="Times New Roman CE"/>
                <w:i/>
                <w:iCs/>
                <w:sz w:val="20"/>
              </w:rPr>
              <w:t> </w:t>
            </w:r>
          </w:p>
        </w:tc>
        <w:tc>
          <w:tcPr>
            <w:tcW w:w="639" w:type="pct"/>
            <w:gridSpan w:val="4"/>
            <w:tcBorders>
              <w:top w:val="nil"/>
              <w:left w:val="nil"/>
              <w:bottom w:val="single" w:sz="4" w:space="0" w:color="auto"/>
              <w:right w:val="nil"/>
            </w:tcBorders>
            <w:shd w:val="clear" w:color="auto" w:fill="auto"/>
            <w:noWrap/>
            <w:vAlign w:val="bottom"/>
            <w:hideMark/>
          </w:tcPr>
          <w:p w:rsidR="00D268AE" w:rsidRPr="0022304C" w:rsidRDefault="00D268AE" w:rsidP="0022304C">
            <w:pPr>
              <w:jc w:val="center"/>
              <w:rPr>
                <w:rFonts w:ascii="Times New Roman CE" w:hAnsi="Times New Roman CE" w:cs="Times New Roman CE"/>
                <w:i/>
                <w:iCs/>
                <w:sz w:val="20"/>
              </w:rPr>
            </w:pPr>
            <w:r w:rsidRPr="0022304C">
              <w:rPr>
                <w:rFonts w:ascii="Times New Roman CE" w:hAnsi="Times New Roman CE" w:cs="Times New Roman CE"/>
                <w:i/>
                <w:iCs/>
                <w:sz w:val="20"/>
              </w:rPr>
              <w:t>20</w:t>
            </w:r>
            <w:r w:rsidR="00F54067" w:rsidRPr="0022304C">
              <w:rPr>
                <w:rFonts w:ascii="Times New Roman CE" w:hAnsi="Times New Roman CE" w:cs="Times New Roman CE"/>
                <w:i/>
                <w:iCs/>
                <w:sz w:val="20"/>
              </w:rPr>
              <w:t>2</w:t>
            </w:r>
            <w:r w:rsidR="0022304C" w:rsidRPr="0022304C">
              <w:rPr>
                <w:rFonts w:ascii="Times New Roman CE" w:hAnsi="Times New Roman CE" w:cs="Times New Roman CE"/>
                <w:i/>
                <w:iCs/>
                <w:sz w:val="20"/>
              </w:rPr>
              <w:t>1</w:t>
            </w:r>
            <w:r w:rsidRPr="0022304C">
              <w:rPr>
                <w:rFonts w:ascii="Times New Roman CE" w:hAnsi="Times New Roman CE" w:cs="Times New Roman CE"/>
                <w:i/>
                <w:iCs/>
                <w:sz w:val="20"/>
              </w:rPr>
              <w:t>.dec.31.</w:t>
            </w:r>
          </w:p>
        </w:tc>
        <w:tc>
          <w:tcPr>
            <w:tcW w:w="558" w:type="pct"/>
            <w:gridSpan w:val="5"/>
            <w:tcBorders>
              <w:top w:val="nil"/>
              <w:left w:val="nil"/>
              <w:bottom w:val="single" w:sz="4" w:space="0" w:color="auto"/>
              <w:right w:val="nil"/>
            </w:tcBorders>
            <w:shd w:val="clear" w:color="auto" w:fill="auto"/>
            <w:noWrap/>
            <w:vAlign w:val="bottom"/>
            <w:hideMark/>
          </w:tcPr>
          <w:p w:rsidR="00D268AE" w:rsidRPr="0022304C" w:rsidRDefault="00D268AE" w:rsidP="0022304C">
            <w:pPr>
              <w:jc w:val="center"/>
              <w:rPr>
                <w:rFonts w:ascii="Times New Roman CE" w:hAnsi="Times New Roman CE" w:cs="Times New Roman CE"/>
                <w:i/>
                <w:iCs/>
                <w:sz w:val="20"/>
              </w:rPr>
            </w:pPr>
            <w:r w:rsidRPr="0022304C">
              <w:rPr>
                <w:rFonts w:ascii="Times New Roman CE" w:hAnsi="Times New Roman CE" w:cs="Times New Roman CE"/>
                <w:i/>
                <w:iCs/>
                <w:sz w:val="20"/>
              </w:rPr>
              <w:t>20</w:t>
            </w:r>
            <w:r w:rsidR="00D240F7" w:rsidRPr="0022304C">
              <w:rPr>
                <w:rFonts w:ascii="Times New Roman CE" w:hAnsi="Times New Roman CE" w:cs="Times New Roman CE"/>
                <w:i/>
                <w:iCs/>
                <w:sz w:val="20"/>
              </w:rPr>
              <w:t>2</w:t>
            </w:r>
            <w:r w:rsidR="0022304C" w:rsidRPr="0022304C">
              <w:rPr>
                <w:rFonts w:ascii="Times New Roman CE" w:hAnsi="Times New Roman CE" w:cs="Times New Roman CE"/>
                <w:i/>
                <w:iCs/>
                <w:sz w:val="20"/>
              </w:rPr>
              <w:t>2</w:t>
            </w:r>
            <w:r w:rsidRPr="0022304C">
              <w:rPr>
                <w:rFonts w:ascii="Times New Roman CE" w:hAnsi="Times New Roman CE" w:cs="Times New Roman CE"/>
                <w:i/>
                <w:iCs/>
                <w:sz w:val="20"/>
              </w:rPr>
              <w:t>.dec.31.</w:t>
            </w:r>
          </w:p>
        </w:tc>
        <w:tc>
          <w:tcPr>
            <w:tcW w:w="559" w:type="pct"/>
            <w:gridSpan w:val="3"/>
            <w:tcBorders>
              <w:top w:val="nil"/>
              <w:left w:val="nil"/>
              <w:bottom w:val="single" w:sz="4" w:space="0" w:color="auto"/>
              <w:right w:val="nil"/>
            </w:tcBorders>
            <w:shd w:val="clear" w:color="auto" w:fill="auto"/>
            <w:noWrap/>
            <w:vAlign w:val="bottom"/>
            <w:hideMark/>
          </w:tcPr>
          <w:p w:rsidR="00D268AE" w:rsidRPr="0022304C" w:rsidRDefault="00D268AE" w:rsidP="0022304C">
            <w:pPr>
              <w:jc w:val="center"/>
              <w:rPr>
                <w:rFonts w:ascii="Times New Roman CE" w:hAnsi="Times New Roman CE" w:cs="Times New Roman CE"/>
                <w:i/>
                <w:iCs/>
                <w:sz w:val="20"/>
              </w:rPr>
            </w:pPr>
            <w:r w:rsidRPr="0022304C">
              <w:rPr>
                <w:rFonts w:ascii="Times New Roman CE" w:hAnsi="Times New Roman CE" w:cs="Times New Roman CE"/>
                <w:i/>
                <w:iCs/>
                <w:sz w:val="20"/>
              </w:rPr>
              <w:t>20</w:t>
            </w:r>
            <w:r w:rsidR="00D240F7" w:rsidRPr="0022304C">
              <w:rPr>
                <w:rFonts w:ascii="Times New Roman CE" w:hAnsi="Times New Roman CE" w:cs="Times New Roman CE"/>
                <w:i/>
                <w:iCs/>
                <w:sz w:val="20"/>
              </w:rPr>
              <w:t>2</w:t>
            </w:r>
            <w:r w:rsidR="0022304C" w:rsidRPr="0022304C">
              <w:rPr>
                <w:rFonts w:ascii="Times New Roman CE" w:hAnsi="Times New Roman CE" w:cs="Times New Roman CE"/>
                <w:i/>
                <w:iCs/>
                <w:sz w:val="20"/>
              </w:rPr>
              <w:t>2</w:t>
            </w:r>
            <w:r w:rsidRPr="0022304C">
              <w:rPr>
                <w:rFonts w:ascii="Times New Roman CE" w:hAnsi="Times New Roman CE" w:cs="Times New Roman CE"/>
                <w:i/>
                <w:iCs/>
                <w:sz w:val="20"/>
              </w:rPr>
              <w:t>.febr15.</w:t>
            </w:r>
          </w:p>
        </w:tc>
        <w:tc>
          <w:tcPr>
            <w:tcW w:w="591" w:type="pct"/>
            <w:gridSpan w:val="4"/>
            <w:tcBorders>
              <w:top w:val="nil"/>
              <w:left w:val="nil"/>
              <w:bottom w:val="single" w:sz="4" w:space="0" w:color="auto"/>
              <w:right w:val="nil"/>
            </w:tcBorders>
            <w:shd w:val="clear" w:color="auto" w:fill="auto"/>
            <w:noWrap/>
            <w:vAlign w:val="bottom"/>
            <w:hideMark/>
          </w:tcPr>
          <w:p w:rsidR="00D268AE" w:rsidRPr="0022304C" w:rsidRDefault="00D268AE" w:rsidP="0022304C">
            <w:pPr>
              <w:jc w:val="center"/>
              <w:rPr>
                <w:rFonts w:ascii="Times New Roman CE" w:hAnsi="Times New Roman CE" w:cs="Times New Roman CE"/>
                <w:i/>
                <w:iCs/>
                <w:sz w:val="20"/>
              </w:rPr>
            </w:pPr>
            <w:r w:rsidRPr="0022304C">
              <w:rPr>
                <w:rFonts w:ascii="Times New Roman CE" w:hAnsi="Times New Roman CE" w:cs="Times New Roman CE"/>
                <w:i/>
                <w:iCs/>
                <w:sz w:val="20"/>
              </w:rPr>
              <w:t>20</w:t>
            </w:r>
            <w:r w:rsidR="00C92DEC" w:rsidRPr="0022304C">
              <w:rPr>
                <w:rFonts w:ascii="Times New Roman CE" w:hAnsi="Times New Roman CE" w:cs="Times New Roman CE"/>
                <w:i/>
                <w:iCs/>
                <w:sz w:val="20"/>
              </w:rPr>
              <w:t>2</w:t>
            </w:r>
            <w:r w:rsidR="0022304C" w:rsidRPr="0022304C">
              <w:rPr>
                <w:rFonts w:ascii="Times New Roman CE" w:hAnsi="Times New Roman CE" w:cs="Times New Roman CE"/>
                <w:i/>
                <w:iCs/>
                <w:sz w:val="20"/>
              </w:rPr>
              <w:t>3</w:t>
            </w:r>
            <w:r w:rsidRPr="0022304C">
              <w:rPr>
                <w:rFonts w:ascii="Times New Roman CE" w:hAnsi="Times New Roman CE" w:cs="Times New Roman CE"/>
                <w:i/>
                <w:iCs/>
                <w:sz w:val="20"/>
              </w:rPr>
              <w:t>.febr15.</w:t>
            </w:r>
          </w:p>
        </w:tc>
        <w:tc>
          <w:tcPr>
            <w:tcW w:w="561" w:type="pct"/>
            <w:gridSpan w:val="3"/>
            <w:tcBorders>
              <w:top w:val="nil"/>
              <w:left w:val="nil"/>
              <w:bottom w:val="single" w:sz="4" w:space="0" w:color="auto"/>
              <w:right w:val="nil"/>
            </w:tcBorders>
            <w:shd w:val="clear" w:color="auto" w:fill="auto"/>
            <w:noWrap/>
            <w:vAlign w:val="bottom"/>
            <w:hideMark/>
          </w:tcPr>
          <w:p w:rsidR="00D268AE" w:rsidRPr="0022304C" w:rsidRDefault="00D268AE" w:rsidP="0022304C">
            <w:pPr>
              <w:rPr>
                <w:rFonts w:ascii="Times New Roman CE" w:hAnsi="Times New Roman CE" w:cs="Times New Roman CE"/>
                <w:i/>
                <w:iCs/>
                <w:sz w:val="20"/>
              </w:rPr>
            </w:pPr>
            <w:r w:rsidRPr="0022304C">
              <w:rPr>
                <w:rFonts w:ascii="Times New Roman CE" w:hAnsi="Times New Roman CE" w:cs="Times New Roman CE"/>
                <w:i/>
                <w:iCs/>
                <w:sz w:val="20"/>
              </w:rPr>
              <w:t>20</w:t>
            </w:r>
            <w:r w:rsidR="00D240F7" w:rsidRPr="0022304C">
              <w:rPr>
                <w:rFonts w:ascii="Times New Roman CE" w:hAnsi="Times New Roman CE" w:cs="Times New Roman CE"/>
                <w:i/>
                <w:iCs/>
                <w:sz w:val="20"/>
              </w:rPr>
              <w:t>2</w:t>
            </w:r>
            <w:r w:rsidR="0022304C" w:rsidRPr="0022304C">
              <w:rPr>
                <w:rFonts w:ascii="Times New Roman CE" w:hAnsi="Times New Roman CE" w:cs="Times New Roman CE"/>
                <w:i/>
                <w:iCs/>
                <w:sz w:val="20"/>
              </w:rPr>
              <w:t>2</w:t>
            </w:r>
            <w:r w:rsidRPr="0022304C">
              <w:rPr>
                <w:rFonts w:ascii="Times New Roman CE" w:hAnsi="Times New Roman CE" w:cs="Times New Roman CE"/>
                <w:i/>
                <w:iCs/>
                <w:sz w:val="20"/>
              </w:rPr>
              <w:t>.febr15.</w:t>
            </w:r>
          </w:p>
        </w:tc>
        <w:tc>
          <w:tcPr>
            <w:tcW w:w="580" w:type="pct"/>
            <w:gridSpan w:val="3"/>
            <w:tcBorders>
              <w:top w:val="nil"/>
              <w:left w:val="nil"/>
              <w:bottom w:val="single" w:sz="4" w:space="0" w:color="auto"/>
              <w:right w:val="nil"/>
            </w:tcBorders>
            <w:shd w:val="clear" w:color="auto" w:fill="auto"/>
            <w:noWrap/>
            <w:vAlign w:val="bottom"/>
            <w:hideMark/>
          </w:tcPr>
          <w:p w:rsidR="00D268AE" w:rsidRPr="0022304C" w:rsidRDefault="00D268AE" w:rsidP="0022304C">
            <w:pPr>
              <w:jc w:val="center"/>
              <w:rPr>
                <w:rFonts w:ascii="Times New Roman CE" w:hAnsi="Times New Roman CE" w:cs="Times New Roman CE"/>
                <w:i/>
                <w:iCs/>
                <w:sz w:val="20"/>
              </w:rPr>
            </w:pPr>
            <w:r w:rsidRPr="0022304C">
              <w:rPr>
                <w:rFonts w:ascii="Times New Roman CE" w:hAnsi="Times New Roman CE" w:cs="Times New Roman CE"/>
                <w:i/>
                <w:iCs/>
                <w:sz w:val="20"/>
              </w:rPr>
              <w:t>20</w:t>
            </w:r>
            <w:r w:rsidR="00C92DEC" w:rsidRPr="0022304C">
              <w:rPr>
                <w:rFonts w:ascii="Times New Roman CE" w:hAnsi="Times New Roman CE" w:cs="Times New Roman CE"/>
                <w:i/>
                <w:iCs/>
                <w:sz w:val="20"/>
              </w:rPr>
              <w:t>2</w:t>
            </w:r>
            <w:r w:rsidR="0022304C" w:rsidRPr="0022304C">
              <w:rPr>
                <w:rFonts w:ascii="Times New Roman CE" w:hAnsi="Times New Roman CE" w:cs="Times New Roman CE"/>
                <w:i/>
                <w:iCs/>
                <w:sz w:val="20"/>
              </w:rPr>
              <w:t>3</w:t>
            </w:r>
            <w:r w:rsidRPr="0022304C">
              <w:rPr>
                <w:rFonts w:ascii="Times New Roman CE" w:hAnsi="Times New Roman CE" w:cs="Times New Roman CE"/>
                <w:i/>
                <w:iCs/>
                <w:sz w:val="20"/>
              </w:rPr>
              <w:t>.febr15.</w:t>
            </w:r>
          </w:p>
        </w:tc>
        <w:tc>
          <w:tcPr>
            <w:tcW w:w="203" w:type="pct"/>
            <w:tcBorders>
              <w:top w:val="nil"/>
              <w:left w:val="nil"/>
              <w:bottom w:val="single" w:sz="4" w:space="0" w:color="auto"/>
              <w:right w:val="nil"/>
            </w:tcBorders>
            <w:shd w:val="clear" w:color="auto" w:fill="auto"/>
            <w:noWrap/>
            <w:vAlign w:val="bottom"/>
            <w:hideMark/>
          </w:tcPr>
          <w:p w:rsidR="00D268AE" w:rsidRPr="0022304C" w:rsidRDefault="00D268AE" w:rsidP="00C97212">
            <w:pPr>
              <w:jc w:val="center"/>
              <w:rPr>
                <w:rFonts w:ascii="Times New Roman CE" w:hAnsi="Times New Roman CE" w:cs="Times New Roman CE"/>
                <w:i/>
                <w:iCs/>
                <w:sz w:val="20"/>
              </w:rPr>
            </w:pPr>
            <w:r w:rsidRPr="0022304C">
              <w:rPr>
                <w:rFonts w:ascii="Times New Roman CE" w:hAnsi="Times New Roman CE" w:cs="Times New Roman CE"/>
                <w:i/>
                <w:iCs/>
                <w:sz w:val="20"/>
              </w:rPr>
              <w:t xml:space="preserve">eFt </w:t>
            </w:r>
          </w:p>
        </w:tc>
        <w:tc>
          <w:tcPr>
            <w:tcW w:w="403" w:type="pct"/>
            <w:gridSpan w:val="5"/>
            <w:tcBorders>
              <w:top w:val="nil"/>
              <w:left w:val="nil"/>
              <w:bottom w:val="single" w:sz="4" w:space="0" w:color="auto"/>
              <w:right w:val="nil"/>
            </w:tcBorders>
            <w:shd w:val="clear" w:color="auto" w:fill="auto"/>
            <w:noWrap/>
            <w:vAlign w:val="bottom"/>
            <w:hideMark/>
          </w:tcPr>
          <w:p w:rsidR="00D268AE" w:rsidRPr="0022304C" w:rsidRDefault="00D268AE" w:rsidP="00606D7C">
            <w:pPr>
              <w:ind w:right="-70"/>
              <w:jc w:val="left"/>
              <w:rPr>
                <w:rFonts w:ascii="Times New Roman CE" w:hAnsi="Times New Roman CE" w:cs="Times New Roman CE"/>
                <w:i/>
                <w:iCs/>
                <w:sz w:val="20"/>
              </w:rPr>
            </w:pPr>
            <w:r w:rsidRPr="0022304C">
              <w:rPr>
                <w:rFonts w:ascii="Times New Roman CE" w:hAnsi="Times New Roman CE" w:cs="Times New Roman CE"/>
                <w:i/>
                <w:iCs/>
                <w:sz w:val="20"/>
              </w:rPr>
              <w:t>index</w:t>
            </w:r>
          </w:p>
        </w:tc>
      </w:tr>
      <w:tr w:rsidR="008B2EB2" w:rsidRPr="003F0D15" w:rsidTr="008B2EB2">
        <w:trPr>
          <w:gridAfter w:val="1"/>
          <w:wAfter w:w="168" w:type="pct"/>
          <w:trHeight w:val="270"/>
        </w:trPr>
        <w:tc>
          <w:tcPr>
            <w:tcW w:w="736" w:type="pct"/>
            <w:gridSpan w:val="2"/>
            <w:tcBorders>
              <w:top w:val="nil"/>
              <w:left w:val="nil"/>
              <w:bottom w:val="nil"/>
              <w:right w:val="nil"/>
            </w:tcBorders>
            <w:shd w:val="clear" w:color="auto" w:fill="auto"/>
            <w:noWrap/>
            <w:vAlign w:val="bottom"/>
            <w:hideMark/>
          </w:tcPr>
          <w:p w:rsidR="003F0D15" w:rsidRPr="003F0D15" w:rsidRDefault="003F0D15" w:rsidP="003F0D15">
            <w:pPr>
              <w:jc w:val="left"/>
              <w:rPr>
                <w:rFonts w:ascii="Times New Roman CE" w:hAnsi="Times New Roman CE" w:cs="Times New Roman CE"/>
                <w:sz w:val="21"/>
                <w:szCs w:val="21"/>
              </w:rPr>
            </w:pPr>
            <w:r w:rsidRPr="003F0D15">
              <w:rPr>
                <w:rFonts w:ascii="Times New Roman CE" w:hAnsi="Times New Roman CE" w:cs="Times New Roman CE"/>
                <w:sz w:val="21"/>
                <w:szCs w:val="21"/>
              </w:rPr>
              <w:t>1-30 nap</w:t>
            </w:r>
          </w:p>
        </w:tc>
        <w:tc>
          <w:tcPr>
            <w:tcW w:w="469" w:type="pct"/>
            <w:tcBorders>
              <w:top w:val="nil"/>
              <w:left w:val="nil"/>
              <w:bottom w:val="nil"/>
              <w:right w:val="nil"/>
            </w:tcBorders>
            <w:shd w:val="clear" w:color="auto" w:fill="auto"/>
            <w:noWrap/>
            <w:vAlign w:val="bottom"/>
            <w:hideMark/>
          </w:tcPr>
          <w:p w:rsidR="003F0D15" w:rsidRPr="003F0D15" w:rsidRDefault="003F0D15" w:rsidP="003F0D15">
            <w:pPr>
              <w:jc w:val="right"/>
              <w:rPr>
                <w:rFonts w:ascii="Times New Roman CE" w:hAnsi="Times New Roman CE" w:cs="Times New Roman CE"/>
                <w:sz w:val="21"/>
                <w:szCs w:val="21"/>
              </w:rPr>
            </w:pPr>
            <w:r w:rsidRPr="003F0D15">
              <w:rPr>
                <w:rFonts w:ascii="Times New Roman CE" w:hAnsi="Times New Roman CE" w:cs="Times New Roman CE"/>
                <w:sz w:val="21"/>
                <w:szCs w:val="21"/>
              </w:rPr>
              <w:t>73 638</w:t>
            </w:r>
          </w:p>
        </w:tc>
        <w:tc>
          <w:tcPr>
            <w:tcW w:w="538" w:type="pct"/>
            <w:gridSpan w:val="4"/>
            <w:tcBorders>
              <w:top w:val="nil"/>
              <w:left w:val="nil"/>
              <w:bottom w:val="nil"/>
              <w:right w:val="nil"/>
            </w:tcBorders>
            <w:shd w:val="clear" w:color="auto" w:fill="auto"/>
            <w:noWrap/>
            <w:vAlign w:val="bottom"/>
            <w:hideMark/>
          </w:tcPr>
          <w:p w:rsidR="003F0D15" w:rsidRPr="003F0D15" w:rsidRDefault="003F0D15" w:rsidP="003F0D15">
            <w:pPr>
              <w:jc w:val="right"/>
              <w:rPr>
                <w:rFonts w:ascii="Times New Roman CE" w:hAnsi="Times New Roman CE" w:cs="Times New Roman CE"/>
                <w:sz w:val="21"/>
                <w:szCs w:val="21"/>
              </w:rPr>
            </w:pPr>
            <w:r w:rsidRPr="003F0D15">
              <w:rPr>
                <w:rFonts w:ascii="Times New Roman CE" w:hAnsi="Times New Roman CE" w:cs="Times New Roman CE"/>
                <w:sz w:val="21"/>
                <w:szCs w:val="21"/>
              </w:rPr>
              <w:t>77 071</w:t>
            </w:r>
          </w:p>
        </w:tc>
        <w:tc>
          <w:tcPr>
            <w:tcW w:w="576" w:type="pct"/>
            <w:gridSpan w:val="4"/>
            <w:tcBorders>
              <w:top w:val="nil"/>
              <w:left w:val="nil"/>
              <w:bottom w:val="nil"/>
              <w:right w:val="nil"/>
            </w:tcBorders>
            <w:shd w:val="clear" w:color="auto" w:fill="auto"/>
            <w:noWrap/>
            <w:vAlign w:val="bottom"/>
            <w:hideMark/>
          </w:tcPr>
          <w:p w:rsidR="003F0D15" w:rsidRPr="003F0D15" w:rsidRDefault="003F0D15" w:rsidP="003F0D15">
            <w:pPr>
              <w:jc w:val="right"/>
              <w:rPr>
                <w:rFonts w:ascii="Times New Roman CE" w:hAnsi="Times New Roman CE" w:cs="Times New Roman CE"/>
                <w:sz w:val="21"/>
                <w:szCs w:val="21"/>
              </w:rPr>
            </w:pPr>
            <w:r w:rsidRPr="003F0D15">
              <w:rPr>
                <w:rFonts w:ascii="Times New Roman CE" w:hAnsi="Times New Roman CE" w:cs="Times New Roman CE"/>
                <w:sz w:val="21"/>
                <w:szCs w:val="21"/>
              </w:rPr>
              <w:t>47 932</w:t>
            </w:r>
          </w:p>
        </w:tc>
        <w:tc>
          <w:tcPr>
            <w:tcW w:w="574" w:type="pct"/>
            <w:gridSpan w:val="4"/>
            <w:tcBorders>
              <w:top w:val="nil"/>
              <w:left w:val="nil"/>
              <w:bottom w:val="nil"/>
              <w:right w:val="nil"/>
            </w:tcBorders>
            <w:shd w:val="clear" w:color="auto" w:fill="auto"/>
            <w:noWrap/>
            <w:vAlign w:val="bottom"/>
            <w:hideMark/>
          </w:tcPr>
          <w:p w:rsidR="003F0D15" w:rsidRPr="003F0D15" w:rsidRDefault="003F0D15" w:rsidP="003F0D15">
            <w:pPr>
              <w:jc w:val="right"/>
              <w:rPr>
                <w:rFonts w:ascii="Times New Roman CE" w:hAnsi="Times New Roman CE" w:cs="Times New Roman CE"/>
                <w:sz w:val="21"/>
                <w:szCs w:val="21"/>
              </w:rPr>
            </w:pPr>
            <w:r w:rsidRPr="003F0D15">
              <w:rPr>
                <w:rFonts w:ascii="Times New Roman CE" w:hAnsi="Times New Roman CE" w:cs="Times New Roman CE"/>
                <w:sz w:val="21"/>
                <w:szCs w:val="21"/>
              </w:rPr>
              <w:t>21 624</w:t>
            </w:r>
          </w:p>
        </w:tc>
        <w:tc>
          <w:tcPr>
            <w:tcW w:w="594" w:type="pct"/>
            <w:gridSpan w:val="3"/>
            <w:tcBorders>
              <w:top w:val="nil"/>
              <w:left w:val="nil"/>
              <w:bottom w:val="nil"/>
              <w:right w:val="nil"/>
            </w:tcBorders>
            <w:shd w:val="clear" w:color="auto" w:fill="auto"/>
            <w:noWrap/>
            <w:vAlign w:val="bottom"/>
            <w:hideMark/>
          </w:tcPr>
          <w:p w:rsidR="003F0D15" w:rsidRPr="003F0D15" w:rsidRDefault="003F0D15" w:rsidP="003F0D15">
            <w:pPr>
              <w:jc w:val="right"/>
              <w:rPr>
                <w:rFonts w:ascii="Times New Roman CE" w:hAnsi="Times New Roman CE" w:cs="Times New Roman CE"/>
                <w:sz w:val="21"/>
                <w:szCs w:val="21"/>
              </w:rPr>
            </w:pPr>
            <w:r w:rsidRPr="003F0D15">
              <w:rPr>
                <w:rFonts w:ascii="Times New Roman CE" w:hAnsi="Times New Roman CE" w:cs="Times New Roman CE"/>
                <w:sz w:val="21"/>
                <w:szCs w:val="21"/>
              </w:rPr>
              <w:t>25 706</w:t>
            </w:r>
          </w:p>
        </w:tc>
        <w:tc>
          <w:tcPr>
            <w:tcW w:w="526" w:type="pct"/>
            <w:gridSpan w:val="3"/>
            <w:tcBorders>
              <w:top w:val="nil"/>
              <w:left w:val="nil"/>
              <w:bottom w:val="nil"/>
              <w:right w:val="nil"/>
            </w:tcBorders>
            <w:shd w:val="clear" w:color="auto" w:fill="auto"/>
            <w:noWrap/>
            <w:vAlign w:val="bottom"/>
            <w:hideMark/>
          </w:tcPr>
          <w:p w:rsidR="003F0D15" w:rsidRPr="003F0D15" w:rsidRDefault="003F0D15" w:rsidP="003F0D15">
            <w:pPr>
              <w:jc w:val="right"/>
              <w:rPr>
                <w:rFonts w:ascii="Times New Roman CE" w:hAnsi="Times New Roman CE" w:cs="Times New Roman CE"/>
                <w:sz w:val="21"/>
                <w:szCs w:val="21"/>
              </w:rPr>
            </w:pPr>
            <w:r w:rsidRPr="003F0D15">
              <w:rPr>
                <w:rFonts w:ascii="Times New Roman CE" w:hAnsi="Times New Roman CE" w:cs="Times New Roman CE"/>
                <w:sz w:val="21"/>
                <w:szCs w:val="21"/>
              </w:rPr>
              <w:t>55 447</w:t>
            </w:r>
          </w:p>
        </w:tc>
        <w:tc>
          <w:tcPr>
            <w:tcW w:w="415" w:type="pct"/>
            <w:gridSpan w:val="4"/>
            <w:tcBorders>
              <w:top w:val="nil"/>
              <w:left w:val="nil"/>
              <w:bottom w:val="nil"/>
              <w:right w:val="nil"/>
            </w:tcBorders>
            <w:shd w:val="clear" w:color="auto" w:fill="auto"/>
            <w:noWrap/>
            <w:vAlign w:val="bottom"/>
            <w:hideMark/>
          </w:tcPr>
          <w:p w:rsidR="003F0D15" w:rsidRPr="003F0D15" w:rsidRDefault="003F0D15" w:rsidP="003F0D15">
            <w:pPr>
              <w:jc w:val="right"/>
              <w:rPr>
                <w:rFonts w:ascii="Times New Roman CE" w:hAnsi="Times New Roman CE" w:cs="Times New Roman CE"/>
                <w:sz w:val="21"/>
                <w:szCs w:val="21"/>
              </w:rPr>
            </w:pPr>
            <w:r w:rsidRPr="003F0D15">
              <w:rPr>
                <w:rFonts w:ascii="Times New Roman CE" w:hAnsi="Times New Roman CE" w:cs="Times New Roman CE"/>
                <w:sz w:val="21"/>
                <w:szCs w:val="21"/>
              </w:rPr>
              <w:t>29 741</w:t>
            </w:r>
          </w:p>
        </w:tc>
        <w:tc>
          <w:tcPr>
            <w:tcW w:w="402" w:type="pct"/>
            <w:gridSpan w:val="5"/>
            <w:tcBorders>
              <w:top w:val="nil"/>
              <w:left w:val="nil"/>
              <w:bottom w:val="nil"/>
              <w:right w:val="nil"/>
            </w:tcBorders>
            <w:shd w:val="clear" w:color="auto" w:fill="auto"/>
            <w:noWrap/>
            <w:vAlign w:val="bottom"/>
            <w:hideMark/>
          </w:tcPr>
          <w:p w:rsidR="003F0D15" w:rsidRPr="003F0D15" w:rsidRDefault="003F0D15" w:rsidP="003F0D15">
            <w:pPr>
              <w:jc w:val="center"/>
              <w:rPr>
                <w:rFonts w:ascii="Times New Roman CE" w:hAnsi="Times New Roman CE" w:cs="Times New Roman CE"/>
                <w:sz w:val="21"/>
                <w:szCs w:val="21"/>
              </w:rPr>
            </w:pPr>
            <w:r w:rsidRPr="003F0D15">
              <w:rPr>
                <w:rFonts w:ascii="Times New Roman CE" w:hAnsi="Times New Roman CE" w:cs="Times New Roman CE"/>
                <w:sz w:val="21"/>
                <w:szCs w:val="21"/>
              </w:rPr>
              <w:t>215,7%</w:t>
            </w:r>
          </w:p>
        </w:tc>
      </w:tr>
      <w:tr w:rsidR="008B2EB2" w:rsidRPr="003F0D15" w:rsidTr="008B2EB2">
        <w:trPr>
          <w:gridAfter w:val="1"/>
          <w:wAfter w:w="168" w:type="pct"/>
          <w:trHeight w:val="270"/>
        </w:trPr>
        <w:tc>
          <w:tcPr>
            <w:tcW w:w="736" w:type="pct"/>
            <w:gridSpan w:val="2"/>
            <w:tcBorders>
              <w:top w:val="nil"/>
              <w:left w:val="nil"/>
              <w:bottom w:val="nil"/>
              <w:right w:val="nil"/>
            </w:tcBorders>
            <w:shd w:val="clear" w:color="auto" w:fill="auto"/>
            <w:noWrap/>
            <w:vAlign w:val="bottom"/>
            <w:hideMark/>
          </w:tcPr>
          <w:p w:rsidR="003F0D15" w:rsidRPr="003F0D15" w:rsidRDefault="003F0D15" w:rsidP="003F0D15">
            <w:pPr>
              <w:jc w:val="left"/>
              <w:rPr>
                <w:rFonts w:ascii="Times New Roman CE" w:hAnsi="Times New Roman CE" w:cs="Times New Roman CE"/>
                <w:sz w:val="21"/>
                <w:szCs w:val="21"/>
              </w:rPr>
            </w:pPr>
            <w:r w:rsidRPr="003F0D15">
              <w:rPr>
                <w:rFonts w:ascii="Times New Roman CE" w:hAnsi="Times New Roman CE" w:cs="Times New Roman CE"/>
                <w:sz w:val="21"/>
                <w:szCs w:val="21"/>
              </w:rPr>
              <w:t>31-90nap</w:t>
            </w:r>
          </w:p>
        </w:tc>
        <w:tc>
          <w:tcPr>
            <w:tcW w:w="469" w:type="pct"/>
            <w:tcBorders>
              <w:top w:val="nil"/>
              <w:left w:val="nil"/>
              <w:bottom w:val="nil"/>
              <w:right w:val="nil"/>
            </w:tcBorders>
            <w:shd w:val="clear" w:color="auto" w:fill="auto"/>
            <w:noWrap/>
            <w:vAlign w:val="bottom"/>
            <w:hideMark/>
          </w:tcPr>
          <w:p w:rsidR="003F0D15" w:rsidRPr="003F0D15" w:rsidRDefault="003F0D15" w:rsidP="003F0D15">
            <w:pPr>
              <w:jc w:val="right"/>
              <w:rPr>
                <w:rFonts w:ascii="Times New Roman CE" w:hAnsi="Times New Roman CE" w:cs="Times New Roman CE"/>
                <w:sz w:val="21"/>
                <w:szCs w:val="21"/>
              </w:rPr>
            </w:pPr>
            <w:r w:rsidRPr="003F0D15">
              <w:rPr>
                <w:rFonts w:ascii="Times New Roman CE" w:hAnsi="Times New Roman CE" w:cs="Times New Roman CE"/>
                <w:sz w:val="21"/>
                <w:szCs w:val="21"/>
              </w:rPr>
              <w:t>17 858</w:t>
            </w:r>
          </w:p>
        </w:tc>
        <w:tc>
          <w:tcPr>
            <w:tcW w:w="538" w:type="pct"/>
            <w:gridSpan w:val="4"/>
            <w:tcBorders>
              <w:top w:val="nil"/>
              <w:left w:val="nil"/>
              <w:bottom w:val="nil"/>
              <w:right w:val="nil"/>
            </w:tcBorders>
            <w:shd w:val="clear" w:color="auto" w:fill="auto"/>
            <w:noWrap/>
            <w:vAlign w:val="bottom"/>
            <w:hideMark/>
          </w:tcPr>
          <w:p w:rsidR="003F0D15" w:rsidRPr="003F0D15" w:rsidRDefault="003F0D15" w:rsidP="003F0D15">
            <w:pPr>
              <w:jc w:val="right"/>
              <w:rPr>
                <w:rFonts w:ascii="Times New Roman CE" w:hAnsi="Times New Roman CE" w:cs="Times New Roman CE"/>
                <w:sz w:val="21"/>
                <w:szCs w:val="21"/>
              </w:rPr>
            </w:pPr>
            <w:r w:rsidRPr="003F0D15">
              <w:rPr>
                <w:rFonts w:ascii="Times New Roman CE" w:hAnsi="Times New Roman CE" w:cs="Times New Roman CE"/>
                <w:sz w:val="21"/>
                <w:szCs w:val="21"/>
              </w:rPr>
              <w:t>17 562</w:t>
            </w:r>
          </w:p>
        </w:tc>
        <w:tc>
          <w:tcPr>
            <w:tcW w:w="576" w:type="pct"/>
            <w:gridSpan w:val="4"/>
            <w:tcBorders>
              <w:top w:val="nil"/>
              <w:left w:val="nil"/>
              <w:bottom w:val="nil"/>
              <w:right w:val="nil"/>
            </w:tcBorders>
            <w:shd w:val="clear" w:color="auto" w:fill="auto"/>
            <w:noWrap/>
            <w:vAlign w:val="bottom"/>
            <w:hideMark/>
          </w:tcPr>
          <w:p w:rsidR="003F0D15" w:rsidRPr="003F0D15" w:rsidRDefault="003F0D15" w:rsidP="003F0D15">
            <w:pPr>
              <w:jc w:val="right"/>
              <w:rPr>
                <w:rFonts w:ascii="Times New Roman CE" w:hAnsi="Times New Roman CE" w:cs="Times New Roman CE"/>
                <w:sz w:val="21"/>
                <w:szCs w:val="21"/>
              </w:rPr>
            </w:pPr>
            <w:r w:rsidRPr="003F0D15">
              <w:rPr>
                <w:rFonts w:ascii="Times New Roman CE" w:hAnsi="Times New Roman CE" w:cs="Times New Roman CE"/>
                <w:sz w:val="21"/>
                <w:szCs w:val="21"/>
              </w:rPr>
              <w:t>8 199</w:t>
            </w:r>
          </w:p>
        </w:tc>
        <w:tc>
          <w:tcPr>
            <w:tcW w:w="574" w:type="pct"/>
            <w:gridSpan w:val="4"/>
            <w:tcBorders>
              <w:top w:val="nil"/>
              <w:left w:val="nil"/>
              <w:bottom w:val="nil"/>
              <w:right w:val="nil"/>
            </w:tcBorders>
            <w:shd w:val="clear" w:color="auto" w:fill="auto"/>
            <w:noWrap/>
            <w:vAlign w:val="bottom"/>
            <w:hideMark/>
          </w:tcPr>
          <w:p w:rsidR="003F0D15" w:rsidRPr="003F0D15" w:rsidRDefault="003F0D15" w:rsidP="003F0D15">
            <w:pPr>
              <w:jc w:val="right"/>
              <w:rPr>
                <w:rFonts w:ascii="Times New Roman CE" w:hAnsi="Times New Roman CE" w:cs="Times New Roman CE"/>
                <w:sz w:val="21"/>
                <w:szCs w:val="21"/>
              </w:rPr>
            </w:pPr>
            <w:r w:rsidRPr="003F0D15">
              <w:rPr>
                <w:rFonts w:ascii="Times New Roman CE" w:hAnsi="Times New Roman CE" w:cs="Times New Roman CE"/>
                <w:sz w:val="21"/>
                <w:szCs w:val="21"/>
              </w:rPr>
              <w:t>14 710</w:t>
            </w:r>
          </w:p>
        </w:tc>
        <w:tc>
          <w:tcPr>
            <w:tcW w:w="594" w:type="pct"/>
            <w:gridSpan w:val="3"/>
            <w:tcBorders>
              <w:top w:val="nil"/>
              <w:left w:val="nil"/>
              <w:bottom w:val="nil"/>
              <w:right w:val="nil"/>
            </w:tcBorders>
            <w:shd w:val="clear" w:color="auto" w:fill="auto"/>
            <w:noWrap/>
            <w:vAlign w:val="bottom"/>
            <w:hideMark/>
          </w:tcPr>
          <w:p w:rsidR="003F0D15" w:rsidRPr="003F0D15" w:rsidRDefault="003F0D15" w:rsidP="003F0D15">
            <w:pPr>
              <w:jc w:val="right"/>
              <w:rPr>
                <w:rFonts w:ascii="Times New Roman CE" w:hAnsi="Times New Roman CE" w:cs="Times New Roman CE"/>
                <w:sz w:val="21"/>
                <w:szCs w:val="21"/>
              </w:rPr>
            </w:pPr>
            <w:r w:rsidRPr="003F0D15">
              <w:rPr>
                <w:rFonts w:ascii="Times New Roman CE" w:hAnsi="Times New Roman CE" w:cs="Times New Roman CE"/>
                <w:sz w:val="21"/>
                <w:szCs w:val="21"/>
              </w:rPr>
              <w:t>9 659</w:t>
            </w:r>
          </w:p>
        </w:tc>
        <w:tc>
          <w:tcPr>
            <w:tcW w:w="526" w:type="pct"/>
            <w:gridSpan w:val="3"/>
            <w:tcBorders>
              <w:top w:val="nil"/>
              <w:left w:val="nil"/>
              <w:bottom w:val="nil"/>
              <w:right w:val="nil"/>
            </w:tcBorders>
            <w:shd w:val="clear" w:color="auto" w:fill="auto"/>
            <w:noWrap/>
            <w:vAlign w:val="bottom"/>
            <w:hideMark/>
          </w:tcPr>
          <w:p w:rsidR="003F0D15" w:rsidRPr="003F0D15" w:rsidRDefault="003F0D15" w:rsidP="003F0D15">
            <w:pPr>
              <w:jc w:val="right"/>
              <w:rPr>
                <w:rFonts w:ascii="Times New Roman CE" w:hAnsi="Times New Roman CE" w:cs="Times New Roman CE"/>
                <w:sz w:val="21"/>
                <w:szCs w:val="21"/>
              </w:rPr>
            </w:pPr>
            <w:r w:rsidRPr="003F0D15">
              <w:rPr>
                <w:rFonts w:ascii="Times New Roman CE" w:hAnsi="Times New Roman CE" w:cs="Times New Roman CE"/>
                <w:sz w:val="21"/>
                <w:szCs w:val="21"/>
              </w:rPr>
              <w:t>2 852</w:t>
            </w:r>
          </w:p>
        </w:tc>
        <w:tc>
          <w:tcPr>
            <w:tcW w:w="415" w:type="pct"/>
            <w:gridSpan w:val="4"/>
            <w:tcBorders>
              <w:top w:val="nil"/>
              <w:left w:val="nil"/>
              <w:bottom w:val="nil"/>
              <w:right w:val="nil"/>
            </w:tcBorders>
            <w:shd w:val="clear" w:color="auto" w:fill="auto"/>
            <w:noWrap/>
            <w:vAlign w:val="bottom"/>
            <w:hideMark/>
          </w:tcPr>
          <w:p w:rsidR="003F0D15" w:rsidRPr="003F0D15" w:rsidRDefault="003F0D15" w:rsidP="003F0D15">
            <w:pPr>
              <w:jc w:val="right"/>
              <w:rPr>
                <w:rFonts w:ascii="Times New Roman CE" w:hAnsi="Times New Roman CE" w:cs="Times New Roman CE"/>
                <w:sz w:val="21"/>
                <w:szCs w:val="21"/>
              </w:rPr>
            </w:pPr>
            <w:r w:rsidRPr="003F0D15">
              <w:rPr>
                <w:rFonts w:ascii="Times New Roman CE" w:hAnsi="Times New Roman CE" w:cs="Times New Roman CE"/>
                <w:sz w:val="21"/>
                <w:szCs w:val="21"/>
              </w:rPr>
              <w:t>-6 807</w:t>
            </w:r>
          </w:p>
        </w:tc>
        <w:tc>
          <w:tcPr>
            <w:tcW w:w="402" w:type="pct"/>
            <w:gridSpan w:val="5"/>
            <w:tcBorders>
              <w:top w:val="nil"/>
              <w:left w:val="nil"/>
              <w:bottom w:val="nil"/>
              <w:right w:val="nil"/>
            </w:tcBorders>
            <w:shd w:val="clear" w:color="auto" w:fill="auto"/>
            <w:noWrap/>
            <w:vAlign w:val="bottom"/>
            <w:hideMark/>
          </w:tcPr>
          <w:p w:rsidR="003F0D15" w:rsidRPr="003F0D15" w:rsidRDefault="003F0D15" w:rsidP="003F0D15">
            <w:pPr>
              <w:jc w:val="center"/>
              <w:rPr>
                <w:rFonts w:ascii="Times New Roman CE" w:hAnsi="Times New Roman CE" w:cs="Times New Roman CE"/>
                <w:sz w:val="21"/>
                <w:szCs w:val="21"/>
              </w:rPr>
            </w:pPr>
            <w:r w:rsidRPr="003F0D15">
              <w:rPr>
                <w:rFonts w:ascii="Times New Roman CE" w:hAnsi="Times New Roman CE" w:cs="Times New Roman CE"/>
                <w:sz w:val="21"/>
                <w:szCs w:val="21"/>
              </w:rPr>
              <w:t>29,5%</w:t>
            </w:r>
          </w:p>
        </w:tc>
      </w:tr>
      <w:tr w:rsidR="008B2EB2" w:rsidRPr="003F0D15" w:rsidTr="008B2EB2">
        <w:trPr>
          <w:gridAfter w:val="1"/>
          <w:wAfter w:w="168" w:type="pct"/>
          <w:trHeight w:val="270"/>
        </w:trPr>
        <w:tc>
          <w:tcPr>
            <w:tcW w:w="736" w:type="pct"/>
            <w:gridSpan w:val="2"/>
            <w:tcBorders>
              <w:top w:val="nil"/>
              <w:left w:val="nil"/>
              <w:bottom w:val="nil"/>
              <w:right w:val="nil"/>
            </w:tcBorders>
            <w:shd w:val="clear" w:color="auto" w:fill="auto"/>
            <w:noWrap/>
            <w:vAlign w:val="bottom"/>
            <w:hideMark/>
          </w:tcPr>
          <w:p w:rsidR="003F0D15" w:rsidRPr="003F0D15" w:rsidRDefault="003F0D15" w:rsidP="003F0D15">
            <w:pPr>
              <w:jc w:val="left"/>
              <w:rPr>
                <w:rFonts w:ascii="Times New Roman CE" w:hAnsi="Times New Roman CE" w:cs="Times New Roman CE"/>
                <w:sz w:val="21"/>
                <w:szCs w:val="21"/>
              </w:rPr>
            </w:pPr>
            <w:r w:rsidRPr="003F0D15">
              <w:rPr>
                <w:rFonts w:ascii="Times New Roman CE" w:hAnsi="Times New Roman CE" w:cs="Times New Roman CE"/>
                <w:sz w:val="21"/>
                <w:szCs w:val="21"/>
              </w:rPr>
              <w:t>91-180 nap</w:t>
            </w:r>
          </w:p>
        </w:tc>
        <w:tc>
          <w:tcPr>
            <w:tcW w:w="469" w:type="pct"/>
            <w:tcBorders>
              <w:top w:val="nil"/>
              <w:left w:val="nil"/>
              <w:bottom w:val="nil"/>
              <w:right w:val="nil"/>
            </w:tcBorders>
            <w:shd w:val="clear" w:color="auto" w:fill="auto"/>
            <w:noWrap/>
            <w:vAlign w:val="bottom"/>
            <w:hideMark/>
          </w:tcPr>
          <w:p w:rsidR="003F0D15" w:rsidRPr="003F0D15" w:rsidRDefault="003F0D15" w:rsidP="003F0D15">
            <w:pPr>
              <w:jc w:val="right"/>
              <w:rPr>
                <w:rFonts w:ascii="Times New Roman CE" w:hAnsi="Times New Roman CE" w:cs="Times New Roman CE"/>
                <w:sz w:val="21"/>
                <w:szCs w:val="21"/>
              </w:rPr>
            </w:pPr>
            <w:r w:rsidRPr="003F0D15">
              <w:rPr>
                <w:rFonts w:ascii="Times New Roman CE" w:hAnsi="Times New Roman CE" w:cs="Times New Roman CE"/>
                <w:sz w:val="21"/>
                <w:szCs w:val="21"/>
              </w:rPr>
              <w:t>6 997</w:t>
            </w:r>
          </w:p>
        </w:tc>
        <w:tc>
          <w:tcPr>
            <w:tcW w:w="538" w:type="pct"/>
            <w:gridSpan w:val="4"/>
            <w:tcBorders>
              <w:top w:val="nil"/>
              <w:left w:val="nil"/>
              <w:bottom w:val="nil"/>
              <w:right w:val="nil"/>
            </w:tcBorders>
            <w:shd w:val="clear" w:color="auto" w:fill="auto"/>
            <w:noWrap/>
            <w:vAlign w:val="bottom"/>
            <w:hideMark/>
          </w:tcPr>
          <w:p w:rsidR="003F0D15" w:rsidRPr="003F0D15" w:rsidRDefault="003F0D15" w:rsidP="003F0D15">
            <w:pPr>
              <w:jc w:val="right"/>
              <w:rPr>
                <w:rFonts w:ascii="Times New Roman CE" w:hAnsi="Times New Roman CE" w:cs="Times New Roman CE"/>
                <w:sz w:val="21"/>
                <w:szCs w:val="21"/>
              </w:rPr>
            </w:pPr>
            <w:r w:rsidRPr="003F0D15">
              <w:rPr>
                <w:rFonts w:ascii="Times New Roman CE" w:hAnsi="Times New Roman CE" w:cs="Times New Roman CE"/>
                <w:sz w:val="21"/>
                <w:szCs w:val="21"/>
              </w:rPr>
              <w:t>8 069</w:t>
            </w:r>
          </w:p>
        </w:tc>
        <w:tc>
          <w:tcPr>
            <w:tcW w:w="576" w:type="pct"/>
            <w:gridSpan w:val="4"/>
            <w:tcBorders>
              <w:top w:val="nil"/>
              <w:left w:val="nil"/>
              <w:bottom w:val="nil"/>
              <w:right w:val="nil"/>
            </w:tcBorders>
            <w:shd w:val="clear" w:color="auto" w:fill="auto"/>
            <w:noWrap/>
            <w:vAlign w:val="bottom"/>
            <w:hideMark/>
          </w:tcPr>
          <w:p w:rsidR="003F0D15" w:rsidRPr="003F0D15" w:rsidRDefault="003F0D15" w:rsidP="003F0D15">
            <w:pPr>
              <w:jc w:val="right"/>
              <w:rPr>
                <w:rFonts w:ascii="Times New Roman CE" w:hAnsi="Times New Roman CE" w:cs="Times New Roman CE"/>
                <w:sz w:val="21"/>
                <w:szCs w:val="21"/>
              </w:rPr>
            </w:pPr>
            <w:r w:rsidRPr="003F0D15">
              <w:rPr>
                <w:rFonts w:ascii="Times New Roman CE" w:hAnsi="Times New Roman CE" w:cs="Times New Roman CE"/>
                <w:sz w:val="21"/>
                <w:szCs w:val="21"/>
              </w:rPr>
              <w:t>1 186</w:t>
            </w:r>
          </w:p>
        </w:tc>
        <w:tc>
          <w:tcPr>
            <w:tcW w:w="574" w:type="pct"/>
            <w:gridSpan w:val="4"/>
            <w:tcBorders>
              <w:top w:val="nil"/>
              <w:left w:val="nil"/>
              <w:bottom w:val="nil"/>
              <w:right w:val="nil"/>
            </w:tcBorders>
            <w:shd w:val="clear" w:color="auto" w:fill="auto"/>
            <w:noWrap/>
            <w:vAlign w:val="bottom"/>
            <w:hideMark/>
          </w:tcPr>
          <w:p w:rsidR="003F0D15" w:rsidRPr="003F0D15" w:rsidRDefault="003F0D15" w:rsidP="003F0D15">
            <w:pPr>
              <w:jc w:val="right"/>
              <w:rPr>
                <w:rFonts w:ascii="Times New Roman CE" w:hAnsi="Times New Roman CE" w:cs="Times New Roman CE"/>
                <w:sz w:val="21"/>
                <w:szCs w:val="21"/>
              </w:rPr>
            </w:pPr>
            <w:r w:rsidRPr="003F0D15">
              <w:rPr>
                <w:rFonts w:ascii="Times New Roman CE" w:hAnsi="Times New Roman CE" w:cs="Times New Roman CE"/>
                <w:sz w:val="21"/>
                <w:szCs w:val="21"/>
              </w:rPr>
              <w:t>1 684</w:t>
            </w:r>
          </w:p>
        </w:tc>
        <w:tc>
          <w:tcPr>
            <w:tcW w:w="594" w:type="pct"/>
            <w:gridSpan w:val="3"/>
            <w:tcBorders>
              <w:top w:val="nil"/>
              <w:left w:val="nil"/>
              <w:bottom w:val="nil"/>
              <w:right w:val="nil"/>
            </w:tcBorders>
            <w:shd w:val="clear" w:color="auto" w:fill="auto"/>
            <w:noWrap/>
            <w:vAlign w:val="bottom"/>
            <w:hideMark/>
          </w:tcPr>
          <w:p w:rsidR="003F0D15" w:rsidRPr="003F0D15" w:rsidRDefault="003F0D15" w:rsidP="003F0D15">
            <w:pPr>
              <w:jc w:val="right"/>
              <w:rPr>
                <w:rFonts w:ascii="Times New Roman CE" w:hAnsi="Times New Roman CE" w:cs="Times New Roman CE"/>
                <w:sz w:val="21"/>
                <w:szCs w:val="21"/>
              </w:rPr>
            </w:pPr>
            <w:r w:rsidRPr="003F0D15">
              <w:rPr>
                <w:rFonts w:ascii="Times New Roman CE" w:hAnsi="Times New Roman CE" w:cs="Times New Roman CE"/>
                <w:sz w:val="21"/>
                <w:szCs w:val="21"/>
              </w:rPr>
              <w:t>5 811</w:t>
            </w:r>
          </w:p>
        </w:tc>
        <w:tc>
          <w:tcPr>
            <w:tcW w:w="526" w:type="pct"/>
            <w:gridSpan w:val="3"/>
            <w:tcBorders>
              <w:top w:val="nil"/>
              <w:left w:val="nil"/>
              <w:bottom w:val="nil"/>
              <w:right w:val="nil"/>
            </w:tcBorders>
            <w:shd w:val="clear" w:color="auto" w:fill="auto"/>
            <w:noWrap/>
            <w:vAlign w:val="bottom"/>
            <w:hideMark/>
          </w:tcPr>
          <w:p w:rsidR="003F0D15" w:rsidRPr="003F0D15" w:rsidRDefault="003F0D15" w:rsidP="003F0D15">
            <w:pPr>
              <w:jc w:val="right"/>
              <w:rPr>
                <w:rFonts w:ascii="Times New Roman CE" w:hAnsi="Times New Roman CE" w:cs="Times New Roman CE"/>
                <w:sz w:val="21"/>
                <w:szCs w:val="21"/>
              </w:rPr>
            </w:pPr>
            <w:r w:rsidRPr="003F0D15">
              <w:rPr>
                <w:rFonts w:ascii="Times New Roman CE" w:hAnsi="Times New Roman CE" w:cs="Times New Roman CE"/>
                <w:sz w:val="21"/>
                <w:szCs w:val="21"/>
              </w:rPr>
              <w:t>6 385</w:t>
            </w:r>
          </w:p>
        </w:tc>
        <w:tc>
          <w:tcPr>
            <w:tcW w:w="415" w:type="pct"/>
            <w:gridSpan w:val="4"/>
            <w:tcBorders>
              <w:top w:val="nil"/>
              <w:left w:val="nil"/>
              <w:bottom w:val="nil"/>
              <w:right w:val="nil"/>
            </w:tcBorders>
            <w:shd w:val="clear" w:color="auto" w:fill="auto"/>
            <w:noWrap/>
            <w:vAlign w:val="bottom"/>
            <w:hideMark/>
          </w:tcPr>
          <w:p w:rsidR="003F0D15" w:rsidRPr="003F0D15" w:rsidRDefault="003F0D15" w:rsidP="003F0D15">
            <w:pPr>
              <w:jc w:val="right"/>
              <w:rPr>
                <w:rFonts w:ascii="Times New Roman CE" w:hAnsi="Times New Roman CE" w:cs="Times New Roman CE"/>
                <w:sz w:val="21"/>
                <w:szCs w:val="21"/>
              </w:rPr>
            </w:pPr>
            <w:r w:rsidRPr="003F0D15">
              <w:rPr>
                <w:rFonts w:ascii="Times New Roman CE" w:hAnsi="Times New Roman CE" w:cs="Times New Roman CE"/>
                <w:sz w:val="21"/>
                <w:szCs w:val="21"/>
              </w:rPr>
              <w:t>574</w:t>
            </w:r>
          </w:p>
        </w:tc>
        <w:tc>
          <w:tcPr>
            <w:tcW w:w="402" w:type="pct"/>
            <w:gridSpan w:val="5"/>
            <w:tcBorders>
              <w:top w:val="nil"/>
              <w:left w:val="nil"/>
              <w:bottom w:val="nil"/>
              <w:right w:val="nil"/>
            </w:tcBorders>
            <w:shd w:val="clear" w:color="auto" w:fill="auto"/>
            <w:noWrap/>
            <w:vAlign w:val="bottom"/>
            <w:hideMark/>
          </w:tcPr>
          <w:p w:rsidR="003F0D15" w:rsidRPr="003F0D15" w:rsidRDefault="003F0D15" w:rsidP="003F0D15">
            <w:pPr>
              <w:jc w:val="center"/>
              <w:rPr>
                <w:rFonts w:ascii="Times New Roman CE" w:hAnsi="Times New Roman CE" w:cs="Times New Roman CE"/>
                <w:sz w:val="21"/>
                <w:szCs w:val="21"/>
              </w:rPr>
            </w:pPr>
            <w:r w:rsidRPr="003F0D15">
              <w:rPr>
                <w:rFonts w:ascii="Times New Roman CE" w:hAnsi="Times New Roman CE" w:cs="Times New Roman CE"/>
                <w:sz w:val="21"/>
                <w:szCs w:val="21"/>
              </w:rPr>
              <w:t>109,9%</w:t>
            </w:r>
          </w:p>
        </w:tc>
      </w:tr>
      <w:tr w:rsidR="008B2EB2" w:rsidRPr="003F0D15" w:rsidTr="008B2EB2">
        <w:trPr>
          <w:gridAfter w:val="1"/>
          <w:wAfter w:w="168" w:type="pct"/>
          <w:trHeight w:val="270"/>
        </w:trPr>
        <w:tc>
          <w:tcPr>
            <w:tcW w:w="736" w:type="pct"/>
            <w:gridSpan w:val="2"/>
            <w:tcBorders>
              <w:top w:val="nil"/>
              <w:left w:val="nil"/>
              <w:bottom w:val="nil"/>
              <w:right w:val="nil"/>
            </w:tcBorders>
            <w:shd w:val="clear" w:color="auto" w:fill="auto"/>
            <w:noWrap/>
            <w:vAlign w:val="bottom"/>
            <w:hideMark/>
          </w:tcPr>
          <w:p w:rsidR="003F0D15" w:rsidRPr="003F0D15" w:rsidRDefault="003F0D15" w:rsidP="003F0D15">
            <w:pPr>
              <w:jc w:val="left"/>
              <w:rPr>
                <w:rFonts w:ascii="Times New Roman CE" w:hAnsi="Times New Roman CE" w:cs="Times New Roman CE"/>
                <w:sz w:val="21"/>
                <w:szCs w:val="21"/>
              </w:rPr>
            </w:pPr>
            <w:r w:rsidRPr="003F0D15">
              <w:rPr>
                <w:rFonts w:ascii="Times New Roman CE" w:hAnsi="Times New Roman CE" w:cs="Times New Roman CE"/>
                <w:sz w:val="21"/>
                <w:szCs w:val="21"/>
              </w:rPr>
              <w:t>181-365 nap</w:t>
            </w:r>
          </w:p>
        </w:tc>
        <w:tc>
          <w:tcPr>
            <w:tcW w:w="469" w:type="pct"/>
            <w:tcBorders>
              <w:top w:val="nil"/>
              <w:left w:val="nil"/>
              <w:bottom w:val="nil"/>
              <w:right w:val="nil"/>
            </w:tcBorders>
            <w:shd w:val="clear" w:color="auto" w:fill="auto"/>
            <w:noWrap/>
            <w:vAlign w:val="bottom"/>
            <w:hideMark/>
          </w:tcPr>
          <w:p w:rsidR="003F0D15" w:rsidRPr="003F0D15" w:rsidRDefault="003F0D15" w:rsidP="003F0D15">
            <w:pPr>
              <w:jc w:val="right"/>
              <w:rPr>
                <w:rFonts w:ascii="Times New Roman CE" w:hAnsi="Times New Roman CE" w:cs="Times New Roman CE"/>
                <w:sz w:val="21"/>
                <w:szCs w:val="21"/>
              </w:rPr>
            </w:pPr>
            <w:r w:rsidRPr="003F0D15">
              <w:rPr>
                <w:rFonts w:ascii="Times New Roman CE" w:hAnsi="Times New Roman CE" w:cs="Times New Roman CE"/>
                <w:sz w:val="21"/>
                <w:szCs w:val="21"/>
              </w:rPr>
              <w:t>12 487</w:t>
            </w:r>
          </w:p>
        </w:tc>
        <w:tc>
          <w:tcPr>
            <w:tcW w:w="538" w:type="pct"/>
            <w:gridSpan w:val="4"/>
            <w:tcBorders>
              <w:top w:val="nil"/>
              <w:left w:val="nil"/>
              <w:bottom w:val="nil"/>
              <w:right w:val="nil"/>
            </w:tcBorders>
            <w:shd w:val="clear" w:color="auto" w:fill="auto"/>
            <w:noWrap/>
            <w:vAlign w:val="bottom"/>
            <w:hideMark/>
          </w:tcPr>
          <w:p w:rsidR="003F0D15" w:rsidRPr="003F0D15" w:rsidRDefault="003F0D15" w:rsidP="003F0D15">
            <w:pPr>
              <w:jc w:val="right"/>
              <w:rPr>
                <w:rFonts w:ascii="Times New Roman CE" w:hAnsi="Times New Roman CE" w:cs="Times New Roman CE"/>
                <w:sz w:val="21"/>
                <w:szCs w:val="21"/>
              </w:rPr>
            </w:pPr>
            <w:r w:rsidRPr="003F0D15">
              <w:rPr>
                <w:rFonts w:ascii="Times New Roman CE" w:hAnsi="Times New Roman CE" w:cs="Times New Roman CE"/>
                <w:sz w:val="21"/>
                <w:szCs w:val="21"/>
              </w:rPr>
              <w:t>12 922</w:t>
            </w:r>
          </w:p>
        </w:tc>
        <w:tc>
          <w:tcPr>
            <w:tcW w:w="576" w:type="pct"/>
            <w:gridSpan w:val="4"/>
            <w:tcBorders>
              <w:top w:val="nil"/>
              <w:left w:val="nil"/>
              <w:bottom w:val="nil"/>
              <w:right w:val="nil"/>
            </w:tcBorders>
            <w:shd w:val="clear" w:color="auto" w:fill="auto"/>
            <w:noWrap/>
            <w:vAlign w:val="bottom"/>
            <w:hideMark/>
          </w:tcPr>
          <w:p w:rsidR="003F0D15" w:rsidRPr="003F0D15" w:rsidRDefault="003F0D15" w:rsidP="003F0D15">
            <w:pPr>
              <w:jc w:val="right"/>
              <w:rPr>
                <w:rFonts w:ascii="Times New Roman CE" w:hAnsi="Times New Roman CE" w:cs="Times New Roman CE"/>
                <w:sz w:val="21"/>
                <w:szCs w:val="21"/>
              </w:rPr>
            </w:pPr>
            <w:r w:rsidRPr="003F0D15">
              <w:rPr>
                <w:rFonts w:ascii="Times New Roman CE" w:hAnsi="Times New Roman CE" w:cs="Times New Roman CE"/>
                <w:sz w:val="21"/>
                <w:szCs w:val="21"/>
              </w:rPr>
              <w:t>603</w:t>
            </w:r>
          </w:p>
        </w:tc>
        <w:tc>
          <w:tcPr>
            <w:tcW w:w="574" w:type="pct"/>
            <w:gridSpan w:val="4"/>
            <w:tcBorders>
              <w:top w:val="nil"/>
              <w:left w:val="nil"/>
              <w:bottom w:val="nil"/>
              <w:right w:val="nil"/>
            </w:tcBorders>
            <w:shd w:val="clear" w:color="auto" w:fill="auto"/>
            <w:noWrap/>
            <w:vAlign w:val="bottom"/>
            <w:hideMark/>
          </w:tcPr>
          <w:p w:rsidR="003F0D15" w:rsidRPr="003F0D15" w:rsidRDefault="003F0D15" w:rsidP="003F0D15">
            <w:pPr>
              <w:jc w:val="right"/>
              <w:rPr>
                <w:rFonts w:ascii="Times New Roman CE" w:hAnsi="Times New Roman CE" w:cs="Times New Roman CE"/>
                <w:sz w:val="21"/>
                <w:szCs w:val="21"/>
              </w:rPr>
            </w:pPr>
            <w:r w:rsidRPr="003F0D15">
              <w:rPr>
                <w:rFonts w:ascii="Times New Roman CE" w:hAnsi="Times New Roman CE" w:cs="Times New Roman CE"/>
                <w:sz w:val="21"/>
                <w:szCs w:val="21"/>
              </w:rPr>
              <w:t>171</w:t>
            </w:r>
          </w:p>
        </w:tc>
        <w:tc>
          <w:tcPr>
            <w:tcW w:w="594" w:type="pct"/>
            <w:gridSpan w:val="3"/>
            <w:tcBorders>
              <w:top w:val="nil"/>
              <w:left w:val="nil"/>
              <w:bottom w:val="nil"/>
              <w:right w:val="nil"/>
            </w:tcBorders>
            <w:shd w:val="clear" w:color="auto" w:fill="auto"/>
            <w:noWrap/>
            <w:vAlign w:val="bottom"/>
            <w:hideMark/>
          </w:tcPr>
          <w:p w:rsidR="003F0D15" w:rsidRPr="003F0D15" w:rsidRDefault="003F0D15" w:rsidP="003F0D15">
            <w:pPr>
              <w:jc w:val="right"/>
              <w:rPr>
                <w:rFonts w:ascii="Times New Roman CE" w:hAnsi="Times New Roman CE" w:cs="Times New Roman CE"/>
                <w:sz w:val="21"/>
                <w:szCs w:val="21"/>
              </w:rPr>
            </w:pPr>
            <w:r w:rsidRPr="003F0D15">
              <w:rPr>
                <w:rFonts w:ascii="Times New Roman CE" w:hAnsi="Times New Roman CE" w:cs="Times New Roman CE"/>
                <w:sz w:val="21"/>
                <w:szCs w:val="21"/>
              </w:rPr>
              <w:t>11 884</w:t>
            </w:r>
          </w:p>
        </w:tc>
        <w:tc>
          <w:tcPr>
            <w:tcW w:w="526" w:type="pct"/>
            <w:gridSpan w:val="3"/>
            <w:tcBorders>
              <w:top w:val="nil"/>
              <w:left w:val="nil"/>
              <w:bottom w:val="nil"/>
              <w:right w:val="nil"/>
            </w:tcBorders>
            <w:shd w:val="clear" w:color="auto" w:fill="auto"/>
            <w:noWrap/>
            <w:vAlign w:val="bottom"/>
            <w:hideMark/>
          </w:tcPr>
          <w:p w:rsidR="003F0D15" w:rsidRPr="003F0D15" w:rsidRDefault="003F0D15" w:rsidP="003F0D15">
            <w:pPr>
              <w:jc w:val="right"/>
              <w:rPr>
                <w:rFonts w:ascii="Times New Roman CE" w:hAnsi="Times New Roman CE" w:cs="Times New Roman CE"/>
                <w:sz w:val="21"/>
                <w:szCs w:val="21"/>
              </w:rPr>
            </w:pPr>
            <w:r w:rsidRPr="003F0D15">
              <w:rPr>
                <w:rFonts w:ascii="Times New Roman CE" w:hAnsi="Times New Roman CE" w:cs="Times New Roman CE"/>
                <w:sz w:val="21"/>
                <w:szCs w:val="21"/>
              </w:rPr>
              <w:t>12 751</w:t>
            </w:r>
          </w:p>
        </w:tc>
        <w:tc>
          <w:tcPr>
            <w:tcW w:w="415" w:type="pct"/>
            <w:gridSpan w:val="4"/>
            <w:tcBorders>
              <w:top w:val="nil"/>
              <w:left w:val="nil"/>
              <w:bottom w:val="nil"/>
              <w:right w:val="nil"/>
            </w:tcBorders>
            <w:shd w:val="clear" w:color="auto" w:fill="auto"/>
            <w:noWrap/>
            <w:vAlign w:val="bottom"/>
            <w:hideMark/>
          </w:tcPr>
          <w:p w:rsidR="003F0D15" w:rsidRPr="003F0D15" w:rsidRDefault="003F0D15" w:rsidP="003F0D15">
            <w:pPr>
              <w:jc w:val="right"/>
              <w:rPr>
                <w:rFonts w:ascii="Times New Roman CE" w:hAnsi="Times New Roman CE" w:cs="Times New Roman CE"/>
                <w:sz w:val="21"/>
                <w:szCs w:val="21"/>
              </w:rPr>
            </w:pPr>
            <w:r w:rsidRPr="003F0D15">
              <w:rPr>
                <w:rFonts w:ascii="Times New Roman CE" w:hAnsi="Times New Roman CE" w:cs="Times New Roman CE"/>
                <w:sz w:val="21"/>
                <w:szCs w:val="21"/>
              </w:rPr>
              <w:t>867</w:t>
            </w:r>
          </w:p>
        </w:tc>
        <w:tc>
          <w:tcPr>
            <w:tcW w:w="402" w:type="pct"/>
            <w:gridSpan w:val="5"/>
            <w:tcBorders>
              <w:top w:val="nil"/>
              <w:left w:val="nil"/>
              <w:bottom w:val="nil"/>
              <w:right w:val="nil"/>
            </w:tcBorders>
            <w:shd w:val="clear" w:color="auto" w:fill="auto"/>
            <w:noWrap/>
            <w:vAlign w:val="bottom"/>
            <w:hideMark/>
          </w:tcPr>
          <w:p w:rsidR="003F0D15" w:rsidRPr="003F0D15" w:rsidRDefault="003F0D15" w:rsidP="003F0D15">
            <w:pPr>
              <w:jc w:val="center"/>
              <w:rPr>
                <w:rFonts w:ascii="Times New Roman CE" w:hAnsi="Times New Roman CE" w:cs="Times New Roman CE"/>
                <w:sz w:val="21"/>
                <w:szCs w:val="21"/>
              </w:rPr>
            </w:pPr>
            <w:r w:rsidRPr="003F0D15">
              <w:rPr>
                <w:rFonts w:ascii="Times New Roman CE" w:hAnsi="Times New Roman CE" w:cs="Times New Roman CE"/>
                <w:sz w:val="21"/>
                <w:szCs w:val="21"/>
              </w:rPr>
              <w:t>107,3%</w:t>
            </w:r>
          </w:p>
        </w:tc>
      </w:tr>
      <w:tr w:rsidR="008B2EB2" w:rsidRPr="003F0D15" w:rsidTr="008B2EB2">
        <w:trPr>
          <w:gridAfter w:val="1"/>
          <w:wAfter w:w="168" w:type="pct"/>
          <w:trHeight w:val="270"/>
        </w:trPr>
        <w:tc>
          <w:tcPr>
            <w:tcW w:w="736" w:type="pct"/>
            <w:gridSpan w:val="2"/>
            <w:tcBorders>
              <w:top w:val="nil"/>
              <w:left w:val="nil"/>
              <w:bottom w:val="single" w:sz="4" w:space="0" w:color="auto"/>
              <w:right w:val="nil"/>
            </w:tcBorders>
            <w:shd w:val="clear" w:color="auto" w:fill="auto"/>
            <w:noWrap/>
            <w:vAlign w:val="bottom"/>
            <w:hideMark/>
          </w:tcPr>
          <w:p w:rsidR="003F0D15" w:rsidRPr="003F0D15" w:rsidRDefault="003F0D15" w:rsidP="003F0D15">
            <w:pPr>
              <w:jc w:val="left"/>
              <w:rPr>
                <w:rFonts w:ascii="Times New Roman CE" w:hAnsi="Times New Roman CE" w:cs="Times New Roman CE"/>
                <w:sz w:val="21"/>
                <w:szCs w:val="21"/>
              </w:rPr>
            </w:pPr>
            <w:r w:rsidRPr="003F0D15">
              <w:rPr>
                <w:rFonts w:ascii="Times New Roman CE" w:hAnsi="Times New Roman CE" w:cs="Times New Roman CE"/>
                <w:sz w:val="21"/>
                <w:szCs w:val="21"/>
              </w:rPr>
              <w:t>365 napon túl</w:t>
            </w:r>
          </w:p>
        </w:tc>
        <w:tc>
          <w:tcPr>
            <w:tcW w:w="469" w:type="pct"/>
            <w:tcBorders>
              <w:top w:val="nil"/>
              <w:left w:val="nil"/>
              <w:bottom w:val="single" w:sz="4" w:space="0" w:color="auto"/>
              <w:right w:val="nil"/>
            </w:tcBorders>
            <w:shd w:val="clear" w:color="auto" w:fill="auto"/>
            <w:noWrap/>
            <w:vAlign w:val="bottom"/>
            <w:hideMark/>
          </w:tcPr>
          <w:p w:rsidR="003F0D15" w:rsidRPr="003F0D15" w:rsidRDefault="003F0D15" w:rsidP="003F0D15">
            <w:pPr>
              <w:jc w:val="right"/>
              <w:rPr>
                <w:rFonts w:ascii="Times New Roman CE" w:hAnsi="Times New Roman CE" w:cs="Times New Roman CE"/>
                <w:sz w:val="21"/>
                <w:szCs w:val="21"/>
              </w:rPr>
            </w:pPr>
            <w:r w:rsidRPr="003F0D15">
              <w:rPr>
                <w:rFonts w:ascii="Times New Roman CE" w:hAnsi="Times New Roman CE" w:cs="Times New Roman CE"/>
                <w:sz w:val="21"/>
                <w:szCs w:val="21"/>
              </w:rPr>
              <w:t>79 127</w:t>
            </w:r>
          </w:p>
        </w:tc>
        <w:tc>
          <w:tcPr>
            <w:tcW w:w="538" w:type="pct"/>
            <w:gridSpan w:val="4"/>
            <w:tcBorders>
              <w:top w:val="nil"/>
              <w:left w:val="nil"/>
              <w:bottom w:val="single" w:sz="4" w:space="0" w:color="auto"/>
              <w:right w:val="nil"/>
            </w:tcBorders>
            <w:shd w:val="clear" w:color="auto" w:fill="auto"/>
            <w:noWrap/>
            <w:vAlign w:val="bottom"/>
            <w:hideMark/>
          </w:tcPr>
          <w:p w:rsidR="003F0D15" w:rsidRPr="003F0D15" w:rsidRDefault="003F0D15" w:rsidP="003F0D15">
            <w:pPr>
              <w:jc w:val="right"/>
              <w:rPr>
                <w:rFonts w:ascii="Times New Roman CE" w:hAnsi="Times New Roman CE" w:cs="Times New Roman CE"/>
                <w:sz w:val="21"/>
                <w:szCs w:val="21"/>
              </w:rPr>
            </w:pPr>
            <w:r w:rsidRPr="003F0D15">
              <w:rPr>
                <w:rFonts w:ascii="Times New Roman CE" w:hAnsi="Times New Roman CE" w:cs="Times New Roman CE"/>
                <w:sz w:val="21"/>
                <w:szCs w:val="21"/>
              </w:rPr>
              <w:t>77 584</w:t>
            </w:r>
          </w:p>
        </w:tc>
        <w:tc>
          <w:tcPr>
            <w:tcW w:w="576" w:type="pct"/>
            <w:gridSpan w:val="4"/>
            <w:tcBorders>
              <w:top w:val="nil"/>
              <w:left w:val="nil"/>
              <w:bottom w:val="single" w:sz="4" w:space="0" w:color="auto"/>
              <w:right w:val="nil"/>
            </w:tcBorders>
            <w:shd w:val="clear" w:color="auto" w:fill="auto"/>
            <w:noWrap/>
            <w:vAlign w:val="bottom"/>
            <w:hideMark/>
          </w:tcPr>
          <w:p w:rsidR="003F0D15" w:rsidRPr="003F0D15" w:rsidRDefault="003F0D15" w:rsidP="003F0D15">
            <w:pPr>
              <w:jc w:val="right"/>
              <w:rPr>
                <w:rFonts w:ascii="Times New Roman CE" w:hAnsi="Times New Roman CE" w:cs="Times New Roman CE"/>
                <w:sz w:val="21"/>
                <w:szCs w:val="21"/>
              </w:rPr>
            </w:pPr>
            <w:r w:rsidRPr="003F0D15">
              <w:rPr>
                <w:rFonts w:ascii="Times New Roman CE" w:hAnsi="Times New Roman CE" w:cs="Times New Roman CE"/>
                <w:sz w:val="21"/>
                <w:szCs w:val="21"/>
              </w:rPr>
              <w:t>2 178</w:t>
            </w:r>
          </w:p>
        </w:tc>
        <w:tc>
          <w:tcPr>
            <w:tcW w:w="574" w:type="pct"/>
            <w:gridSpan w:val="4"/>
            <w:tcBorders>
              <w:top w:val="nil"/>
              <w:left w:val="nil"/>
              <w:bottom w:val="single" w:sz="4" w:space="0" w:color="auto"/>
              <w:right w:val="nil"/>
            </w:tcBorders>
            <w:shd w:val="clear" w:color="auto" w:fill="auto"/>
            <w:noWrap/>
            <w:vAlign w:val="bottom"/>
            <w:hideMark/>
          </w:tcPr>
          <w:p w:rsidR="003F0D15" w:rsidRPr="003F0D15" w:rsidRDefault="003F0D15" w:rsidP="003F0D15">
            <w:pPr>
              <w:jc w:val="right"/>
              <w:rPr>
                <w:rFonts w:ascii="Times New Roman CE" w:hAnsi="Times New Roman CE" w:cs="Times New Roman CE"/>
                <w:sz w:val="21"/>
                <w:szCs w:val="21"/>
              </w:rPr>
            </w:pPr>
            <w:r w:rsidRPr="003F0D15">
              <w:rPr>
                <w:rFonts w:ascii="Times New Roman CE" w:hAnsi="Times New Roman CE" w:cs="Times New Roman CE"/>
                <w:sz w:val="21"/>
                <w:szCs w:val="21"/>
              </w:rPr>
              <w:t>3 104</w:t>
            </w:r>
          </w:p>
        </w:tc>
        <w:tc>
          <w:tcPr>
            <w:tcW w:w="594" w:type="pct"/>
            <w:gridSpan w:val="3"/>
            <w:tcBorders>
              <w:top w:val="nil"/>
              <w:left w:val="nil"/>
              <w:bottom w:val="single" w:sz="4" w:space="0" w:color="auto"/>
              <w:right w:val="nil"/>
            </w:tcBorders>
            <w:shd w:val="clear" w:color="auto" w:fill="auto"/>
            <w:noWrap/>
            <w:vAlign w:val="bottom"/>
            <w:hideMark/>
          </w:tcPr>
          <w:p w:rsidR="003F0D15" w:rsidRPr="003F0D15" w:rsidRDefault="003F0D15" w:rsidP="003F0D15">
            <w:pPr>
              <w:jc w:val="right"/>
              <w:rPr>
                <w:rFonts w:ascii="Times New Roman CE" w:hAnsi="Times New Roman CE" w:cs="Times New Roman CE"/>
                <w:sz w:val="21"/>
                <w:szCs w:val="21"/>
              </w:rPr>
            </w:pPr>
            <w:r w:rsidRPr="003F0D15">
              <w:rPr>
                <w:rFonts w:ascii="Times New Roman CE" w:hAnsi="Times New Roman CE" w:cs="Times New Roman CE"/>
                <w:sz w:val="21"/>
                <w:szCs w:val="21"/>
              </w:rPr>
              <w:t>76 949</w:t>
            </w:r>
          </w:p>
        </w:tc>
        <w:tc>
          <w:tcPr>
            <w:tcW w:w="526" w:type="pct"/>
            <w:gridSpan w:val="3"/>
            <w:tcBorders>
              <w:top w:val="nil"/>
              <w:left w:val="nil"/>
              <w:bottom w:val="single" w:sz="4" w:space="0" w:color="auto"/>
              <w:right w:val="nil"/>
            </w:tcBorders>
            <w:shd w:val="clear" w:color="auto" w:fill="auto"/>
            <w:noWrap/>
            <w:vAlign w:val="bottom"/>
            <w:hideMark/>
          </w:tcPr>
          <w:p w:rsidR="003F0D15" w:rsidRPr="003F0D15" w:rsidRDefault="003F0D15" w:rsidP="003F0D15">
            <w:pPr>
              <w:jc w:val="right"/>
              <w:rPr>
                <w:rFonts w:ascii="Times New Roman CE" w:hAnsi="Times New Roman CE" w:cs="Times New Roman CE"/>
                <w:sz w:val="21"/>
                <w:szCs w:val="21"/>
              </w:rPr>
            </w:pPr>
            <w:r w:rsidRPr="003F0D15">
              <w:rPr>
                <w:rFonts w:ascii="Times New Roman CE" w:hAnsi="Times New Roman CE" w:cs="Times New Roman CE"/>
                <w:sz w:val="21"/>
                <w:szCs w:val="21"/>
              </w:rPr>
              <w:t>74 480</w:t>
            </w:r>
          </w:p>
        </w:tc>
        <w:tc>
          <w:tcPr>
            <w:tcW w:w="415" w:type="pct"/>
            <w:gridSpan w:val="4"/>
            <w:tcBorders>
              <w:top w:val="nil"/>
              <w:left w:val="nil"/>
              <w:bottom w:val="single" w:sz="4" w:space="0" w:color="auto"/>
              <w:right w:val="nil"/>
            </w:tcBorders>
            <w:shd w:val="clear" w:color="auto" w:fill="auto"/>
            <w:noWrap/>
            <w:vAlign w:val="bottom"/>
            <w:hideMark/>
          </w:tcPr>
          <w:p w:rsidR="003F0D15" w:rsidRPr="003F0D15" w:rsidRDefault="003F0D15" w:rsidP="003F0D15">
            <w:pPr>
              <w:jc w:val="right"/>
              <w:rPr>
                <w:rFonts w:ascii="Times New Roman CE" w:hAnsi="Times New Roman CE" w:cs="Times New Roman CE"/>
                <w:sz w:val="21"/>
                <w:szCs w:val="21"/>
              </w:rPr>
            </w:pPr>
            <w:r w:rsidRPr="003F0D15">
              <w:rPr>
                <w:rFonts w:ascii="Times New Roman CE" w:hAnsi="Times New Roman CE" w:cs="Times New Roman CE"/>
                <w:sz w:val="21"/>
                <w:szCs w:val="21"/>
              </w:rPr>
              <w:t>-2 469</w:t>
            </w:r>
          </w:p>
        </w:tc>
        <w:tc>
          <w:tcPr>
            <w:tcW w:w="402" w:type="pct"/>
            <w:gridSpan w:val="5"/>
            <w:tcBorders>
              <w:top w:val="nil"/>
              <w:left w:val="nil"/>
              <w:bottom w:val="single" w:sz="4" w:space="0" w:color="auto"/>
              <w:right w:val="nil"/>
            </w:tcBorders>
            <w:shd w:val="clear" w:color="auto" w:fill="auto"/>
            <w:noWrap/>
            <w:vAlign w:val="bottom"/>
            <w:hideMark/>
          </w:tcPr>
          <w:p w:rsidR="003F0D15" w:rsidRPr="003F0D15" w:rsidRDefault="003F0D15" w:rsidP="003F0D15">
            <w:pPr>
              <w:jc w:val="center"/>
              <w:rPr>
                <w:rFonts w:ascii="Times New Roman CE" w:hAnsi="Times New Roman CE" w:cs="Times New Roman CE"/>
                <w:sz w:val="21"/>
                <w:szCs w:val="21"/>
              </w:rPr>
            </w:pPr>
            <w:r w:rsidRPr="003F0D15">
              <w:rPr>
                <w:rFonts w:ascii="Times New Roman CE" w:hAnsi="Times New Roman CE" w:cs="Times New Roman CE"/>
                <w:sz w:val="21"/>
                <w:szCs w:val="21"/>
              </w:rPr>
              <w:t>96,8%</w:t>
            </w:r>
          </w:p>
        </w:tc>
      </w:tr>
      <w:tr w:rsidR="008B2EB2" w:rsidRPr="003F0D15" w:rsidTr="008B2EB2">
        <w:trPr>
          <w:gridAfter w:val="1"/>
          <w:wAfter w:w="168" w:type="pct"/>
          <w:trHeight w:val="270"/>
        </w:trPr>
        <w:tc>
          <w:tcPr>
            <w:tcW w:w="736" w:type="pct"/>
            <w:gridSpan w:val="2"/>
            <w:tcBorders>
              <w:top w:val="nil"/>
              <w:left w:val="nil"/>
              <w:bottom w:val="nil"/>
              <w:right w:val="nil"/>
            </w:tcBorders>
            <w:shd w:val="clear" w:color="auto" w:fill="auto"/>
            <w:noWrap/>
            <w:vAlign w:val="bottom"/>
            <w:hideMark/>
          </w:tcPr>
          <w:p w:rsidR="003F0D15" w:rsidRPr="003F0D15" w:rsidRDefault="003F0D15" w:rsidP="003F0D15">
            <w:pPr>
              <w:jc w:val="left"/>
              <w:rPr>
                <w:rFonts w:ascii="Times New Roman CE" w:hAnsi="Times New Roman CE" w:cs="Times New Roman CE"/>
                <w:i/>
                <w:iCs/>
                <w:sz w:val="21"/>
                <w:szCs w:val="21"/>
              </w:rPr>
            </w:pPr>
            <w:r w:rsidRPr="003F0D15">
              <w:rPr>
                <w:rFonts w:ascii="Times New Roman CE" w:hAnsi="Times New Roman CE" w:cs="Times New Roman CE"/>
                <w:i/>
                <w:iCs/>
                <w:sz w:val="21"/>
                <w:szCs w:val="21"/>
              </w:rPr>
              <w:t>Lejárt köv. össz.</w:t>
            </w:r>
          </w:p>
        </w:tc>
        <w:tc>
          <w:tcPr>
            <w:tcW w:w="469" w:type="pct"/>
            <w:tcBorders>
              <w:top w:val="nil"/>
              <w:left w:val="nil"/>
              <w:bottom w:val="nil"/>
              <w:right w:val="nil"/>
            </w:tcBorders>
            <w:shd w:val="clear" w:color="auto" w:fill="auto"/>
            <w:noWrap/>
            <w:vAlign w:val="bottom"/>
            <w:hideMark/>
          </w:tcPr>
          <w:p w:rsidR="003F0D15" w:rsidRPr="003F0D15" w:rsidRDefault="003F0D15" w:rsidP="003F0D15">
            <w:pPr>
              <w:jc w:val="right"/>
              <w:rPr>
                <w:rFonts w:ascii="Times New Roman CE" w:hAnsi="Times New Roman CE" w:cs="Times New Roman CE"/>
                <w:i/>
                <w:iCs/>
                <w:sz w:val="21"/>
                <w:szCs w:val="21"/>
              </w:rPr>
            </w:pPr>
            <w:r w:rsidRPr="003F0D15">
              <w:rPr>
                <w:rFonts w:ascii="Times New Roman CE" w:hAnsi="Times New Roman CE" w:cs="Times New Roman CE"/>
                <w:i/>
                <w:iCs/>
                <w:sz w:val="21"/>
                <w:szCs w:val="21"/>
              </w:rPr>
              <w:t>190 107</w:t>
            </w:r>
          </w:p>
        </w:tc>
        <w:tc>
          <w:tcPr>
            <w:tcW w:w="538" w:type="pct"/>
            <w:gridSpan w:val="4"/>
            <w:tcBorders>
              <w:top w:val="nil"/>
              <w:left w:val="nil"/>
              <w:bottom w:val="nil"/>
              <w:right w:val="nil"/>
            </w:tcBorders>
            <w:shd w:val="clear" w:color="auto" w:fill="auto"/>
            <w:noWrap/>
            <w:vAlign w:val="bottom"/>
            <w:hideMark/>
          </w:tcPr>
          <w:p w:rsidR="003F0D15" w:rsidRPr="003F0D15" w:rsidRDefault="003F0D15" w:rsidP="003F0D15">
            <w:pPr>
              <w:jc w:val="right"/>
              <w:rPr>
                <w:rFonts w:ascii="Times New Roman CE" w:hAnsi="Times New Roman CE" w:cs="Times New Roman CE"/>
                <w:i/>
                <w:iCs/>
                <w:sz w:val="21"/>
                <w:szCs w:val="21"/>
              </w:rPr>
            </w:pPr>
            <w:r w:rsidRPr="003F0D15">
              <w:rPr>
                <w:rFonts w:ascii="Times New Roman CE" w:hAnsi="Times New Roman CE" w:cs="Times New Roman CE"/>
                <w:i/>
                <w:iCs/>
                <w:sz w:val="21"/>
                <w:szCs w:val="21"/>
              </w:rPr>
              <w:t>193 208</w:t>
            </w:r>
          </w:p>
        </w:tc>
        <w:tc>
          <w:tcPr>
            <w:tcW w:w="576" w:type="pct"/>
            <w:gridSpan w:val="4"/>
            <w:tcBorders>
              <w:top w:val="nil"/>
              <w:left w:val="nil"/>
              <w:bottom w:val="nil"/>
              <w:right w:val="nil"/>
            </w:tcBorders>
            <w:shd w:val="clear" w:color="auto" w:fill="auto"/>
            <w:noWrap/>
            <w:vAlign w:val="bottom"/>
            <w:hideMark/>
          </w:tcPr>
          <w:p w:rsidR="003F0D15" w:rsidRPr="003F0D15" w:rsidRDefault="003F0D15" w:rsidP="003F0D15">
            <w:pPr>
              <w:jc w:val="right"/>
              <w:rPr>
                <w:rFonts w:ascii="Times New Roman CE" w:hAnsi="Times New Roman CE" w:cs="Times New Roman CE"/>
                <w:i/>
                <w:iCs/>
                <w:sz w:val="21"/>
                <w:szCs w:val="21"/>
              </w:rPr>
            </w:pPr>
            <w:r w:rsidRPr="003F0D15">
              <w:rPr>
                <w:rFonts w:ascii="Times New Roman CE" w:hAnsi="Times New Roman CE" w:cs="Times New Roman CE"/>
                <w:i/>
                <w:iCs/>
                <w:sz w:val="21"/>
                <w:szCs w:val="21"/>
              </w:rPr>
              <w:t>60 098</w:t>
            </w:r>
          </w:p>
        </w:tc>
        <w:tc>
          <w:tcPr>
            <w:tcW w:w="574" w:type="pct"/>
            <w:gridSpan w:val="4"/>
            <w:tcBorders>
              <w:top w:val="nil"/>
              <w:left w:val="nil"/>
              <w:bottom w:val="nil"/>
              <w:right w:val="nil"/>
            </w:tcBorders>
            <w:shd w:val="clear" w:color="auto" w:fill="auto"/>
            <w:noWrap/>
            <w:vAlign w:val="bottom"/>
            <w:hideMark/>
          </w:tcPr>
          <w:p w:rsidR="003F0D15" w:rsidRPr="003F0D15" w:rsidRDefault="003F0D15" w:rsidP="003F0D15">
            <w:pPr>
              <w:jc w:val="right"/>
              <w:rPr>
                <w:rFonts w:ascii="Times New Roman CE" w:hAnsi="Times New Roman CE" w:cs="Times New Roman CE"/>
                <w:i/>
                <w:iCs/>
                <w:sz w:val="21"/>
                <w:szCs w:val="21"/>
              </w:rPr>
            </w:pPr>
            <w:r w:rsidRPr="003F0D15">
              <w:rPr>
                <w:rFonts w:ascii="Times New Roman CE" w:hAnsi="Times New Roman CE" w:cs="Times New Roman CE"/>
                <w:i/>
                <w:iCs/>
                <w:sz w:val="21"/>
                <w:szCs w:val="21"/>
              </w:rPr>
              <w:t>41 293</w:t>
            </w:r>
          </w:p>
        </w:tc>
        <w:tc>
          <w:tcPr>
            <w:tcW w:w="594" w:type="pct"/>
            <w:gridSpan w:val="3"/>
            <w:tcBorders>
              <w:top w:val="nil"/>
              <w:left w:val="nil"/>
              <w:bottom w:val="nil"/>
              <w:right w:val="nil"/>
            </w:tcBorders>
            <w:shd w:val="clear" w:color="auto" w:fill="auto"/>
            <w:noWrap/>
            <w:vAlign w:val="bottom"/>
            <w:hideMark/>
          </w:tcPr>
          <w:p w:rsidR="003F0D15" w:rsidRPr="003F0D15" w:rsidRDefault="003F0D15" w:rsidP="003F0D15">
            <w:pPr>
              <w:jc w:val="right"/>
              <w:rPr>
                <w:rFonts w:ascii="Times New Roman CE" w:hAnsi="Times New Roman CE" w:cs="Times New Roman CE"/>
                <w:i/>
                <w:iCs/>
                <w:sz w:val="21"/>
                <w:szCs w:val="21"/>
              </w:rPr>
            </w:pPr>
            <w:r w:rsidRPr="003F0D15">
              <w:rPr>
                <w:rFonts w:ascii="Times New Roman CE" w:hAnsi="Times New Roman CE" w:cs="Times New Roman CE"/>
                <w:i/>
                <w:iCs/>
                <w:sz w:val="21"/>
                <w:szCs w:val="21"/>
              </w:rPr>
              <w:t>130 009</w:t>
            </w:r>
          </w:p>
        </w:tc>
        <w:tc>
          <w:tcPr>
            <w:tcW w:w="526" w:type="pct"/>
            <w:gridSpan w:val="3"/>
            <w:tcBorders>
              <w:top w:val="nil"/>
              <w:left w:val="nil"/>
              <w:bottom w:val="nil"/>
              <w:right w:val="nil"/>
            </w:tcBorders>
            <w:shd w:val="clear" w:color="auto" w:fill="auto"/>
            <w:noWrap/>
            <w:vAlign w:val="bottom"/>
            <w:hideMark/>
          </w:tcPr>
          <w:p w:rsidR="003F0D15" w:rsidRPr="003F0D15" w:rsidRDefault="003F0D15" w:rsidP="003F0D15">
            <w:pPr>
              <w:jc w:val="right"/>
              <w:rPr>
                <w:rFonts w:ascii="Times New Roman CE" w:hAnsi="Times New Roman CE" w:cs="Times New Roman CE"/>
                <w:i/>
                <w:iCs/>
                <w:sz w:val="21"/>
                <w:szCs w:val="21"/>
              </w:rPr>
            </w:pPr>
            <w:r w:rsidRPr="003F0D15">
              <w:rPr>
                <w:rFonts w:ascii="Times New Roman CE" w:hAnsi="Times New Roman CE" w:cs="Times New Roman CE"/>
                <w:i/>
                <w:iCs/>
                <w:sz w:val="21"/>
                <w:szCs w:val="21"/>
              </w:rPr>
              <w:t>151 915</w:t>
            </w:r>
          </w:p>
        </w:tc>
        <w:tc>
          <w:tcPr>
            <w:tcW w:w="415" w:type="pct"/>
            <w:gridSpan w:val="4"/>
            <w:tcBorders>
              <w:top w:val="nil"/>
              <w:left w:val="nil"/>
              <w:bottom w:val="nil"/>
              <w:right w:val="nil"/>
            </w:tcBorders>
            <w:shd w:val="clear" w:color="auto" w:fill="auto"/>
            <w:noWrap/>
            <w:vAlign w:val="bottom"/>
            <w:hideMark/>
          </w:tcPr>
          <w:p w:rsidR="003F0D15" w:rsidRPr="003F0D15" w:rsidRDefault="003F0D15" w:rsidP="003F0D15">
            <w:pPr>
              <w:jc w:val="right"/>
              <w:rPr>
                <w:rFonts w:ascii="Times New Roman CE" w:hAnsi="Times New Roman CE" w:cs="Times New Roman CE"/>
                <w:i/>
                <w:iCs/>
                <w:sz w:val="21"/>
                <w:szCs w:val="21"/>
              </w:rPr>
            </w:pPr>
            <w:r w:rsidRPr="003F0D15">
              <w:rPr>
                <w:rFonts w:ascii="Times New Roman CE" w:hAnsi="Times New Roman CE" w:cs="Times New Roman CE"/>
                <w:i/>
                <w:iCs/>
                <w:sz w:val="21"/>
                <w:szCs w:val="21"/>
              </w:rPr>
              <w:t>21 906</w:t>
            </w:r>
          </w:p>
        </w:tc>
        <w:tc>
          <w:tcPr>
            <w:tcW w:w="402" w:type="pct"/>
            <w:gridSpan w:val="5"/>
            <w:tcBorders>
              <w:top w:val="nil"/>
              <w:left w:val="nil"/>
              <w:bottom w:val="nil"/>
              <w:right w:val="nil"/>
            </w:tcBorders>
            <w:shd w:val="clear" w:color="auto" w:fill="auto"/>
            <w:noWrap/>
            <w:vAlign w:val="bottom"/>
            <w:hideMark/>
          </w:tcPr>
          <w:p w:rsidR="003F0D15" w:rsidRPr="003F0D15" w:rsidRDefault="003F0D15" w:rsidP="003F0D15">
            <w:pPr>
              <w:jc w:val="center"/>
              <w:rPr>
                <w:rFonts w:ascii="Times New Roman CE" w:hAnsi="Times New Roman CE" w:cs="Times New Roman CE"/>
                <w:sz w:val="21"/>
                <w:szCs w:val="21"/>
              </w:rPr>
            </w:pPr>
            <w:r w:rsidRPr="003F0D15">
              <w:rPr>
                <w:rFonts w:ascii="Times New Roman CE" w:hAnsi="Times New Roman CE" w:cs="Times New Roman CE"/>
                <w:sz w:val="21"/>
                <w:szCs w:val="21"/>
              </w:rPr>
              <w:t>116,8%</w:t>
            </w:r>
          </w:p>
        </w:tc>
      </w:tr>
      <w:tr w:rsidR="008B2EB2" w:rsidRPr="003F0D15" w:rsidTr="008B2EB2">
        <w:trPr>
          <w:trHeight w:val="270"/>
        </w:trPr>
        <w:tc>
          <w:tcPr>
            <w:tcW w:w="1276" w:type="pct"/>
            <w:gridSpan w:val="4"/>
            <w:tcBorders>
              <w:top w:val="nil"/>
              <w:left w:val="nil"/>
              <w:bottom w:val="nil"/>
              <w:right w:val="nil"/>
            </w:tcBorders>
            <w:shd w:val="clear" w:color="auto" w:fill="auto"/>
            <w:noWrap/>
            <w:vAlign w:val="bottom"/>
            <w:hideMark/>
          </w:tcPr>
          <w:p w:rsidR="003F0D15" w:rsidRPr="003F0D15" w:rsidRDefault="003F0D15" w:rsidP="003F0D15">
            <w:pPr>
              <w:jc w:val="left"/>
              <w:rPr>
                <w:rFonts w:ascii="Times New Roman CE" w:hAnsi="Times New Roman CE" w:cs="Times New Roman CE"/>
                <w:i/>
                <w:iCs/>
                <w:sz w:val="21"/>
                <w:szCs w:val="21"/>
              </w:rPr>
            </w:pPr>
            <w:r w:rsidRPr="003F0D15">
              <w:rPr>
                <w:rFonts w:ascii="Times New Roman CE" w:hAnsi="Times New Roman CE" w:cs="Times New Roman CE"/>
                <w:i/>
                <w:iCs/>
                <w:sz w:val="21"/>
                <w:szCs w:val="21"/>
              </w:rPr>
              <w:t>Változás bázis adathoz képest</w:t>
            </w:r>
          </w:p>
        </w:tc>
        <w:tc>
          <w:tcPr>
            <w:tcW w:w="76" w:type="pct"/>
            <w:gridSpan w:val="2"/>
            <w:tcBorders>
              <w:top w:val="nil"/>
              <w:left w:val="nil"/>
              <w:bottom w:val="nil"/>
              <w:right w:val="nil"/>
            </w:tcBorders>
            <w:shd w:val="clear" w:color="auto" w:fill="auto"/>
            <w:noWrap/>
            <w:vAlign w:val="bottom"/>
            <w:hideMark/>
          </w:tcPr>
          <w:p w:rsidR="003F0D15" w:rsidRPr="003F0D15" w:rsidRDefault="003F0D15" w:rsidP="003F0D15">
            <w:pPr>
              <w:jc w:val="left"/>
              <w:rPr>
                <w:rFonts w:ascii="Times New Roman CE" w:hAnsi="Times New Roman CE" w:cs="Times New Roman CE"/>
                <w:i/>
                <w:iCs/>
                <w:sz w:val="21"/>
                <w:szCs w:val="21"/>
              </w:rPr>
            </w:pPr>
          </w:p>
        </w:tc>
        <w:tc>
          <w:tcPr>
            <w:tcW w:w="414" w:type="pct"/>
            <w:gridSpan w:val="2"/>
            <w:tcBorders>
              <w:top w:val="nil"/>
              <w:left w:val="nil"/>
              <w:bottom w:val="nil"/>
              <w:right w:val="nil"/>
            </w:tcBorders>
            <w:shd w:val="clear" w:color="auto" w:fill="auto"/>
            <w:noWrap/>
            <w:vAlign w:val="bottom"/>
            <w:hideMark/>
          </w:tcPr>
          <w:p w:rsidR="003F0D15" w:rsidRPr="003F0D15" w:rsidRDefault="003F0D15" w:rsidP="003F0D15">
            <w:pPr>
              <w:jc w:val="right"/>
              <w:rPr>
                <w:rFonts w:ascii="Times New Roman CE" w:hAnsi="Times New Roman CE" w:cs="Times New Roman CE"/>
                <w:i/>
                <w:iCs/>
                <w:sz w:val="21"/>
                <w:szCs w:val="21"/>
              </w:rPr>
            </w:pPr>
            <w:r w:rsidRPr="003F0D15">
              <w:rPr>
                <w:rFonts w:ascii="Times New Roman CE" w:hAnsi="Times New Roman CE" w:cs="Times New Roman CE"/>
                <w:i/>
                <w:iCs/>
                <w:sz w:val="21"/>
                <w:szCs w:val="21"/>
              </w:rPr>
              <w:t>3 101</w:t>
            </w:r>
          </w:p>
        </w:tc>
        <w:tc>
          <w:tcPr>
            <w:tcW w:w="575" w:type="pct"/>
            <w:gridSpan w:val="4"/>
            <w:tcBorders>
              <w:top w:val="nil"/>
              <w:left w:val="nil"/>
              <w:bottom w:val="nil"/>
              <w:right w:val="nil"/>
            </w:tcBorders>
            <w:shd w:val="clear" w:color="auto" w:fill="auto"/>
            <w:noWrap/>
            <w:vAlign w:val="bottom"/>
            <w:hideMark/>
          </w:tcPr>
          <w:p w:rsidR="003F0D15" w:rsidRPr="003F0D15" w:rsidRDefault="003F0D15" w:rsidP="003F0D15">
            <w:pPr>
              <w:jc w:val="right"/>
              <w:rPr>
                <w:rFonts w:ascii="Times New Roman CE" w:hAnsi="Times New Roman CE" w:cs="Times New Roman CE"/>
                <w:i/>
                <w:iCs/>
                <w:sz w:val="21"/>
                <w:szCs w:val="21"/>
              </w:rPr>
            </w:pPr>
          </w:p>
        </w:tc>
        <w:tc>
          <w:tcPr>
            <w:tcW w:w="575" w:type="pct"/>
            <w:gridSpan w:val="4"/>
            <w:tcBorders>
              <w:top w:val="nil"/>
              <w:left w:val="nil"/>
              <w:bottom w:val="nil"/>
              <w:right w:val="nil"/>
            </w:tcBorders>
            <w:shd w:val="clear" w:color="auto" w:fill="auto"/>
            <w:noWrap/>
            <w:vAlign w:val="bottom"/>
            <w:hideMark/>
          </w:tcPr>
          <w:p w:rsidR="003F0D15" w:rsidRPr="003F0D15" w:rsidRDefault="003F0D15" w:rsidP="003F0D15">
            <w:pPr>
              <w:jc w:val="right"/>
              <w:rPr>
                <w:rFonts w:ascii="Times New Roman CE" w:hAnsi="Times New Roman CE" w:cs="Times New Roman CE"/>
                <w:i/>
                <w:iCs/>
                <w:sz w:val="21"/>
                <w:szCs w:val="21"/>
              </w:rPr>
            </w:pPr>
            <w:r w:rsidRPr="003F0D15">
              <w:rPr>
                <w:rFonts w:ascii="Times New Roman CE" w:hAnsi="Times New Roman CE" w:cs="Times New Roman CE"/>
                <w:i/>
                <w:iCs/>
                <w:sz w:val="21"/>
                <w:szCs w:val="21"/>
              </w:rPr>
              <w:t>-18 805</w:t>
            </w:r>
          </w:p>
        </w:tc>
        <w:tc>
          <w:tcPr>
            <w:tcW w:w="594" w:type="pct"/>
            <w:gridSpan w:val="3"/>
            <w:tcBorders>
              <w:top w:val="nil"/>
              <w:left w:val="nil"/>
              <w:bottom w:val="nil"/>
              <w:right w:val="nil"/>
            </w:tcBorders>
            <w:shd w:val="clear" w:color="auto" w:fill="auto"/>
            <w:noWrap/>
            <w:vAlign w:val="bottom"/>
            <w:hideMark/>
          </w:tcPr>
          <w:p w:rsidR="003F0D15" w:rsidRPr="003F0D15" w:rsidRDefault="003F0D15" w:rsidP="003F0D15">
            <w:pPr>
              <w:jc w:val="right"/>
              <w:rPr>
                <w:rFonts w:ascii="Times New Roman CE" w:hAnsi="Times New Roman CE" w:cs="Times New Roman CE"/>
                <w:i/>
                <w:iCs/>
                <w:sz w:val="21"/>
                <w:szCs w:val="21"/>
              </w:rPr>
            </w:pPr>
          </w:p>
        </w:tc>
        <w:tc>
          <w:tcPr>
            <w:tcW w:w="526" w:type="pct"/>
            <w:gridSpan w:val="3"/>
            <w:tcBorders>
              <w:top w:val="nil"/>
              <w:left w:val="nil"/>
              <w:bottom w:val="nil"/>
              <w:right w:val="nil"/>
            </w:tcBorders>
            <w:shd w:val="clear" w:color="auto" w:fill="auto"/>
            <w:noWrap/>
            <w:vAlign w:val="bottom"/>
            <w:hideMark/>
          </w:tcPr>
          <w:p w:rsidR="003F0D15" w:rsidRPr="003F0D15" w:rsidRDefault="003F0D15" w:rsidP="003F0D15">
            <w:pPr>
              <w:jc w:val="right"/>
              <w:rPr>
                <w:rFonts w:ascii="Times New Roman CE" w:hAnsi="Times New Roman CE" w:cs="Times New Roman CE"/>
                <w:i/>
                <w:iCs/>
                <w:sz w:val="21"/>
                <w:szCs w:val="21"/>
              </w:rPr>
            </w:pPr>
            <w:r w:rsidRPr="003F0D15">
              <w:rPr>
                <w:rFonts w:ascii="Times New Roman CE" w:hAnsi="Times New Roman CE" w:cs="Times New Roman CE"/>
                <w:i/>
                <w:iCs/>
                <w:sz w:val="21"/>
                <w:szCs w:val="21"/>
              </w:rPr>
              <w:t>21 906</w:t>
            </w:r>
          </w:p>
        </w:tc>
        <w:tc>
          <w:tcPr>
            <w:tcW w:w="482" w:type="pct"/>
            <w:gridSpan w:val="4"/>
            <w:tcBorders>
              <w:top w:val="nil"/>
              <w:left w:val="nil"/>
              <w:bottom w:val="nil"/>
              <w:right w:val="nil"/>
            </w:tcBorders>
            <w:shd w:val="clear" w:color="auto" w:fill="auto"/>
            <w:noWrap/>
            <w:vAlign w:val="bottom"/>
            <w:hideMark/>
          </w:tcPr>
          <w:p w:rsidR="003F0D15" w:rsidRPr="003F0D15" w:rsidRDefault="003F0D15" w:rsidP="003F0D15">
            <w:pPr>
              <w:jc w:val="right"/>
              <w:rPr>
                <w:rFonts w:ascii="Times New Roman CE" w:hAnsi="Times New Roman CE" w:cs="Times New Roman CE"/>
                <w:i/>
                <w:iCs/>
                <w:sz w:val="21"/>
                <w:szCs w:val="21"/>
              </w:rPr>
            </w:pPr>
          </w:p>
        </w:tc>
        <w:tc>
          <w:tcPr>
            <w:tcW w:w="481" w:type="pct"/>
            <w:gridSpan w:val="5"/>
            <w:tcBorders>
              <w:top w:val="nil"/>
              <w:left w:val="nil"/>
              <w:bottom w:val="nil"/>
              <w:right w:val="nil"/>
            </w:tcBorders>
            <w:shd w:val="clear" w:color="auto" w:fill="auto"/>
            <w:noWrap/>
            <w:vAlign w:val="bottom"/>
            <w:hideMark/>
          </w:tcPr>
          <w:p w:rsidR="003F0D15" w:rsidRPr="003F0D15" w:rsidRDefault="003F0D15" w:rsidP="003F0D15">
            <w:pPr>
              <w:jc w:val="left"/>
              <w:rPr>
                <w:sz w:val="20"/>
              </w:rPr>
            </w:pPr>
          </w:p>
        </w:tc>
      </w:tr>
    </w:tbl>
    <w:p w:rsidR="003F0D15" w:rsidRPr="00DE7CFA" w:rsidRDefault="003F0D15" w:rsidP="00090F1C">
      <w:pPr>
        <w:ind w:right="34"/>
        <w:rPr>
          <w:szCs w:val="24"/>
        </w:rPr>
      </w:pPr>
    </w:p>
    <w:p w:rsidR="00EA303B" w:rsidRPr="00DE7CFA" w:rsidRDefault="00D102CA" w:rsidP="00090F1C">
      <w:pPr>
        <w:ind w:right="34"/>
        <w:rPr>
          <w:sz w:val="12"/>
          <w:szCs w:val="12"/>
        </w:rPr>
      </w:pPr>
      <w:r w:rsidRPr="00DE7CFA">
        <w:rPr>
          <w:szCs w:val="24"/>
        </w:rPr>
        <w:t>A</w:t>
      </w:r>
      <w:r w:rsidR="0027556E" w:rsidRPr="00DE7CFA">
        <w:rPr>
          <w:szCs w:val="24"/>
        </w:rPr>
        <w:t xml:space="preserve"> </w:t>
      </w:r>
      <w:r w:rsidR="0027556E" w:rsidRPr="00DE7CFA">
        <w:rPr>
          <w:i/>
          <w:szCs w:val="24"/>
        </w:rPr>
        <w:t>30 napon túli lejárt kintlévőség</w:t>
      </w:r>
      <w:r w:rsidR="0027556E" w:rsidRPr="00DE7CFA">
        <w:rPr>
          <w:szCs w:val="24"/>
        </w:rPr>
        <w:t xml:space="preserve"> </w:t>
      </w:r>
      <w:r w:rsidR="004F312E" w:rsidRPr="004F312E">
        <w:rPr>
          <w:szCs w:val="24"/>
        </w:rPr>
        <w:t xml:space="preserve">a mérlegkészítés időpontjában </w:t>
      </w:r>
      <w:r w:rsidR="0027556E" w:rsidRPr="004F312E">
        <w:rPr>
          <w:szCs w:val="24"/>
        </w:rPr>
        <w:t>az értékesítés</w:t>
      </w:r>
      <w:r w:rsidR="0027556E" w:rsidRPr="00DE7CFA">
        <w:rPr>
          <w:szCs w:val="24"/>
        </w:rPr>
        <w:t xml:space="preserve"> nettó árbevételéhez viszonyítva 20</w:t>
      </w:r>
      <w:r w:rsidR="00675631" w:rsidRPr="00DE7CFA">
        <w:rPr>
          <w:szCs w:val="24"/>
        </w:rPr>
        <w:t>2</w:t>
      </w:r>
      <w:r w:rsidR="004F312E">
        <w:rPr>
          <w:szCs w:val="24"/>
        </w:rPr>
        <w:t>1</w:t>
      </w:r>
      <w:r w:rsidR="0027556E" w:rsidRPr="00DE7CFA">
        <w:rPr>
          <w:szCs w:val="24"/>
        </w:rPr>
        <w:t>.</w:t>
      </w:r>
      <w:r w:rsidR="00C52C1A" w:rsidRPr="00DE7CFA">
        <w:rPr>
          <w:szCs w:val="24"/>
        </w:rPr>
        <w:t xml:space="preserve"> évben </w:t>
      </w:r>
      <w:r w:rsidR="00F61A41" w:rsidRPr="00DE7CFA">
        <w:rPr>
          <w:szCs w:val="24"/>
        </w:rPr>
        <w:t>3</w:t>
      </w:r>
      <w:r w:rsidR="00C52C1A" w:rsidRPr="00DE7CFA">
        <w:rPr>
          <w:szCs w:val="24"/>
        </w:rPr>
        <w:t xml:space="preserve"> %, 20</w:t>
      </w:r>
      <w:r w:rsidR="00276CFA" w:rsidRPr="00DE7CFA">
        <w:rPr>
          <w:szCs w:val="24"/>
        </w:rPr>
        <w:t>2</w:t>
      </w:r>
      <w:r w:rsidR="004F312E">
        <w:rPr>
          <w:szCs w:val="24"/>
        </w:rPr>
        <w:t>2</w:t>
      </w:r>
      <w:r w:rsidR="00C52C1A" w:rsidRPr="00DE7CFA">
        <w:rPr>
          <w:szCs w:val="24"/>
        </w:rPr>
        <w:t xml:space="preserve">. </w:t>
      </w:r>
      <w:r w:rsidR="00141527" w:rsidRPr="00DE7CFA">
        <w:rPr>
          <w:szCs w:val="24"/>
        </w:rPr>
        <w:t xml:space="preserve">évben </w:t>
      </w:r>
      <w:r w:rsidR="004F312E">
        <w:rPr>
          <w:szCs w:val="24"/>
        </w:rPr>
        <w:t>2,9</w:t>
      </w:r>
      <w:r w:rsidR="00773186" w:rsidRPr="00DE7CFA">
        <w:rPr>
          <w:szCs w:val="24"/>
        </w:rPr>
        <w:t xml:space="preserve"> </w:t>
      </w:r>
      <w:r w:rsidR="00C52C1A" w:rsidRPr="00DE7CFA">
        <w:rPr>
          <w:szCs w:val="24"/>
        </w:rPr>
        <w:t>%.</w:t>
      </w:r>
      <w:r w:rsidR="00141527" w:rsidRPr="00DE7CFA">
        <w:rPr>
          <w:szCs w:val="24"/>
        </w:rPr>
        <w:t xml:space="preserve"> </w:t>
      </w:r>
      <w:r w:rsidR="00C52C1A" w:rsidRPr="00DE7CFA">
        <w:rPr>
          <w:szCs w:val="24"/>
        </w:rPr>
        <w:t xml:space="preserve">Az </w:t>
      </w:r>
      <w:r w:rsidR="00C52C1A" w:rsidRPr="00DE7CFA">
        <w:rPr>
          <w:i/>
          <w:szCs w:val="24"/>
        </w:rPr>
        <w:t xml:space="preserve">önkormányzati építési munkák </w:t>
      </w:r>
      <w:r w:rsidR="00C52C1A" w:rsidRPr="00DE7CFA">
        <w:rPr>
          <w:rFonts w:ascii="Times New Roman CE" w:hAnsi="Times New Roman CE" w:cs="Times New Roman CE"/>
          <w:i/>
          <w:sz w:val="23"/>
          <w:szCs w:val="23"/>
        </w:rPr>
        <w:t>lejárt fizetési határidejű számlaértékével</w:t>
      </w:r>
      <w:r w:rsidR="00C52C1A" w:rsidRPr="00DE7CFA">
        <w:rPr>
          <w:i/>
          <w:szCs w:val="24"/>
        </w:rPr>
        <w:t xml:space="preserve"> korrigált </w:t>
      </w:r>
      <w:r w:rsidR="00141527" w:rsidRPr="00DE7CFA">
        <w:rPr>
          <w:i/>
          <w:szCs w:val="24"/>
        </w:rPr>
        <w:t xml:space="preserve">30 napon túli </w:t>
      </w:r>
      <w:r w:rsidR="00C52C1A" w:rsidRPr="00DE7CFA">
        <w:rPr>
          <w:i/>
          <w:szCs w:val="24"/>
        </w:rPr>
        <w:t>kintlévőség</w:t>
      </w:r>
      <w:r w:rsidR="00C52C1A" w:rsidRPr="00DE7CFA">
        <w:rPr>
          <w:szCs w:val="24"/>
        </w:rPr>
        <w:t xml:space="preserve"> aránya </w:t>
      </w:r>
      <w:r w:rsidR="004F312E">
        <w:rPr>
          <w:szCs w:val="24"/>
        </w:rPr>
        <w:t xml:space="preserve">szintén </w:t>
      </w:r>
      <w:r w:rsidR="004F312E" w:rsidRPr="004F312E">
        <w:rPr>
          <w:szCs w:val="24"/>
        </w:rPr>
        <w:t xml:space="preserve">a mérlegkészítés időpontjában </w:t>
      </w:r>
      <w:r w:rsidR="00C52C1A" w:rsidRPr="00DE7CFA">
        <w:rPr>
          <w:szCs w:val="24"/>
        </w:rPr>
        <w:t>az önkormányzati víziközművek építési-szerelési munkáiból származó értékkel korrigált értékesítési nettó árbevételhez viszonyítva 20</w:t>
      </w:r>
      <w:r w:rsidR="00675631" w:rsidRPr="00DE7CFA">
        <w:rPr>
          <w:szCs w:val="24"/>
        </w:rPr>
        <w:t>2</w:t>
      </w:r>
      <w:r w:rsidR="004F312E">
        <w:rPr>
          <w:szCs w:val="24"/>
        </w:rPr>
        <w:t>1</w:t>
      </w:r>
      <w:r w:rsidR="00C52C1A" w:rsidRPr="00DE7CFA">
        <w:rPr>
          <w:szCs w:val="24"/>
        </w:rPr>
        <w:t xml:space="preserve">. évben </w:t>
      </w:r>
      <w:r w:rsidR="00F61A41" w:rsidRPr="00DE7CFA">
        <w:rPr>
          <w:szCs w:val="24"/>
        </w:rPr>
        <w:t>1,</w:t>
      </w:r>
      <w:r w:rsidR="004F312E">
        <w:rPr>
          <w:szCs w:val="24"/>
        </w:rPr>
        <w:t>5</w:t>
      </w:r>
      <w:r w:rsidR="00C52C1A" w:rsidRPr="00DE7CFA">
        <w:rPr>
          <w:szCs w:val="24"/>
        </w:rPr>
        <w:t xml:space="preserve"> %, 20</w:t>
      </w:r>
      <w:r w:rsidR="00276CFA" w:rsidRPr="00DE7CFA">
        <w:rPr>
          <w:szCs w:val="24"/>
        </w:rPr>
        <w:t>2</w:t>
      </w:r>
      <w:r w:rsidR="004F312E">
        <w:rPr>
          <w:szCs w:val="24"/>
        </w:rPr>
        <w:t>2</w:t>
      </w:r>
      <w:r w:rsidR="00C52C1A" w:rsidRPr="00DE7CFA">
        <w:rPr>
          <w:szCs w:val="24"/>
        </w:rPr>
        <w:t>. év</w:t>
      </w:r>
      <w:r w:rsidR="00995918" w:rsidRPr="00DE7CFA">
        <w:rPr>
          <w:szCs w:val="24"/>
        </w:rPr>
        <w:t>ben 1,</w:t>
      </w:r>
      <w:r w:rsidR="004F312E">
        <w:rPr>
          <w:szCs w:val="24"/>
        </w:rPr>
        <w:t>3</w:t>
      </w:r>
      <w:r w:rsidR="00995918" w:rsidRPr="00DE7CFA">
        <w:rPr>
          <w:szCs w:val="24"/>
        </w:rPr>
        <w:t>%.</w:t>
      </w:r>
    </w:p>
    <w:p w:rsidR="00FD19AA" w:rsidRPr="00DE7CFA" w:rsidRDefault="00FD19AA" w:rsidP="00090F1C">
      <w:pPr>
        <w:pStyle w:val="Szvegtrzs2"/>
        <w:ind w:right="34"/>
        <w:rPr>
          <w:i/>
          <w:iCs/>
        </w:rPr>
      </w:pPr>
    </w:p>
    <w:p w:rsidR="00504403" w:rsidRPr="00DE7CFA" w:rsidRDefault="00504403" w:rsidP="00090F1C">
      <w:pPr>
        <w:pStyle w:val="Szvegtrzs2"/>
        <w:ind w:right="34"/>
        <w:rPr>
          <w:i/>
          <w:iCs/>
        </w:rPr>
      </w:pPr>
      <w:r w:rsidRPr="00DE7CFA">
        <w:rPr>
          <w:i/>
          <w:iCs/>
        </w:rPr>
        <w:t xml:space="preserve">A kintlévőségek csökkentésére irányuló tevékenységek </w:t>
      </w:r>
    </w:p>
    <w:p w:rsidR="00EA303B" w:rsidRPr="00DE7CFA" w:rsidRDefault="00EA303B" w:rsidP="00090F1C">
      <w:pPr>
        <w:pStyle w:val="Szvegtrzs2"/>
        <w:ind w:right="34"/>
        <w:rPr>
          <w:i/>
          <w:iCs/>
          <w:sz w:val="12"/>
          <w:szCs w:val="12"/>
        </w:rPr>
      </w:pPr>
    </w:p>
    <w:p w:rsidR="00533824" w:rsidRPr="00BC0C18" w:rsidRDefault="00533824" w:rsidP="00533824">
      <w:pPr>
        <w:pStyle w:val="Szvegtrzs2"/>
        <w:ind w:right="142"/>
      </w:pPr>
      <w:r w:rsidRPr="00BC0C18">
        <w:t xml:space="preserve">A </w:t>
      </w:r>
      <w:r w:rsidRPr="00BC0C18">
        <w:rPr>
          <w:i/>
          <w:iCs/>
        </w:rPr>
        <w:t>fizetéssel 60 napot meghaladó késedelem</w:t>
      </w:r>
      <w:r w:rsidRPr="00BC0C18">
        <w:t>be esett felhasználók korlátozhatók illetve zárhatók ki szigorúan betartandó előírások, többszöri felszólítás alapján az ivóvíz szolgáltatásból.</w:t>
      </w:r>
    </w:p>
    <w:p w:rsidR="00533824" w:rsidRPr="00BC0C18" w:rsidRDefault="00533824" w:rsidP="00533824">
      <w:pPr>
        <w:pStyle w:val="Szvegtrzs2"/>
        <w:ind w:right="142"/>
      </w:pPr>
      <w:r w:rsidRPr="00BC0C18">
        <w:t xml:space="preserve">A korlátozás/kizárás elkerülhető fizetési </w:t>
      </w:r>
      <w:r w:rsidR="004F19E5">
        <w:t>haladék, részletfizetés igénybe</w:t>
      </w:r>
      <w:r w:rsidRPr="00BC0C18">
        <w:t xml:space="preserve">vételével. </w:t>
      </w:r>
    </w:p>
    <w:p w:rsidR="00533824" w:rsidRPr="00BC0C18" w:rsidRDefault="00533824" w:rsidP="00533824">
      <w:pPr>
        <w:pStyle w:val="Szvegtrzs2"/>
        <w:ind w:right="142"/>
        <w:rPr>
          <w:sz w:val="12"/>
          <w:szCs w:val="12"/>
        </w:rPr>
      </w:pPr>
    </w:p>
    <w:p w:rsidR="00533824" w:rsidRPr="00BC0C18" w:rsidRDefault="00533824" w:rsidP="00533824">
      <w:pPr>
        <w:pStyle w:val="Szvegtrzs2"/>
        <w:ind w:right="142"/>
      </w:pPr>
      <w:r w:rsidRPr="00BC0C18">
        <w:t xml:space="preserve">Ezen intézkedések hatására sem fizetők ellen 1 millió Ft alatti tartozás esetén </w:t>
      </w:r>
      <w:r w:rsidRPr="00BC0C18">
        <w:rPr>
          <w:i/>
        </w:rPr>
        <w:t xml:space="preserve">fizetési meghagyás </w:t>
      </w:r>
      <w:r w:rsidRPr="00BC0C18">
        <w:t xml:space="preserve">kibocsátása kérhető a Magyar Országos Közjegyzői Kamara elektronikus rendszerén keresztül. Ennél nagyobb összegű tartozás peres eljárásban érvényesíthető. </w:t>
      </w:r>
    </w:p>
    <w:tbl>
      <w:tblPr>
        <w:tblW w:w="9639" w:type="dxa"/>
        <w:tblCellMar>
          <w:left w:w="70" w:type="dxa"/>
          <w:right w:w="70" w:type="dxa"/>
        </w:tblCellMar>
        <w:tblLook w:val="04A0" w:firstRow="1" w:lastRow="0" w:firstColumn="1" w:lastColumn="0" w:noHBand="0" w:noVBand="1"/>
      </w:tblPr>
      <w:tblGrid>
        <w:gridCol w:w="5103"/>
        <w:gridCol w:w="1179"/>
        <w:gridCol w:w="757"/>
        <w:gridCol w:w="899"/>
        <w:gridCol w:w="757"/>
        <w:gridCol w:w="944"/>
      </w:tblGrid>
      <w:tr w:rsidR="004F312E" w:rsidRPr="004F312E" w:rsidTr="004F312E">
        <w:trPr>
          <w:trHeight w:val="300"/>
        </w:trPr>
        <w:tc>
          <w:tcPr>
            <w:tcW w:w="5103" w:type="dxa"/>
            <w:tcBorders>
              <w:top w:val="nil"/>
              <w:left w:val="nil"/>
              <w:bottom w:val="nil"/>
              <w:right w:val="nil"/>
            </w:tcBorders>
            <w:shd w:val="clear" w:color="auto" w:fill="auto"/>
            <w:noWrap/>
            <w:vAlign w:val="bottom"/>
            <w:hideMark/>
          </w:tcPr>
          <w:p w:rsidR="004F312E" w:rsidRPr="004F312E" w:rsidRDefault="004F312E" w:rsidP="004F312E">
            <w:pPr>
              <w:jc w:val="left"/>
              <w:rPr>
                <w:sz w:val="20"/>
                <w:szCs w:val="24"/>
              </w:rPr>
            </w:pPr>
          </w:p>
        </w:tc>
        <w:tc>
          <w:tcPr>
            <w:tcW w:w="1936" w:type="dxa"/>
            <w:gridSpan w:val="2"/>
            <w:tcBorders>
              <w:top w:val="nil"/>
              <w:left w:val="nil"/>
              <w:bottom w:val="single" w:sz="4" w:space="0" w:color="auto"/>
              <w:right w:val="nil"/>
            </w:tcBorders>
            <w:shd w:val="clear" w:color="auto" w:fill="auto"/>
            <w:noWrap/>
            <w:vAlign w:val="bottom"/>
            <w:hideMark/>
          </w:tcPr>
          <w:p w:rsidR="004F312E" w:rsidRPr="004F312E" w:rsidRDefault="004F312E" w:rsidP="004F312E">
            <w:pPr>
              <w:jc w:val="center"/>
              <w:rPr>
                <w:rFonts w:ascii="Times New Roman CE" w:hAnsi="Times New Roman CE" w:cs="Times New Roman CE"/>
                <w:sz w:val="22"/>
                <w:szCs w:val="22"/>
              </w:rPr>
            </w:pPr>
            <w:r w:rsidRPr="004F312E">
              <w:rPr>
                <w:rFonts w:ascii="Times New Roman CE" w:hAnsi="Times New Roman CE" w:cs="Times New Roman CE"/>
                <w:sz w:val="22"/>
                <w:szCs w:val="22"/>
              </w:rPr>
              <w:t>2021. év</w:t>
            </w:r>
          </w:p>
        </w:tc>
        <w:tc>
          <w:tcPr>
            <w:tcW w:w="1656" w:type="dxa"/>
            <w:gridSpan w:val="2"/>
            <w:tcBorders>
              <w:top w:val="nil"/>
              <w:left w:val="nil"/>
              <w:bottom w:val="single" w:sz="4" w:space="0" w:color="auto"/>
              <w:right w:val="nil"/>
            </w:tcBorders>
            <w:shd w:val="clear" w:color="auto" w:fill="auto"/>
            <w:noWrap/>
            <w:vAlign w:val="bottom"/>
            <w:hideMark/>
          </w:tcPr>
          <w:p w:rsidR="004F312E" w:rsidRPr="004F312E" w:rsidRDefault="004F312E" w:rsidP="004F312E">
            <w:pPr>
              <w:jc w:val="center"/>
              <w:rPr>
                <w:rFonts w:ascii="Times New Roman CE" w:hAnsi="Times New Roman CE" w:cs="Times New Roman CE"/>
                <w:sz w:val="22"/>
                <w:szCs w:val="22"/>
              </w:rPr>
            </w:pPr>
            <w:r w:rsidRPr="004F312E">
              <w:rPr>
                <w:rFonts w:ascii="Times New Roman CE" w:hAnsi="Times New Roman CE" w:cs="Times New Roman CE"/>
                <w:sz w:val="22"/>
                <w:szCs w:val="22"/>
              </w:rPr>
              <w:t>2022. év</w:t>
            </w:r>
          </w:p>
        </w:tc>
        <w:tc>
          <w:tcPr>
            <w:tcW w:w="944" w:type="dxa"/>
            <w:tcBorders>
              <w:top w:val="nil"/>
              <w:left w:val="nil"/>
              <w:bottom w:val="single" w:sz="4" w:space="0" w:color="auto"/>
              <w:right w:val="nil"/>
            </w:tcBorders>
            <w:shd w:val="clear" w:color="auto" w:fill="auto"/>
            <w:noWrap/>
            <w:vAlign w:val="bottom"/>
            <w:hideMark/>
          </w:tcPr>
          <w:p w:rsidR="004F312E" w:rsidRPr="004F312E" w:rsidRDefault="004F312E" w:rsidP="004F312E">
            <w:pPr>
              <w:jc w:val="center"/>
              <w:rPr>
                <w:rFonts w:ascii="Times New Roman CE" w:hAnsi="Times New Roman CE" w:cs="Times New Roman CE"/>
                <w:sz w:val="22"/>
                <w:szCs w:val="22"/>
              </w:rPr>
            </w:pPr>
            <w:r w:rsidRPr="004F312E">
              <w:rPr>
                <w:rFonts w:ascii="Times New Roman CE" w:hAnsi="Times New Roman CE" w:cs="Times New Roman CE"/>
                <w:sz w:val="22"/>
                <w:szCs w:val="22"/>
              </w:rPr>
              <w:t>Index</w:t>
            </w:r>
          </w:p>
        </w:tc>
      </w:tr>
      <w:tr w:rsidR="004F312E" w:rsidRPr="004F312E" w:rsidTr="004F312E">
        <w:trPr>
          <w:trHeight w:val="300"/>
        </w:trPr>
        <w:tc>
          <w:tcPr>
            <w:tcW w:w="5103" w:type="dxa"/>
            <w:tcBorders>
              <w:top w:val="nil"/>
              <w:left w:val="nil"/>
              <w:bottom w:val="nil"/>
              <w:right w:val="nil"/>
            </w:tcBorders>
            <w:shd w:val="clear" w:color="auto" w:fill="auto"/>
            <w:noWrap/>
            <w:vAlign w:val="bottom"/>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t>Kiküldött fizetési felszólítás</w:t>
            </w:r>
          </w:p>
        </w:tc>
        <w:tc>
          <w:tcPr>
            <w:tcW w:w="1179" w:type="dxa"/>
            <w:tcBorders>
              <w:top w:val="nil"/>
              <w:left w:val="nil"/>
              <w:bottom w:val="nil"/>
              <w:right w:val="nil"/>
            </w:tcBorders>
            <w:shd w:val="clear" w:color="auto" w:fill="auto"/>
            <w:noWrap/>
            <w:vAlign w:val="bottom"/>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22 521</w:t>
            </w:r>
          </w:p>
        </w:tc>
        <w:tc>
          <w:tcPr>
            <w:tcW w:w="757" w:type="dxa"/>
            <w:tcBorders>
              <w:top w:val="nil"/>
              <w:left w:val="nil"/>
              <w:bottom w:val="nil"/>
              <w:right w:val="nil"/>
            </w:tcBorders>
            <w:shd w:val="clear" w:color="auto" w:fill="auto"/>
            <w:noWrap/>
            <w:vAlign w:val="bottom"/>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t>db</w:t>
            </w:r>
          </w:p>
        </w:tc>
        <w:tc>
          <w:tcPr>
            <w:tcW w:w="899" w:type="dxa"/>
            <w:tcBorders>
              <w:top w:val="nil"/>
              <w:left w:val="nil"/>
              <w:bottom w:val="nil"/>
              <w:right w:val="nil"/>
            </w:tcBorders>
            <w:shd w:val="clear" w:color="auto" w:fill="auto"/>
            <w:noWrap/>
            <w:vAlign w:val="bottom"/>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19 246</w:t>
            </w:r>
          </w:p>
        </w:tc>
        <w:tc>
          <w:tcPr>
            <w:tcW w:w="757" w:type="dxa"/>
            <w:tcBorders>
              <w:top w:val="nil"/>
              <w:left w:val="nil"/>
              <w:bottom w:val="nil"/>
              <w:right w:val="nil"/>
            </w:tcBorders>
            <w:shd w:val="clear" w:color="auto" w:fill="auto"/>
            <w:noWrap/>
            <w:vAlign w:val="bottom"/>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t>db</w:t>
            </w:r>
          </w:p>
        </w:tc>
        <w:tc>
          <w:tcPr>
            <w:tcW w:w="944" w:type="dxa"/>
            <w:tcBorders>
              <w:top w:val="nil"/>
              <w:left w:val="nil"/>
              <w:bottom w:val="nil"/>
              <w:right w:val="nil"/>
            </w:tcBorders>
            <w:shd w:val="clear" w:color="auto" w:fill="auto"/>
            <w:noWrap/>
            <w:vAlign w:val="bottom"/>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85,5%</w:t>
            </w:r>
          </w:p>
        </w:tc>
      </w:tr>
      <w:tr w:rsidR="004F312E" w:rsidRPr="004F312E" w:rsidTr="004F312E">
        <w:trPr>
          <w:trHeight w:val="300"/>
        </w:trPr>
        <w:tc>
          <w:tcPr>
            <w:tcW w:w="5103" w:type="dxa"/>
            <w:tcBorders>
              <w:top w:val="nil"/>
              <w:left w:val="nil"/>
              <w:bottom w:val="nil"/>
              <w:right w:val="nil"/>
            </w:tcBorders>
            <w:shd w:val="clear" w:color="auto" w:fill="auto"/>
            <w:noWrap/>
            <w:vAlign w:val="bottom"/>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lastRenderedPageBreak/>
              <w:t>Elindított K1 korlátozási-kizárási eljárás</w:t>
            </w:r>
          </w:p>
        </w:tc>
        <w:tc>
          <w:tcPr>
            <w:tcW w:w="1179" w:type="dxa"/>
            <w:tcBorders>
              <w:top w:val="nil"/>
              <w:left w:val="nil"/>
              <w:bottom w:val="nil"/>
              <w:right w:val="nil"/>
            </w:tcBorders>
            <w:shd w:val="clear" w:color="auto" w:fill="auto"/>
            <w:noWrap/>
            <w:vAlign w:val="bottom"/>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11 435</w:t>
            </w:r>
          </w:p>
        </w:tc>
        <w:tc>
          <w:tcPr>
            <w:tcW w:w="757" w:type="dxa"/>
            <w:tcBorders>
              <w:top w:val="nil"/>
              <w:left w:val="nil"/>
              <w:bottom w:val="nil"/>
              <w:right w:val="nil"/>
            </w:tcBorders>
            <w:shd w:val="clear" w:color="auto" w:fill="auto"/>
            <w:noWrap/>
            <w:vAlign w:val="bottom"/>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t>db</w:t>
            </w:r>
          </w:p>
        </w:tc>
        <w:tc>
          <w:tcPr>
            <w:tcW w:w="899" w:type="dxa"/>
            <w:tcBorders>
              <w:top w:val="nil"/>
              <w:left w:val="nil"/>
              <w:bottom w:val="nil"/>
              <w:right w:val="nil"/>
            </w:tcBorders>
            <w:shd w:val="clear" w:color="auto" w:fill="auto"/>
            <w:noWrap/>
            <w:vAlign w:val="bottom"/>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11 200</w:t>
            </w:r>
          </w:p>
        </w:tc>
        <w:tc>
          <w:tcPr>
            <w:tcW w:w="757" w:type="dxa"/>
            <w:tcBorders>
              <w:top w:val="nil"/>
              <w:left w:val="nil"/>
              <w:bottom w:val="nil"/>
              <w:right w:val="nil"/>
            </w:tcBorders>
            <w:shd w:val="clear" w:color="auto" w:fill="auto"/>
            <w:noWrap/>
            <w:vAlign w:val="bottom"/>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t>db</w:t>
            </w:r>
          </w:p>
        </w:tc>
        <w:tc>
          <w:tcPr>
            <w:tcW w:w="944" w:type="dxa"/>
            <w:tcBorders>
              <w:top w:val="nil"/>
              <w:left w:val="nil"/>
              <w:bottom w:val="nil"/>
              <w:right w:val="nil"/>
            </w:tcBorders>
            <w:shd w:val="clear" w:color="auto" w:fill="auto"/>
            <w:noWrap/>
            <w:vAlign w:val="bottom"/>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97,9%</w:t>
            </w:r>
          </w:p>
        </w:tc>
      </w:tr>
      <w:tr w:rsidR="004F312E" w:rsidRPr="004F312E" w:rsidTr="004F312E">
        <w:trPr>
          <w:trHeight w:val="300"/>
        </w:trPr>
        <w:tc>
          <w:tcPr>
            <w:tcW w:w="5103" w:type="dxa"/>
            <w:tcBorders>
              <w:top w:val="nil"/>
              <w:left w:val="nil"/>
              <w:bottom w:val="nil"/>
              <w:right w:val="nil"/>
            </w:tcBorders>
            <w:shd w:val="clear" w:color="auto" w:fill="auto"/>
            <w:noWrap/>
            <w:vAlign w:val="bottom"/>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t>Elindított K2 korlátozási-kizárási eljárás</w:t>
            </w:r>
          </w:p>
        </w:tc>
        <w:tc>
          <w:tcPr>
            <w:tcW w:w="1179" w:type="dxa"/>
            <w:tcBorders>
              <w:top w:val="nil"/>
              <w:left w:val="nil"/>
              <w:bottom w:val="nil"/>
              <w:right w:val="nil"/>
            </w:tcBorders>
            <w:shd w:val="clear" w:color="auto" w:fill="auto"/>
            <w:noWrap/>
            <w:vAlign w:val="bottom"/>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2 571</w:t>
            </w:r>
          </w:p>
        </w:tc>
        <w:tc>
          <w:tcPr>
            <w:tcW w:w="757" w:type="dxa"/>
            <w:tcBorders>
              <w:top w:val="nil"/>
              <w:left w:val="nil"/>
              <w:bottom w:val="nil"/>
              <w:right w:val="nil"/>
            </w:tcBorders>
            <w:shd w:val="clear" w:color="auto" w:fill="auto"/>
            <w:noWrap/>
            <w:vAlign w:val="bottom"/>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t>db</w:t>
            </w:r>
          </w:p>
        </w:tc>
        <w:tc>
          <w:tcPr>
            <w:tcW w:w="899" w:type="dxa"/>
            <w:tcBorders>
              <w:top w:val="nil"/>
              <w:left w:val="nil"/>
              <w:bottom w:val="nil"/>
              <w:right w:val="nil"/>
            </w:tcBorders>
            <w:shd w:val="clear" w:color="auto" w:fill="auto"/>
            <w:noWrap/>
            <w:vAlign w:val="bottom"/>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2 613</w:t>
            </w:r>
          </w:p>
        </w:tc>
        <w:tc>
          <w:tcPr>
            <w:tcW w:w="757" w:type="dxa"/>
            <w:tcBorders>
              <w:top w:val="nil"/>
              <w:left w:val="nil"/>
              <w:bottom w:val="nil"/>
              <w:right w:val="nil"/>
            </w:tcBorders>
            <w:shd w:val="clear" w:color="auto" w:fill="auto"/>
            <w:noWrap/>
            <w:vAlign w:val="bottom"/>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t>db</w:t>
            </w:r>
          </w:p>
        </w:tc>
        <w:tc>
          <w:tcPr>
            <w:tcW w:w="944" w:type="dxa"/>
            <w:tcBorders>
              <w:top w:val="nil"/>
              <w:left w:val="nil"/>
              <w:bottom w:val="nil"/>
              <w:right w:val="nil"/>
            </w:tcBorders>
            <w:shd w:val="clear" w:color="auto" w:fill="auto"/>
            <w:noWrap/>
            <w:vAlign w:val="bottom"/>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101,6%</w:t>
            </w:r>
          </w:p>
        </w:tc>
      </w:tr>
      <w:tr w:rsidR="004F312E" w:rsidRPr="004F312E" w:rsidTr="004F312E">
        <w:trPr>
          <w:trHeight w:val="300"/>
        </w:trPr>
        <w:tc>
          <w:tcPr>
            <w:tcW w:w="5103" w:type="dxa"/>
            <w:tcBorders>
              <w:top w:val="nil"/>
              <w:left w:val="nil"/>
              <w:bottom w:val="nil"/>
              <w:right w:val="nil"/>
            </w:tcBorders>
            <w:shd w:val="clear" w:color="auto" w:fill="auto"/>
            <w:noWrap/>
            <w:vAlign w:val="bottom"/>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t xml:space="preserve">Elindított K1 korlátozás-kizárás tőketartozása </w:t>
            </w:r>
          </w:p>
        </w:tc>
        <w:tc>
          <w:tcPr>
            <w:tcW w:w="1179" w:type="dxa"/>
            <w:tcBorders>
              <w:top w:val="nil"/>
              <w:left w:val="nil"/>
              <w:bottom w:val="nil"/>
              <w:right w:val="nil"/>
            </w:tcBorders>
            <w:shd w:val="clear" w:color="auto" w:fill="auto"/>
            <w:noWrap/>
            <w:vAlign w:val="bottom"/>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299 507</w:t>
            </w:r>
          </w:p>
        </w:tc>
        <w:tc>
          <w:tcPr>
            <w:tcW w:w="757" w:type="dxa"/>
            <w:tcBorders>
              <w:top w:val="nil"/>
              <w:left w:val="nil"/>
              <w:bottom w:val="nil"/>
              <w:right w:val="nil"/>
            </w:tcBorders>
            <w:shd w:val="clear" w:color="auto" w:fill="auto"/>
            <w:noWrap/>
            <w:vAlign w:val="bottom"/>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t>eFt</w:t>
            </w:r>
          </w:p>
        </w:tc>
        <w:tc>
          <w:tcPr>
            <w:tcW w:w="899" w:type="dxa"/>
            <w:tcBorders>
              <w:top w:val="nil"/>
              <w:left w:val="nil"/>
              <w:bottom w:val="nil"/>
              <w:right w:val="nil"/>
            </w:tcBorders>
            <w:shd w:val="clear" w:color="auto" w:fill="auto"/>
            <w:noWrap/>
            <w:vAlign w:val="bottom"/>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248 714</w:t>
            </w:r>
          </w:p>
        </w:tc>
        <w:tc>
          <w:tcPr>
            <w:tcW w:w="757" w:type="dxa"/>
            <w:tcBorders>
              <w:top w:val="nil"/>
              <w:left w:val="nil"/>
              <w:bottom w:val="nil"/>
              <w:right w:val="nil"/>
            </w:tcBorders>
            <w:shd w:val="clear" w:color="auto" w:fill="auto"/>
            <w:noWrap/>
            <w:vAlign w:val="bottom"/>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t>eFt</w:t>
            </w:r>
          </w:p>
        </w:tc>
        <w:tc>
          <w:tcPr>
            <w:tcW w:w="944" w:type="dxa"/>
            <w:tcBorders>
              <w:top w:val="nil"/>
              <w:left w:val="nil"/>
              <w:bottom w:val="nil"/>
              <w:right w:val="nil"/>
            </w:tcBorders>
            <w:shd w:val="clear" w:color="auto" w:fill="auto"/>
            <w:noWrap/>
            <w:vAlign w:val="bottom"/>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83,0%</w:t>
            </w:r>
          </w:p>
        </w:tc>
      </w:tr>
      <w:tr w:rsidR="004F312E" w:rsidRPr="004F312E" w:rsidTr="004F312E">
        <w:trPr>
          <w:trHeight w:val="300"/>
        </w:trPr>
        <w:tc>
          <w:tcPr>
            <w:tcW w:w="5103" w:type="dxa"/>
            <w:tcBorders>
              <w:top w:val="nil"/>
              <w:left w:val="nil"/>
              <w:bottom w:val="nil"/>
              <w:right w:val="nil"/>
            </w:tcBorders>
            <w:shd w:val="clear" w:color="auto" w:fill="auto"/>
            <w:noWrap/>
            <w:vAlign w:val="bottom"/>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t xml:space="preserve">Elindított K2 korlátozás-kizárás tőketartozása </w:t>
            </w:r>
          </w:p>
        </w:tc>
        <w:tc>
          <w:tcPr>
            <w:tcW w:w="1179" w:type="dxa"/>
            <w:tcBorders>
              <w:top w:val="nil"/>
              <w:left w:val="nil"/>
              <w:bottom w:val="nil"/>
              <w:right w:val="nil"/>
            </w:tcBorders>
            <w:shd w:val="clear" w:color="auto" w:fill="auto"/>
            <w:noWrap/>
            <w:vAlign w:val="bottom"/>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70 524</w:t>
            </w:r>
          </w:p>
        </w:tc>
        <w:tc>
          <w:tcPr>
            <w:tcW w:w="757" w:type="dxa"/>
            <w:tcBorders>
              <w:top w:val="nil"/>
              <w:left w:val="nil"/>
              <w:bottom w:val="nil"/>
              <w:right w:val="nil"/>
            </w:tcBorders>
            <w:shd w:val="clear" w:color="auto" w:fill="auto"/>
            <w:noWrap/>
            <w:vAlign w:val="bottom"/>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t>eFt</w:t>
            </w:r>
          </w:p>
        </w:tc>
        <w:tc>
          <w:tcPr>
            <w:tcW w:w="899" w:type="dxa"/>
            <w:tcBorders>
              <w:top w:val="nil"/>
              <w:left w:val="nil"/>
              <w:bottom w:val="nil"/>
              <w:right w:val="nil"/>
            </w:tcBorders>
            <w:shd w:val="clear" w:color="auto" w:fill="auto"/>
            <w:noWrap/>
            <w:vAlign w:val="bottom"/>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67 701</w:t>
            </w:r>
          </w:p>
        </w:tc>
        <w:tc>
          <w:tcPr>
            <w:tcW w:w="757" w:type="dxa"/>
            <w:tcBorders>
              <w:top w:val="nil"/>
              <w:left w:val="nil"/>
              <w:bottom w:val="nil"/>
              <w:right w:val="nil"/>
            </w:tcBorders>
            <w:shd w:val="clear" w:color="auto" w:fill="auto"/>
            <w:noWrap/>
            <w:vAlign w:val="bottom"/>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t>eFt</w:t>
            </w:r>
          </w:p>
        </w:tc>
        <w:tc>
          <w:tcPr>
            <w:tcW w:w="944" w:type="dxa"/>
            <w:tcBorders>
              <w:top w:val="nil"/>
              <w:left w:val="nil"/>
              <w:bottom w:val="nil"/>
              <w:right w:val="nil"/>
            </w:tcBorders>
            <w:shd w:val="clear" w:color="auto" w:fill="auto"/>
            <w:noWrap/>
            <w:vAlign w:val="bottom"/>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96,0%</w:t>
            </w:r>
          </w:p>
        </w:tc>
      </w:tr>
      <w:tr w:rsidR="004F312E" w:rsidRPr="004F312E" w:rsidTr="004F312E">
        <w:trPr>
          <w:trHeight w:val="300"/>
        </w:trPr>
        <w:tc>
          <w:tcPr>
            <w:tcW w:w="5103" w:type="dxa"/>
            <w:tcBorders>
              <w:top w:val="nil"/>
              <w:left w:val="nil"/>
              <w:bottom w:val="nil"/>
              <w:right w:val="nil"/>
            </w:tcBorders>
            <w:shd w:val="clear" w:color="auto" w:fill="auto"/>
            <w:noWrap/>
            <w:vAlign w:val="bottom"/>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t>1 db elindított K2 korlátozás-kizárásra jutó tőketartozás</w:t>
            </w:r>
          </w:p>
        </w:tc>
        <w:tc>
          <w:tcPr>
            <w:tcW w:w="1179" w:type="dxa"/>
            <w:tcBorders>
              <w:top w:val="nil"/>
              <w:left w:val="nil"/>
              <w:bottom w:val="nil"/>
              <w:right w:val="nil"/>
            </w:tcBorders>
            <w:shd w:val="clear" w:color="auto" w:fill="auto"/>
            <w:noWrap/>
            <w:vAlign w:val="bottom"/>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27</w:t>
            </w:r>
          </w:p>
        </w:tc>
        <w:tc>
          <w:tcPr>
            <w:tcW w:w="757" w:type="dxa"/>
            <w:tcBorders>
              <w:top w:val="nil"/>
              <w:left w:val="nil"/>
              <w:bottom w:val="nil"/>
              <w:right w:val="nil"/>
            </w:tcBorders>
            <w:shd w:val="clear" w:color="auto" w:fill="auto"/>
            <w:noWrap/>
            <w:vAlign w:val="bottom"/>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t>eFt</w:t>
            </w:r>
          </w:p>
        </w:tc>
        <w:tc>
          <w:tcPr>
            <w:tcW w:w="899" w:type="dxa"/>
            <w:tcBorders>
              <w:top w:val="nil"/>
              <w:left w:val="nil"/>
              <w:bottom w:val="nil"/>
              <w:right w:val="nil"/>
            </w:tcBorders>
            <w:shd w:val="clear" w:color="auto" w:fill="auto"/>
            <w:noWrap/>
            <w:vAlign w:val="bottom"/>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26</w:t>
            </w:r>
          </w:p>
        </w:tc>
        <w:tc>
          <w:tcPr>
            <w:tcW w:w="757" w:type="dxa"/>
            <w:tcBorders>
              <w:top w:val="nil"/>
              <w:left w:val="nil"/>
              <w:bottom w:val="nil"/>
              <w:right w:val="nil"/>
            </w:tcBorders>
            <w:shd w:val="clear" w:color="auto" w:fill="auto"/>
            <w:noWrap/>
            <w:vAlign w:val="bottom"/>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t>eFt</w:t>
            </w:r>
          </w:p>
        </w:tc>
        <w:tc>
          <w:tcPr>
            <w:tcW w:w="944" w:type="dxa"/>
            <w:tcBorders>
              <w:top w:val="nil"/>
              <w:left w:val="nil"/>
              <w:bottom w:val="nil"/>
              <w:right w:val="nil"/>
            </w:tcBorders>
            <w:shd w:val="clear" w:color="auto" w:fill="auto"/>
            <w:noWrap/>
            <w:vAlign w:val="bottom"/>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94,5%</w:t>
            </w:r>
          </w:p>
        </w:tc>
      </w:tr>
      <w:tr w:rsidR="004F312E" w:rsidRPr="004F312E" w:rsidTr="004F312E">
        <w:trPr>
          <w:trHeight w:val="300"/>
        </w:trPr>
        <w:tc>
          <w:tcPr>
            <w:tcW w:w="5103" w:type="dxa"/>
            <w:tcBorders>
              <w:top w:val="nil"/>
              <w:left w:val="nil"/>
              <w:bottom w:val="nil"/>
              <w:right w:val="nil"/>
            </w:tcBorders>
            <w:shd w:val="clear" w:color="auto" w:fill="auto"/>
            <w:noWrap/>
            <w:vAlign w:val="bottom"/>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t>Tényleges korlátozás-kizárás</w:t>
            </w:r>
          </w:p>
        </w:tc>
        <w:tc>
          <w:tcPr>
            <w:tcW w:w="1179" w:type="dxa"/>
            <w:tcBorders>
              <w:top w:val="nil"/>
              <w:left w:val="nil"/>
              <w:bottom w:val="nil"/>
              <w:right w:val="nil"/>
            </w:tcBorders>
            <w:shd w:val="clear" w:color="auto" w:fill="auto"/>
            <w:noWrap/>
            <w:vAlign w:val="bottom"/>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49</w:t>
            </w:r>
          </w:p>
        </w:tc>
        <w:tc>
          <w:tcPr>
            <w:tcW w:w="757" w:type="dxa"/>
            <w:tcBorders>
              <w:top w:val="nil"/>
              <w:left w:val="nil"/>
              <w:bottom w:val="nil"/>
              <w:right w:val="nil"/>
            </w:tcBorders>
            <w:shd w:val="clear" w:color="auto" w:fill="auto"/>
            <w:noWrap/>
            <w:vAlign w:val="bottom"/>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t>fogy.</w:t>
            </w:r>
          </w:p>
        </w:tc>
        <w:tc>
          <w:tcPr>
            <w:tcW w:w="899" w:type="dxa"/>
            <w:tcBorders>
              <w:top w:val="nil"/>
              <w:left w:val="nil"/>
              <w:bottom w:val="nil"/>
              <w:right w:val="nil"/>
            </w:tcBorders>
            <w:shd w:val="clear" w:color="auto" w:fill="auto"/>
            <w:noWrap/>
            <w:vAlign w:val="bottom"/>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34</w:t>
            </w:r>
          </w:p>
        </w:tc>
        <w:tc>
          <w:tcPr>
            <w:tcW w:w="757" w:type="dxa"/>
            <w:tcBorders>
              <w:top w:val="nil"/>
              <w:left w:val="nil"/>
              <w:bottom w:val="nil"/>
              <w:right w:val="nil"/>
            </w:tcBorders>
            <w:shd w:val="clear" w:color="auto" w:fill="auto"/>
            <w:noWrap/>
            <w:vAlign w:val="bottom"/>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t>fogy.</w:t>
            </w:r>
          </w:p>
        </w:tc>
        <w:tc>
          <w:tcPr>
            <w:tcW w:w="944" w:type="dxa"/>
            <w:tcBorders>
              <w:top w:val="nil"/>
              <w:left w:val="nil"/>
              <w:bottom w:val="nil"/>
              <w:right w:val="nil"/>
            </w:tcBorders>
            <w:shd w:val="clear" w:color="auto" w:fill="auto"/>
            <w:noWrap/>
            <w:vAlign w:val="bottom"/>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69,4%</w:t>
            </w:r>
          </w:p>
        </w:tc>
      </w:tr>
      <w:tr w:rsidR="004F312E" w:rsidRPr="004F312E" w:rsidTr="004F312E">
        <w:trPr>
          <w:trHeight w:val="300"/>
        </w:trPr>
        <w:tc>
          <w:tcPr>
            <w:tcW w:w="5103" w:type="dxa"/>
            <w:tcBorders>
              <w:top w:val="nil"/>
              <w:left w:val="nil"/>
              <w:bottom w:val="nil"/>
              <w:right w:val="nil"/>
            </w:tcBorders>
            <w:shd w:val="clear" w:color="auto" w:fill="auto"/>
            <w:noWrap/>
            <w:vAlign w:val="bottom"/>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t>Tényleges / elindított K2 korlátozás-kizárás</w:t>
            </w:r>
          </w:p>
        </w:tc>
        <w:tc>
          <w:tcPr>
            <w:tcW w:w="1179" w:type="dxa"/>
            <w:tcBorders>
              <w:top w:val="nil"/>
              <w:left w:val="nil"/>
              <w:bottom w:val="nil"/>
              <w:right w:val="nil"/>
            </w:tcBorders>
            <w:shd w:val="clear" w:color="auto" w:fill="auto"/>
            <w:noWrap/>
            <w:vAlign w:val="bottom"/>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1,9</w:t>
            </w:r>
          </w:p>
        </w:tc>
        <w:tc>
          <w:tcPr>
            <w:tcW w:w="757" w:type="dxa"/>
            <w:tcBorders>
              <w:top w:val="nil"/>
              <w:left w:val="nil"/>
              <w:bottom w:val="nil"/>
              <w:right w:val="nil"/>
            </w:tcBorders>
            <w:shd w:val="clear" w:color="auto" w:fill="auto"/>
            <w:noWrap/>
            <w:vAlign w:val="bottom"/>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t>%</w:t>
            </w:r>
          </w:p>
        </w:tc>
        <w:tc>
          <w:tcPr>
            <w:tcW w:w="899" w:type="dxa"/>
            <w:tcBorders>
              <w:top w:val="nil"/>
              <w:left w:val="nil"/>
              <w:bottom w:val="nil"/>
              <w:right w:val="nil"/>
            </w:tcBorders>
            <w:shd w:val="clear" w:color="auto" w:fill="auto"/>
            <w:noWrap/>
            <w:vAlign w:val="bottom"/>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1,3</w:t>
            </w:r>
          </w:p>
        </w:tc>
        <w:tc>
          <w:tcPr>
            <w:tcW w:w="757" w:type="dxa"/>
            <w:tcBorders>
              <w:top w:val="nil"/>
              <w:left w:val="nil"/>
              <w:bottom w:val="nil"/>
              <w:right w:val="nil"/>
            </w:tcBorders>
            <w:shd w:val="clear" w:color="auto" w:fill="auto"/>
            <w:noWrap/>
            <w:vAlign w:val="bottom"/>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t>%</w:t>
            </w:r>
          </w:p>
        </w:tc>
        <w:tc>
          <w:tcPr>
            <w:tcW w:w="944" w:type="dxa"/>
            <w:tcBorders>
              <w:top w:val="nil"/>
              <w:left w:val="nil"/>
              <w:bottom w:val="nil"/>
              <w:right w:val="nil"/>
            </w:tcBorders>
            <w:shd w:val="clear" w:color="auto" w:fill="auto"/>
            <w:noWrap/>
            <w:vAlign w:val="bottom"/>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68,3%</w:t>
            </w:r>
          </w:p>
        </w:tc>
      </w:tr>
      <w:tr w:rsidR="004F312E" w:rsidRPr="004F312E" w:rsidTr="004F312E">
        <w:trPr>
          <w:trHeight w:val="300"/>
        </w:trPr>
        <w:tc>
          <w:tcPr>
            <w:tcW w:w="5103" w:type="dxa"/>
            <w:tcBorders>
              <w:top w:val="nil"/>
              <w:left w:val="nil"/>
              <w:bottom w:val="nil"/>
              <w:right w:val="nil"/>
            </w:tcBorders>
            <w:shd w:val="clear" w:color="auto" w:fill="auto"/>
            <w:noWrap/>
            <w:vAlign w:val="bottom"/>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t>K1-K2 korl-kizárás tőketartozásából befolyt összeg</w:t>
            </w:r>
          </w:p>
        </w:tc>
        <w:tc>
          <w:tcPr>
            <w:tcW w:w="1179" w:type="dxa"/>
            <w:tcBorders>
              <w:top w:val="nil"/>
              <w:left w:val="nil"/>
              <w:bottom w:val="nil"/>
              <w:right w:val="nil"/>
            </w:tcBorders>
            <w:shd w:val="clear" w:color="auto" w:fill="auto"/>
            <w:noWrap/>
            <w:vAlign w:val="bottom"/>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183 712</w:t>
            </w:r>
          </w:p>
        </w:tc>
        <w:tc>
          <w:tcPr>
            <w:tcW w:w="757" w:type="dxa"/>
            <w:tcBorders>
              <w:top w:val="nil"/>
              <w:left w:val="nil"/>
              <w:bottom w:val="nil"/>
              <w:right w:val="nil"/>
            </w:tcBorders>
            <w:shd w:val="clear" w:color="auto" w:fill="auto"/>
            <w:noWrap/>
            <w:vAlign w:val="bottom"/>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t>eFt</w:t>
            </w:r>
          </w:p>
        </w:tc>
        <w:tc>
          <w:tcPr>
            <w:tcW w:w="899" w:type="dxa"/>
            <w:tcBorders>
              <w:top w:val="nil"/>
              <w:left w:val="nil"/>
              <w:bottom w:val="nil"/>
              <w:right w:val="nil"/>
            </w:tcBorders>
            <w:shd w:val="clear" w:color="auto" w:fill="auto"/>
            <w:noWrap/>
            <w:vAlign w:val="bottom"/>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159 980</w:t>
            </w:r>
          </w:p>
        </w:tc>
        <w:tc>
          <w:tcPr>
            <w:tcW w:w="757" w:type="dxa"/>
            <w:tcBorders>
              <w:top w:val="nil"/>
              <w:left w:val="nil"/>
              <w:bottom w:val="nil"/>
              <w:right w:val="nil"/>
            </w:tcBorders>
            <w:shd w:val="clear" w:color="auto" w:fill="auto"/>
            <w:noWrap/>
            <w:vAlign w:val="bottom"/>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t>eFt</w:t>
            </w:r>
          </w:p>
        </w:tc>
        <w:tc>
          <w:tcPr>
            <w:tcW w:w="944" w:type="dxa"/>
            <w:tcBorders>
              <w:top w:val="nil"/>
              <w:left w:val="nil"/>
              <w:bottom w:val="nil"/>
              <w:right w:val="nil"/>
            </w:tcBorders>
            <w:shd w:val="clear" w:color="auto" w:fill="auto"/>
            <w:noWrap/>
            <w:vAlign w:val="bottom"/>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87,1%</w:t>
            </w:r>
          </w:p>
        </w:tc>
      </w:tr>
      <w:tr w:rsidR="004F312E" w:rsidRPr="004F312E" w:rsidTr="004F312E">
        <w:trPr>
          <w:trHeight w:val="300"/>
        </w:trPr>
        <w:tc>
          <w:tcPr>
            <w:tcW w:w="5103" w:type="dxa"/>
            <w:tcBorders>
              <w:top w:val="nil"/>
              <w:left w:val="nil"/>
              <w:bottom w:val="nil"/>
              <w:right w:val="nil"/>
            </w:tcBorders>
            <w:shd w:val="clear" w:color="auto" w:fill="auto"/>
            <w:noWrap/>
            <w:vAlign w:val="bottom"/>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t>Befolyt összeg / K1-K2 korl-kizárás tőketartozása</w:t>
            </w:r>
          </w:p>
        </w:tc>
        <w:tc>
          <w:tcPr>
            <w:tcW w:w="1179" w:type="dxa"/>
            <w:tcBorders>
              <w:top w:val="nil"/>
              <w:left w:val="nil"/>
              <w:bottom w:val="nil"/>
              <w:right w:val="nil"/>
            </w:tcBorders>
            <w:shd w:val="clear" w:color="auto" w:fill="auto"/>
            <w:noWrap/>
            <w:vAlign w:val="bottom"/>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49,6</w:t>
            </w:r>
          </w:p>
        </w:tc>
        <w:tc>
          <w:tcPr>
            <w:tcW w:w="757" w:type="dxa"/>
            <w:tcBorders>
              <w:top w:val="nil"/>
              <w:left w:val="nil"/>
              <w:bottom w:val="nil"/>
              <w:right w:val="nil"/>
            </w:tcBorders>
            <w:shd w:val="clear" w:color="auto" w:fill="auto"/>
            <w:noWrap/>
            <w:vAlign w:val="bottom"/>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t>%</w:t>
            </w:r>
          </w:p>
        </w:tc>
        <w:tc>
          <w:tcPr>
            <w:tcW w:w="899" w:type="dxa"/>
            <w:tcBorders>
              <w:top w:val="nil"/>
              <w:left w:val="nil"/>
              <w:bottom w:val="nil"/>
              <w:right w:val="nil"/>
            </w:tcBorders>
            <w:shd w:val="clear" w:color="auto" w:fill="auto"/>
            <w:noWrap/>
            <w:vAlign w:val="bottom"/>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50,6</w:t>
            </w:r>
          </w:p>
        </w:tc>
        <w:tc>
          <w:tcPr>
            <w:tcW w:w="757" w:type="dxa"/>
            <w:tcBorders>
              <w:top w:val="nil"/>
              <w:left w:val="nil"/>
              <w:bottom w:val="nil"/>
              <w:right w:val="nil"/>
            </w:tcBorders>
            <w:shd w:val="clear" w:color="auto" w:fill="auto"/>
            <w:noWrap/>
            <w:vAlign w:val="bottom"/>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t>%</w:t>
            </w:r>
          </w:p>
        </w:tc>
        <w:tc>
          <w:tcPr>
            <w:tcW w:w="944" w:type="dxa"/>
            <w:tcBorders>
              <w:top w:val="nil"/>
              <w:left w:val="nil"/>
              <w:bottom w:val="nil"/>
              <w:right w:val="nil"/>
            </w:tcBorders>
            <w:shd w:val="clear" w:color="auto" w:fill="auto"/>
            <w:noWrap/>
            <w:vAlign w:val="bottom"/>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101,8%</w:t>
            </w:r>
          </w:p>
        </w:tc>
      </w:tr>
      <w:tr w:rsidR="004F312E" w:rsidRPr="004F312E" w:rsidTr="004F312E">
        <w:trPr>
          <w:trHeight w:val="300"/>
        </w:trPr>
        <w:tc>
          <w:tcPr>
            <w:tcW w:w="5103" w:type="dxa"/>
            <w:tcBorders>
              <w:top w:val="nil"/>
              <w:left w:val="nil"/>
              <w:bottom w:val="nil"/>
              <w:right w:val="nil"/>
            </w:tcBorders>
            <w:shd w:val="clear" w:color="auto" w:fill="auto"/>
            <w:noWrap/>
            <w:vAlign w:val="bottom"/>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t>Fiz. és korl./kizárási felszól-ra befiz. késedelmi kamat</w:t>
            </w:r>
          </w:p>
        </w:tc>
        <w:tc>
          <w:tcPr>
            <w:tcW w:w="1179" w:type="dxa"/>
            <w:tcBorders>
              <w:top w:val="nil"/>
              <w:left w:val="nil"/>
              <w:bottom w:val="nil"/>
              <w:right w:val="nil"/>
            </w:tcBorders>
            <w:shd w:val="clear" w:color="auto" w:fill="auto"/>
            <w:noWrap/>
            <w:vAlign w:val="bottom"/>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4 612</w:t>
            </w:r>
          </w:p>
        </w:tc>
        <w:tc>
          <w:tcPr>
            <w:tcW w:w="757" w:type="dxa"/>
            <w:tcBorders>
              <w:top w:val="nil"/>
              <w:left w:val="nil"/>
              <w:bottom w:val="nil"/>
              <w:right w:val="nil"/>
            </w:tcBorders>
            <w:shd w:val="clear" w:color="auto" w:fill="auto"/>
            <w:noWrap/>
            <w:vAlign w:val="bottom"/>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t>eFt</w:t>
            </w:r>
          </w:p>
        </w:tc>
        <w:tc>
          <w:tcPr>
            <w:tcW w:w="899" w:type="dxa"/>
            <w:tcBorders>
              <w:top w:val="nil"/>
              <w:left w:val="nil"/>
              <w:bottom w:val="nil"/>
              <w:right w:val="nil"/>
            </w:tcBorders>
            <w:shd w:val="clear" w:color="auto" w:fill="auto"/>
            <w:noWrap/>
            <w:vAlign w:val="bottom"/>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5 737</w:t>
            </w:r>
          </w:p>
        </w:tc>
        <w:tc>
          <w:tcPr>
            <w:tcW w:w="757" w:type="dxa"/>
            <w:tcBorders>
              <w:top w:val="nil"/>
              <w:left w:val="nil"/>
              <w:bottom w:val="nil"/>
              <w:right w:val="nil"/>
            </w:tcBorders>
            <w:shd w:val="clear" w:color="auto" w:fill="auto"/>
            <w:noWrap/>
            <w:vAlign w:val="bottom"/>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t>eFt</w:t>
            </w:r>
          </w:p>
        </w:tc>
        <w:tc>
          <w:tcPr>
            <w:tcW w:w="944" w:type="dxa"/>
            <w:tcBorders>
              <w:top w:val="nil"/>
              <w:left w:val="nil"/>
              <w:bottom w:val="nil"/>
              <w:right w:val="nil"/>
            </w:tcBorders>
            <w:shd w:val="clear" w:color="auto" w:fill="auto"/>
            <w:noWrap/>
            <w:vAlign w:val="bottom"/>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124,4%</w:t>
            </w:r>
          </w:p>
        </w:tc>
      </w:tr>
      <w:tr w:rsidR="004F312E" w:rsidRPr="004F312E" w:rsidTr="004F312E">
        <w:trPr>
          <w:trHeight w:val="300"/>
        </w:trPr>
        <w:tc>
          <w:tcPr>
            <w:tcW w:w="5103" w:type="dxa"/>
            <w:tcBorders>
              <w:top w:val="nil"/>
              <w:left w:val="nil"/>
              <w:bottom w:val="nil"/>
              <w:right w:val="nil"/>
            </w:tcBorders>
            <w:shd w:val="clear" w:color="auto" w:fill="auto"/>
            <w:noWrap/>
            <w:vAlign w:val="bottom"/>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t>Részletfizetési kedvezményben részesült</w:t>
            </w:r>
          </w:p>
        </w:tc>
        <w:tc>
          <w:tcPr>
            <w:tcW w:w="1179" w:type="dxa"/>
            <w:tcBorders>
              <w:top w:val="nil"/>
              <w:left w:val="nil"/>
              <w:bottom w:val="nil"/>
              <w:right w:val="nil"/>
            </w:tcBorders>
            <w:shd w:val="clear" w:color="auto" w:fill="auto"/>
            <w:noWrap/>
            <w:vAlign w:val="bottom"/>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470</w:t>
            </w:r>
          </w:p>
        </w:tc>
        <w:tc>
          <w:tcPr>
            <w:tcW w:w="757" w:type="dxa"/>
            <w:tcBorders>
              <w:top w:val="nil"/>
              <w:left w:val="nil"/>
              <w:bottom w:val="nil"/>
              <w:right w:val="nil"/>
            </w:tcBorders>
            <w:shd w:val="clear" w:color="auto" w:fill="auto"/>
            <w:noWrap/>
            <w:vAlign w:val="bottom"/>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t>fogy.</w:t>
            </w:r>
          </w:p>
        </w:tc>
        <w:tc>
          <w:tcPr>
            <w:tcW w:w="899" w:type="dxa"/>
            <w:tcBorders>
              <w:top w:val="nil"/>
              <w:left w:val="nil"/>
              <w:bottom w:val="nil"/>
              <w:right w:val="nil"/>
            </w:tcBorders>
            <w:shd w:val="clear" w:color="auto" w:fill="auto"/>
            <w:noWrap/>
            <w:vAlign w:val="bottom"/>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308</w:t>
            </w:r>
          </w:p>
        </w:tc>
        <w:tc>
          <w:tcPr>
            <w:tcW w:w="757" w:type="dxa"/>
            <w:tcBorders>
              <w:top w:val="nil"/>
              <w:left w:val="nil"/>
              <w:bottom w:val="nil"/>
              <w:right w:val="nil"/>
            </w:tcBorders>
            <w:shd w:val="clear" w:color="auto" w:fill="auto"/>
            <w:noWrap/>
            <w:vAlign w:val="bottom"/>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t>fogy.</w:t>
            </w:r>
          </w:p>
        </w:tc>
        <w:tc>
          <w:tcPr>
            <w:tcW w:w="944" w:type="dxa"/>
            <w:tcBorders>
              <w:top w:val="nil"/>
              <w:left w:val="nil"/>
              <w:bottom w:val="nil"/>
              <w:right w:val="nil"/>
            </w:tcBorders>
            <w:shd w:val="clear" w:color="auto" w:fill="auto"/>
            <w:noWrap/>
            <w:vAlign w:val="bottom"/>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65,5%</w:t>
            </w:r>
          </w:p>
        </w:tc>
      </w:tr>
      <w:tr w:rsidR="004F312E" w:rsidRPr="004F312E" w:rsidTr="004F312E">
        <w:trPr>
          <w:trHeight w:val="300"/>
        </w:trPr>
        <w:tc>
          <w:tcPr>
            <w:tcW w:w="5103" w:type="dxa"/>
            <w:tcBorders>
              <w:top w:val="nil"/>
              <w:left w:val="nil"/>
              <w:bottom w:val="nil"/>
              <w:right w:val="nil"/>
            </w:tcBorders>
            <w:shd w:val="clear" w:color="auto" w:fill="auto"/>
            <w:noWrap/>
            <w:vAlign w:val="bottom"/>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t>Részletfizetés tőketartozása</w:t>
            </w:r>
          </w:p>
        </w:tc>
        <w:tc>
          <w:tcPr>
            <w:tcW w:w="1179" w:type="dxa"/>
            <w:tcBorders>
              <w:top w:val="nil"/>
              <w:left w:val="nil"/>
              <w:bottom w:val="nil"/>
              <w:right w:val="nil"/>
            </w:tcBorders>
            <w:shd w:val="clear" w:color="auto" w:fill="auto"/>
            <w:noWrap/>
            <w:vAlign w:val="bottom"/>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74 260</w:t>
            </w:r>
          </w:p>
        </w:tc>
        <w:tc>
          <w:tcPr>
            <w:tcW w:w="757" w:type="dxa"/>
            <w:tcBorders>
              <w:top w:val="nil"/>
              <w:left w:val="nil"/>
              <w:bottom w:val="nil"/>
              <w:right w:val="nil"/>
            </w:tcBorders>
            <w:shd w:val="clear" w:color="auto" w:fill="auto"/>
            <w:noWrap/>
            <w:vAlign w:val="bottom"/>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t>eFt</w:t>
            </w:r>
          </w:p>
        </w:tc>
        <w:tc>
          <w:tcPr>
            <w:tcW w:w="899" w:type="dxa"/>
            <w:tcBorders>
              <w:top w:val="nil"/>
              <w:left w:val="nil"/>
              <w:bottom w:val="nil"/>
              <w:right w:val="nil"/>
            </w:tcBorders>
            <w:shd w:val="clear" w:color="auto" w:fill="auto"/>
            <w:noWrap/>
            <w:vAlign w:val="bottom"/>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42 393</w:t>
            </w:r>
          </w:p>
        </w:tc>
        <w:tc>
          <w:tcPr>
            <w:tcW w:w="757" w:type="dxa"/>
            <w:tcBorders>
              <w:top w:val="nil"/>
              <w:left w:val="nil"/>
              <w:bottom w:val="nil"/>
              <w:right w:val="nil"/>
            </w:tcBorders>
            <w:shd w:val="clear" w:color="auto" w:fill="auto"/>
            <w:noWrap/>
            <w:vAlign w:val="bottom"/>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t>eFt</w:t>
            </w:r>
          </w:p>
        </w:tc>
        <w:tc>
          <w:tcPr>
            <w:tcW w:w="944" w:type="dxa"/>
            <w:tcBorders>
              <w:top w:val="nil"/>
              <w:left w:val="nil"/>
              <w:bottom w:val="nil"/>
              <w:right w:val="nil"/>
            </w:tcBorders>
            <w:shd w:val="clear" w:color="auto" w:fill="auto"/>
            <w:noWrap/>
            <w:vAlign w:val="bottom"/>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57,1%</w:t>
            </w:r>
          </w:p>
        </w:tc>
      </w:tr>
      <w:tr w:rsidR="004F312E" w:rsidRPr="004F312E" w:rsidTr="004F312E">
        <w:trPr>
          <w:trHeight w:val="300"/>
        </w:trPr>
        <w:tc>
          <w:tcPr>
            <w:tcW w:w="5103" w:type="dxa"/>
            <w:tcBorders>
              <w:top w:val="nil"/>
              <w:left w:val="nil"/>
              <w:bottom w:val="nil"/>
              <w:right w:val="nil"/>
            </w:tcBorders>
            <w:shd w:val="clear" w:color="auto" w:fill="auto"/>
            <w:noWrap/>
            <w:vAlign w:val="bottom"/>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t>Fizetési meghagyás kibocs. iránt beadott kérelem</w:t>
            </w:r>
          </w:p>
        </w:tc>
        <w:tc>
          <w:tcPr>
            <w:tcW w:w="1179" w:type="dxa"/>
            <w:tcBorders>
              <w:top w:val="nil"/>
              <w:left w:val="nil"/>
              <w:bottom w:val="nil"/>
              <w:right w:val="nil"/>
            </w:tcBorders>
            <w:shd w:val="clear" w:color="auto" w:fill="auto"/>
            <w:noWrap/>
            <w:vAlign w:val="bottom"/>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244</w:t>
            </w:r>
          </w:p>
        </w:tc>
        <w:tc>
          <w:tcPr>
            <w:tcW w:w="757" w:type="dxa"/>
            <w:tcBorders>
              <w:top w:val="nil"/>
              <w:left w:val="nil"/>
              <w:bottom w:val="nil"/>
              <w:right w:val="nil"/>
            </w:tcBorders>
            <w:shd w:val="clear" w:color="auto" w:fill="auto"/>
            <w:noWrap/>
            <w:vAlign w:val="bottom"/>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t>db</w:t>
            </w:r>
          </w:p>
        </w:tc>
        <w:tc>
          <w:tcPr>
            <w:tcW w:w="899" w:type="dxa"/>
            <w:tcBorders>
              <w:top w:val="nil"/>
              <w:left w:val="nil"/>
              <w:bottom w:val="nil"/>
              <w:right w:val="nil"/>
            </w:tcBorders>
            <w:shd w:val="clear" w:color="auto" w:fill="auto"/>
            <w:noWrap/>
            <w:vAlign w:val="bottom"/>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96</w:t>
            </w:r>
          </w:p>
        </w:tc>
        <w:tc>
          <w:tcPr>
            <w:tcW w:w="757" w:type="dxa"/>
            <w:tcBorders>
              <w:top w:val="nil"/>
              <w:left w:val="nil"/>
              <w:bottom w:val="nil"/>
              <w:right w:val="nil"/>
            </w:tcBorders>
            <w:shd w:val="clear" w:color="auto" w:fill="auto"/>
            <w:noWrap/>
            <w:vAlign w:val="bottom"/>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t>db</w:t>
            </w:r>
          </w:p>
        </w:tc>
        <w:tc>
          <w:tcPr>
            <w:tcW w:w="944" w:type="dxa"/>
            <w:tcBorders>
              <w:top w:val="nil"/>
              <w:left w:val="nil"/>
              <w:bottom w:val="nil"/>
              <w:right w:val="nil"/>
            </w:tcBorders>
            <w:shd w:val="clear" w:color="auto" w:fill="auto"/>
            <w:noWrap/>
            <w:vAlign w:val="bottom"/>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39,3%</w:t>
            </w:r>
          </w:p>
        </w:tc>
      </w:tr>
      <w:tr w:rsidR="004F312E" w:rsidRPr="004F312E" w:rsidTr="004F312E">
        <w:trPr>
          <w:trHeight w:val="300"/>
        </w:trPr>
        <w:tc>
          <w:tcPr>
            <w:tcW w:w="5103" w:type="dxa"/>
            <w:tcBorders>
              <w:top w:val="nil"/>
              <w:left w:val="nil"/>
              <w:bottom w:val="nil"/>
              <w:right w:val="nil"/>
            </w:tcBorders>
            <w:shd w:val="clear" w:color="auto" w:fill="auto"/>
            <w:noWrap/>
            <w:vAlign w:val="bottom"/>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t>Fiz.meghagyás kibocsátása iránti kérelmek összege</w:t>
            </w:r>
          </w:p>
        </w:tc>
        <w:tc>
          <w:tcPr>
            <w:tcW w:w="1179" w:type="dxa"/>
            <w:tcBorders>
              <w:top w:val="nil"/>
              <w:left w:val="nil"/>
              <w:bottom w:val="nil"/>
              <w:right w:val="nil"/>
            </w:tcBorders>
            <w:shd w:val="clear" w:color="auto" w:fill="auto"/>
            <w:noWrap/>
            <w:vAlign w:val="bottom"/>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26 121</w:t>
            </w:r>
          </w:p>
        </w:tc>
        <w:tc>
          <w:tcPr>
            <w:tcW w:w="757" w:type="dxa"/>
            <w:tcBorders>
              <w:top w:val="nil"/>
              <w:left w:val="nil"/>
              <w:bottom w:val="nil"/>
              <w:right w:val="nil"/>
            </w:tcBorders>
            <w:shd w:val="clear" w:color="auto" w:fill="auto"/>
            <w:noWrap/>
            <w:vAlign w:val="bottom"/>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t>eFt</w:t>
            </w:r>
          </w:p>
        </w:tc>
        <w:tc>
          <w:tcPr>
            <w:tcW w:w="899" w:type="dxa"/>
            <w:tcBorders>
              <w:top w:val="nil"/>
              <w:left w:val="nil"/>
              <w:bottom w:val="nil"/>
              <w:right w:val="nil"/>
            </w:tcBorders>
            <w:shd w:val="clear" w:color="auto" w:fill="auto"/>
            <w:noWrap/>
            <w:vAlign w:val="bottom"/>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11 431</w:t>
            </w:r>
          </w:p>
        </w:tc>
        <w:tc>
          <w:tcPr>
            <w:tcW w:w="757" w:type="dxa"/>
            <w:tcBorders>
              <w:top w:val="nil"/>
              <w:left w:val="nil"/>
              <w:bottom w:val="nil"/>
              <w:right w:val="nil"/>
            </w:tcBorders>
            <w:shd w:val="clear" w:color="auto" w:fill="auto"/>
            <w:noWrap/>
            <w:vAlign w:val="bottom"/>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t>eFt</w:t>
            </w:r>
          </w:p>
        </w:tc>
        <w:tc>
          <w:tcPr>
            <w:tcW w:w="944" w:type="dxa"/>
            <w:tcBorders>
              <w:top w:val="nil"/>
              <w:left w:val="nil"/>
              <w:bottom w:val="nil"/>
              <w:right w:val="nil"/>
            </w:tcBorders>
            <w:shd w:val="clear" w:color="auto" w:fill="auto"/>
            <w:noWrap/>
            <w:vAlign w:val="bottom"/>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43,8%</w:t>
            </w:r>
          </w:p>
        </w:tc>
      </w:tr>
      <w:tr w:rsidR="004F312E" w:rsidRPr="004F312E" w:rsidTr="004F312E">
        <w:trPr>
          <w:trHeight w:val="300"/>
        </w:trPr>
        <w:tc>
          <w:tcPr>
            <w:tcW w:w="5103" w:type="dxa"/>
            <w:tcBorders>
              <w:top w:val="nil"/>
              <w:left w:val="nil"/>
              <w:bottom w:val="nil"/>
              <w:right w:val="nil"/>
            </w:tcBorders>
            <w:shd w:val="clear" w:color="auto" w:fill="auto"/>
            <w:noWrap/>
            <w:vAlign w:val="bottom"/>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t>Fiz.meghagyás kibocsátás hatására befiz. összeg</w:t>
            </w:r>
          </w:p>
        </w:tc>
        <w:tc>
          <w:tcPr>
            <w:tcW w:w="1179" w:type="dxa"/>
            <w:tcBorders>
              <w:top w:val="nil"/>
              <w:left w:val="nil"/>
              <w:bottom w:val="nil"/>
              <w:right w:val="nil"/>
            </w:tcBorders>
            <w:shd w:val="clear" w:color="auto" w:fill="auto"/>
            <w:noWrap/>
            <w:vAlign w:val="bottom"/>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5 095</w:t>
            </w:r>
          </w:p>
        </w:tc>
        <w:tc>
          <w:tcPr>
            <w:tcW w:w="757" w:type="dxa"/>
            <w:tcBorders>
              <w:top w:val="nil"/>
              <w:left w:val="nil"/>
              <w:bottom w:val="nil"/>
              <w:right w:val="nil"/>
            </w:tcBorders>
            <w:shd w:val="clear" w:color="auto" w:fill="auto"/>
            <w:noWrap/>
            <w:vAlign w:val="bottom"/>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t>eFt</w:t>
            </w:r>
          </w:p>
        </w:tc>
        <w:tc>
          <w:tcPr>
            <w:tcW w:w="899" w:type="dxa"/>
            <w:tcBorders>
              <w:top w:val="nil"/>
              <w:left w:val="nil"/>
              <w:bottom w:val="nil"/>
              <w:right w:val="nil"/>
            </w:tcBorders>
            <w:shd w:val="clear" w:color="auto" w:fill="auto"/>
            <w:noWrap/>
            <w:vAlign w:val="bottom"/>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1 285</w:t>
            </w:r>
          </w:p>
        </w:tc>
        <w:tc>
          <w:tcPr>
            <w:tcW w:w="757" w:type="dxa"/>
            <w:tcBorders>
              <w:top w:val="nil"/>
              <w:left w:val="nil"/>
              <w:bottom w:val="nil"/>
              <w:right w:val="nil"/>
            </w:tcBorders>
            <w:shd w:val="clear" w:color="auto" w:fill="auto"/>
            <w:noWrap/>
            <w:vAlign w:val="bottom"/>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t>eFt</w:t>
            </w:r>
          </w:p>
        </w:tc>
        <w:tc>
          <w:tcPr>
            <w:tcW w:w="944" w:type="dxa"/>
            <w:tcBorders>
              <w:top w:val="nil"/>
              <w:left w:val="nil"/>
              <w:bottom w:val="nil"/>
              <w:right w:val="nil"/>
            </w:tcBorders>
            <w:shd w:val="clear" w:color="auto" w:fill="auto"/>
            <w:noWrap/>
            <w:vAlign w:val="bottom"/>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25,2%</w:t>
            </w:r>
          </w:p>
        </w:tc>
      </w:tr>
    </w:tbl>
    <w:p w:rsidR="004F312E" w:rsidRDefault="004F312E" w:rsidP="00241FB5">
      <w:pPr>
        <w:pStyle w:val="Szvegtrzs2"/>
        <w:ind w:right="0"/>
      </w:pPr>
    </w:p>
    <w:p w:rsidR="004F312E" w:rsidRPr="00DE7CFA" w:rsidRDefault="004F312E" w:rsidP="00241FB5">
      <w:pPr>
        <w:pStyle w:val="Szvegtrzs2"/>
        <w:ind w:right="0"/>
      </w:pPr>
    </w:p>
    <w:p w:rsidR="007401A7" w:rsidRPr="00DE7CFA" w:rsidRDefault="007401A7" w:rsidP="007401A7">
      <w:r w:rsidRPr="00DE7CFA">
        <w:t xml:space="preserve">Amennyiben a jogerős fizetési meghagyás hatására sem történik meg a tartozás kiegyenlítése, </w:t>
      </w:r>
    </w:p>
    <w:p w:rsidR="00090F1C" w:rsidRPr="00DE7CFA" w:rsidRDefault="007401A7" w:rsidP="007401A7">
      <w:r w:rsidRPr="00DE7CFA">
        <w:t xml:space="preserve">azt </w:t>
      </w:r>
      <w:r w:rsidRPr="00DE7CFA">
        <w:rPr>
          <w:bCs/>
          <w:i/>
          <w:iCs/>
        </w:rPr>
        <w:t>bírósági végrehajtás</w:t>
      </w:r>
      <w:r w:rsidRPr="00DE7CFA">
        <w:t>ra adjuk tovább.</w:t>
      </w:r>
    </w:p>
    <w:tbl>
      <w:tblPr>
        <w:tblW w:w="9356" w:type="dxa"/>
        <w:tblCellMar>
          <w:left w:w="70" w:type="dxa"/>
          <w:right w:w="70" w:type="dxa"/>
        </w:tblCellMar>
        <w:tblLook w:val="04A0" w:firstRow="1" w:lastRow="0" w:firstColumn="1" w:lastColumn="0" w:noHBand="0" w:noVBand="1"/>
      </w:tblPr>
      <w:tblGrid>
        <w:gridCol w:w="4962"/>
        <w:gridCol w:w="141"/>
        <w:gridCol w:w="1179"/>
        <w:gridCol w:w="616"/>
        <w:gridCol w:w="899"/>
        <w:gridCol w:w="616"/>
        <w:gridCol w:w="943"/>
      </w:tblGrid>
      <w:tr w:rsidR="004F312E" w:rsidRPr="004F312E" w:rsidTr="008B1B91">
        <w:trPr>
          <w:trHeight w:val="300"/>
        </w:trPr>
        <w:tc>
          <w:tcPr>
            <w:tcW w:w="4962" w:type="dxa"/>
            <w:tcBorders>
              <w:top w:val="nil"/>
              <w:left w:val="nil"/>
              <w:bottom w:val="nil"/>
              <w:right w:val="nil"/>
            </w:tcBorders>
            <w:shd w:val="clear" w:color="auto" w:fill="auto"/>
            <w:noWrap/>
            <w:vAlign w:val="bottom"/>
            <w:hideMark/>
          </w:tcPr>
          <w:p w:rsidR="004F312E" w:rsidRPr="004F312E" w:rsidRDefault="004F312E" w:rsidP="004F312E">
            <w:pPr>
              <w:jc w:val="left"/>
              <w:rPr>
                <w:sz w:val="20"/>
                <w:szCs w:val="24"/>
              </w:rPr>
            </w:pPr>
          </w:p>
        </w:tc>
        <w:tc>
          <w:tcPr>
            <w:tcW w:w="1936" w:type="dxa"/>
            <w:gridSpan w:val="3"/>
            <w:tcBorders>
              <w:top w:val="nil"/>
              <w:left w:val="nil"/>
              <w:bottom w:val="single" w:sz="4" w:space="0" w:color="auto"/>
              <w:right w:val="nil"/>
            </w:tcBorders>
            <w:shd w:val="clear" w:color="auto" w:fill="auto"/>
            <w:noWrap/>
            <w:vAlign w:val="bottom"/>
            <w:hideMark/>
          </w:tcPr>
          <w:p w:rsidR="004F312E" w:rsidRPr="004F312E" w:rsidRDefault="004F312E" w:rsidP="004F312E">
            <w:pPr>
              <w:jc w:val="center"/>
              <w:rPr>
                <w:rFonts w:ascii="Times New Roman CE" w:hAnsi="Times New Roman CE" w:cs="Times New Roman CE"/>
                <w:sz w:val="22"/>
                <w:szCs w:val="22"/>
              </w:rPr>
            </w:pPr>
            <w:r w:rsidRPr="004F312E">
              <w:rPr>
                <w:rFonts w:ascii="Times New Roman CE" w:hAnsi="Times New Roman CE" w:cs="Times New Roman CE"/>
                <w:sz w:val="22"/>
                <w:szCs w:val="22"/>
              </w:rPr>
              <w:t>2021. év</w:t>
            </w:r>
          </w:p>
        </w:tc>
        <w:tc>
          <w:tcPr>
            <w:tcW w:w="1515" w:type="dxa"/>
            <w:gridSpan w:val="2"/>
            <w:tcBorders>
              <w:top w:val="nil"/>
              <w:left w:val="nil"/>
              <w:bottom w:val="single" w:sz="4" w:space="0" w:color="auto"/>
              <w:right w:val="nil"/>
            </w:tcBorders>
            <w:shd w:val="clear" w:color="auto" w:fill="auto"/>
            <w:noWrap/>
            <w:vAlign w:val="bottom"/>
            <w:hideMark/>
          </w:tcPr>
          <w:p w:rsidR="004F312E" w:rsidRPr="004F312E" w:rsidRDefault="004F312E" w:rsidP="004F312E">
            <w:pPr>
              <w:jc w:val="center"/>
              <w:rPr>
                <w:rFonts w:ascii="Times New Roman CE" w:hAnsi="Times New Roman CE" w:cs="Times New Roman CE"/>
                <w:sz w:val="22"/>
                <w:szCs w:val="22"/>
              </w:rPr>
            </w:pPr>
            <w:r w:rsidRPr="004F312E">
              <w:rPr>
                <w:rFonts w:ascii="Times New Roman CE" w:hAnsi="Times New Roman CE" w:cs="Times New Roman CE"/>
                <w:sz w:val="22"/>
                <w:szCs w:val="22"/>
              </w:rPr>
              <w:t>2022. év</w:t>
            </w:r>
          </w:p>
        </w:tc>
        <w:tc>
          <w:tcPr>
            <w:tcW w:w="943" w:type="dxa"/>
            <w:tcBorders>
              <w:top w:val="nil"/>
              <w:left w:val="nil"/>
              <w:bottom w:val="single" w:sz="4" w:space="0" w:color="auto"/>
              <w:right w:val="nil"/>
            </w:tcBorders>
            <w:shd w:val="clear" w:color="auto" w:fill="auto"/>
            <w:noWrap/>
            <w:vAlign w:val="bottom"/>
            <w:hideMark/>
          </w:tcPr>
          <w:p w:rsidR="004F312E" w:rsidRPr="004F312E" w:rsidRDefault="004F312E" w:rsidP="004F312E">
            <w:pPr>
              <w:jc w:val="center"/>
              <w:rPr>
                <w:rFonts w:ascii="Times New Roman CE" w:hAnsi="Times New Roman CE" w:cs="Times New Roman CE"/>
                <w:sz w:val="22"/>
                <w:szCs w:val="22"/>
              </w:rPr>
            </w:pPr>
            <w:r w:rsidRPr="004F312E">
              <w:rPr>
                <w:rFonts w:ascii="Times New Roman CE" w:hAnsi="Times New Roman CE" w:cs="Times New Roman CE"/>
                <w:sz w:val="22"/>
                <w:szCs w:val="22"/>
              </w:rPr>
              <w:t>Index</w:t>
            </w:r>
          </w:p>
        </w:tc>
      </w:tr>
      <w:tr w:rsidR="004F312E" w:rsidRPr="004F312E" w:rsidTr="008B1B91">
        <w:trPr>
          <w:trHeight w:val="300"/>
        </w:trPr>
        <w:tc>
          <w:tcPr>
            <w:tcW w:w="4962" w:type="dxa"/>
            <w:tcBorders>
              <w:top w:val="nil"/>
              <w:left w:val="nil"/>
              <w:bottom w:val="nil"/>
              <w:right w:val="nil"/>
            </w:tcBorders>
            <w:shd w:val="clear" w:color="auto" w:fill="auto"/>
            <w:vAlign w:val="bottom"/>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t>Bírósági végrehajtásra adott követelés az időszakban</w:t>
            </w:r>
          </w:p>
        </w:tc>
        <w:tc>
          <w:tcPr>
            <w:tcW w:w="1320" w:type="dxa"/>
            <w:gridSpan w:val="2"/>
            <w:tcBorders>
              <w:top w:val="nil"/>
              <w:left w:val="nil"/>
              <w:bottom w:val="nil"/>
              <w:right w:val="nil"/>
            </w:tcBorders>
            <w:shd w:val="clear" w:color="auto" w:fill="auto"/>
            <w:noWrap/>
            <w:vAlign w:val="bottom"/>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85</w:t>
            </w:r>
          </w:p>
        </w:tc>
        <w:tc>
          <w:tcPr>
            <w:tcW w:w="616" w:type="dxa"/>
            <w:tcBorders>
              <w:top w:val="nil"/>
              <w:left w:val="nil"/>
              <w:bottom w:val="nil"/>
              <w:right w:val="nil"/>
            </w:tcBorders>
            <w:shd w:val="clear" w:color="auto" w:fill="auto"/>
            <w:noWrap/>
            <w:vAlign w:val="bottom"/>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t>db</w:t>
            </w:r>
          </w:p>
        </w:tc>
        <w:tc>
          <w:tcPr>
            <w:tcW w:w="899" w:type="dxa"/>
            <w:tcBorders>
              <w:top w:val="nil"/>
              <w:left w:val="nil"/>
              <w:bottom w:val="nil"/>
              <w:right w:val="nil"/>
            </w:tcBorders>
            <w:shd w:val="clear" w:color="auto" w:fill="auto"/>
            <w:noWrap/>
            <w:vAlign w:val="bottom"/>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57</w:t>
            </w:r>
          </w:p>
        </w:tc>
        <w:tc>
          <w:tcPr>
            <w:tcW w:w="616" w:type="dxa"/>
            <w:tcBorders>
              <w:top w:val="nil"/>
              <w:left w:val="nil"/>
              <w:bottom w:val="nil"/>
              <w:right w:val="nil"/>
            </w:tcBorders>
            <w:shd w:val="clear" w:color="auto" w:fill="auto"/>
            <w:noWrap/>
            <w:vAlign w:val="bottom"/>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t>db</w:t>
            </w:r>
          </w:p>
        </w:tc>
        <w:tc>
          <w:tcPr>
            <w:tcW w:w="943" w:type="dxa"/>
            <w:tcBorders>
              <w:top w:val="nil"/>
              <w:left w:val="nil"/>
              <w:bottom w:val="nil"/>
              <w:right w:val="nil"/>
            </w:tcBorders>
            <w:shd w:val="clear" w:color="auto" w:fill="auto"/>
            <w:noWrap/>
            <w:vAlign w:val="bottom"/>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67,1%</w:t>
            </w:r>
          </w:p>
        </w:tc>
      </w:tr>
      <w:tr w:rsidR="004F312E" w:rsidRPr="004F312E" w:rsidTr="008B1B91">
        <w:trPr>
          <w:trHeight w:val="300"/>
        </w:trPr>
        <w:tc>
          <w:tcPr>
            <w:tcW w:w="4962" w:type="dxa"/>
            <w:tcBorders>
              <w:top w:val="nil"/>
              <w:left w:val="nil"/>
              <w:bottom w:val="nil"/>
              <w:right w:val="nil"/>
            </w:tcBorders>
            <w:shd w:val="clear" w:color="auto" w:fill="auto"/>
            <w:noWrap/>
            <w:vAlign w:val="bottom"/>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t>Bírósági végrehajtásra adott köv. tőkeösszege</w:t>
            </w:r>
          </w:p>
        </w:tc>
        <w:tc>
          <w:tcPr>
            <w:tcW w:w="1320" w:type="dxa"/>
            <w:gridSpan w:val="2"/>
            <w:tcBorders>
              <w:top w:val="nil"/>
              <w:left w:val="nil"/>
              <w:bottom w:val="nil"/>
              <w:right w:val="nil"/>
            </w:tcBorders>
            <w:shd w:val="clear" w:color="auto" w:fill="auto"/>
            <w:noWrap/>
            <w:vAlign w:val="bottom"/>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3 356</w:t>
            </w:r>
          </w:p>
        </w:tc>
        <w:tc>
          <w:tcPr>
            <w:tcW w:w="616" w:type="dxa"/>
            <w:tcBorders>
              <w:top w:val="nil"/>
              <w:left w:val="nil"/>
              <w:bottom w:val="nil"/>
              <w:right w:val="nil"/>
            </w:tcBorders>
            <w:shd w:val="clear" w:color="auto" w:fill="auto"/>
            <w:noWrap/>
            <w:vAlign w:val="bottom"/>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t>eFt</w:t>
            </w:r>
          </w:p>
        </w:tc>
        <w:tc>
          <w:tcPr>
            <w:tcW w:w="899" w:type="dxa"/>
            <w:tcBorders>
              <w:top w:val="nil"/>
              <w:left w:val="nil"/>
              <w:bottom w:val="nil"/>
              <w:right w:val="nil"/>
            </w:tcBorders>
            <w:shd w:val="clear" w:color="auto" w:fill="auto"/>
            <w:noWrap/>
            <w:vAlign w:val="bottom"/>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5 072</w:t>
            </w:r>
          </w:p>
        </w:tc>
        <w:tc>
          <w:tcPr>
            <w:tcW w:w="616" w:type="dxa"/>
            <w:tcBorders>
              <w:top w:val="nil"/>
              <w:left w:val="nil"/>
              <w:bottom w:val="nil"/>
              <w:right w:val="nil"/>
            </w:tcBorders>
            <w:shd w:val="clear" w:color="auto" w:fill="auto"/>
            <w:noWrap/>
            <w:vAlign w:val="bottom"/>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t>eFt</w:t>
            </w:r>
          </w:p>
        </w:tc>
        <w:tc>
          <w:tcPr>
            <w:tcW w:w="943" w:type="dxa"/>
            <w:tcBorders>
              <w:top w:val="nil"/>
              <w:left w:val="nil"/>
              <w:bottom w:val="nil"/>
              <w:right w:val="nil"/>
            </w:tcBorders>
            <w:shd w:val="clear" w:color="auto" w:fill="auto"/>
            <w:noWrap/>
            <w:vAlign w:val="bottom"/>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151,1%</w:t>
            </w:r>
          </w:p>
        </w:tc>
      </w:tr>
      <w:tr w:rsidR="004F312E" w:rsidRPr="004F312E" w:rsidTr="008B1B91">
        <w:trPr>
          <w:trHeight w:val="300"/>
        </w:trPr>
        <w:tc>
          <w:tcPr>
            <w:tcW w:w="5103" w:type="dxa"/>
            <w:gridSpan w:val="2"/>
            <w:tcBorders>
              <w:top w:val="nil"/>
              <w:left w:val="nil"/>
              <w:bottom w:val="nil"/>
              <w:right w:val="nil"/>
            </w:tcBorders>
            <w:shd w:val="clear" w:color="auto" w:fill="auto"/>
            <w:noWrap/>
            <w:vAlign w:val="bottom"/>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t>1 bírósági végrehajtásra adott köv. átlagos tőkeösszege</w:t>
            </w:r>
          </w:p>
        </w:tc>
        <w:tc>
          <w:tcPr>
            <w:tcW w:w="1179" w:type="dxa"/>
            <w:tcBorders>
              <w:top w:val="nil"/>
              <w:left w:val="nil"/>
              <w:bottom w:val="nil"/>
              <w:right w:val="nil"/>
            </w:tcBorders>
            <w:shd w:val="clear" w:color="auto" w:fill="auto"/>
            <w:noWrap/>
            <w:vAlign w:val="bottom"/>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39</w:t>
            </w:r>
          </w:p>
        </w:tc>
        <w:tc>
          <w:tcPr>
            <w:tcW w:w="616" w:type="dxa"/>
            <w:tcBorders>
              <w:top w:val="nil"/>
              <w:left w:val="nil"/>
              <w:bottom w:val="nil"/>
              <w:right w:val="nil"/>
            </w:tcBorders>
            <w:shd w:val="clear" w:color="auto" w:fill="auto"/>
            <w:noWrap/>
            <w:vAlign w:val="bottom"/>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t>eFt</w:t>
            </w:r>
          </w:p>
        </w:tc>
        <w:tc>
          <w:tcPr>
            <w:tcW w:w="899" w:type="dxa"/>
            <w:tcBorders>
              <w:top w:val="nil"/>
              <w:left w:val="nil"/>
              <w:bottom w:val="nil"/>
              <w:right w:val="nil"/>
            </w:tcBorders>
            <w:shd w:val="clear" w:color="auto" w:fill="auto"/>
            <w:noWrap/>
            <w:vAlign w:val="bottom"/>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89</w:t>
            </w:r>
          </w:p>
        </w:tc>
        <w:tc>
          <w:tcPr>
            <w:tcW w:w="616" w:type="dxa"/>
            <w:tcBorders>
              <w:top w:val="nil"/>
              <w:left w:val="nil"/>
              <w:bottom w:val="nil"/>
              <w:right w:val="nil"/>
            </w:tcBorders>
            <w:shd w:val="clear" w:color="auto" w:fill="auto"/>
            <w:noWrap/>
            <w:vAlign w:val="bottom"/>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t>eFt</w:t>
            </w:r>
          </w:p>
        </w:tc>
        <w:tc>
          <w:tcPr>
            <w:tcW w:w="943" w:type="dxa"/>
            <w:tcBorders>
              <w:top w:val="nil"/>
              <w:left w:val="nil"/>
              <w:bottom w:val="nil"/>
              <w:right w:val="nil"/>
            </w:tcBorders>
            <w:shd w:val="clear" w:color="auto" w:fill="auto"/>
            <w:noWrap/>
            <w:vAlign w:val="bottom"/>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225,4%</w:t>
            </w:r>
          </w:p>
        </w:tc>
      </w:tr>
      <w:tr w:rsidR="004F312E" w:rsidRPr="004F312E" w:rsidTr="008B1B91">
        <w:trPr>
          <w:trHeight w:val="300"/>
        </w:trPr>
        <w:tc>
          <w:tcPr>
            <w:tcW w:w="4962" w:type="dxa"/>
            <w:tcBorders>
              <w:top w:val="nil"/>
              <w:left w:val="nil"/>
              <w:bottom w:val="nil"/>
              <w:right w:val="nil"/>
            </w:tcBorders>
            <w:shd w:val="clear" w:color="auto" w:fill="auto"/>
            <w:noWrap/>
            <w:vAlign w:val="bottom"/>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t>Követelések teljes végrehajtási ügyértéke</w:t>
            </w:r>
          </w:p>
        </w:tc>
        <w:tc>
          <w:tcPr>
            <w:tcW w:w="1320" w:type="dxa"/>
            <w:gridSpan w:val="2"/>
            <w:tcBorders>
              <w:top w:val="nil"/>
              <w:left w:val="nil"/>
              <w:bottom w:val="nil"/>
              <w:right w:val="nil"/>
            </w:tcBorders>
            <w:shd w:val="clear" w:color="auto" w:fill="auto"/>
            <w:noWrap/>
            <w:vAlign w:val="bottom"/>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17 523</w:t>
            </w:r>
          </w:p>
        </w:tc>
        <w:tc>
          <w:tcPr>
            <w:tcW w:w="616" w:type="dxa"/>
            <w:tcBorders>
              <w:top w:val="nil"/>
              <w:left w:val="nil"/>
              <w:bottom w:val="nil"/>
              <w:right w:val="nil"/>
            </w:tcBorders>
            <w:shd w:val="clear" w:color="auto" w:fill="auto"/>
            <w:noWrap/>
            <w:vAlign w:val="bottom"/>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t>eFt</w:t>
            </w:r>
          </w:p>
        </w:tc>
        <w:tc>
          <w:tcPr>
            <w:tcW w:w="899" w:type="dxa"/>
            <w:tcBorders>
              <w:top w:val="nil"/>
              <w:left w:val="nil"/>
              <w:bottom w:val="nil"/>
              <w:right w:val="nil"/>
            </w:tcBorders>
            <w:shd w:val="clear" w:color="auto" w:fill="auto"/>
            <w:noWrap/>
            <w:vAlign w:val="bottom"/>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16 561</w:t>
            </w:r>
          </w:p>
        </w:tc>
        <w:tc>
          <w:tcPr>
            <w:tcW w:w="616" w:type="dxa"/>
            <w:tcBorders>
              <w:top w:val="nil"/>
              <w:left w:val="nil"/>
              <w:bottom w:val="nil"/>
              <w:right w:val="nil"/>
            </w:tcBorders>
            <w:shd w:val="clear" w:color="auto" w:fill="auto"/>
            <w:noWrap/>
            <w:vAlign w:val="bottom"/>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t>eFt</w:t>
            </w:r>
          </w:p>
        </w:tc>
        <w:tc>
          <w:tcPr>
            <w:tcW w:w="943" w:type="dxa"/>
            <w:tcBorders>
              <w:top w:val="nil"/>
              <w:left w:val="nil"/>
              <w:bottom w:val="nil"/>
              <w:right w:val="nil"/>
            </w:tcBorders>
            <w:shd w:val="clear" w:color="auto" w:fill="auto"/>
            <w:noWrap/>
            <w:vAlign w:val="bottom"/>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94,5%</w:t>
            </w:r>
          </w:p>
        </w:tc>
      </w:tr>
      <w:tr w:rsidR="004F312E" w:rsidRPr="004F312E" w:rsidTr="008B1B91">
        <w:trPr>
          <w:trHeight w:val="356"/>
        </w:trPr>
        <w:tc>
          <w:tcPr>
            <w:tcW w:w="4962" w:type="dxa"/>
            <w:tcBorders>
              <w:top w:val="nil"/>
              <w:left w:val="nil"/>
              <w:bottom w:val="nil"/>
              <w:right w:val="nil"/>
            </w:tcBorders>
            <w:shd w:val="clear" w:color="auto" w:fill="auto"/>
            <w:vAlign w:val="bottom"/>
            <w:hideMark/>
          </w:tcPr>
          <w:p w:rsidR="004F312E" w:rsidRPr="004F312E" w:rsidRDefault="004F312E" w:rsidP="004F312E">
            <w:pPr>
              <w:jc w:val="left"/>
              <w:rPr>
                <w:rFonts w:ascii="Times New Roman CE" w:hAnsi="Times New Roman CE" w:cs="Times New Roman CE"/>
                <w:sz w:val="18"/>
                <w:szCs w:val="18"/>
              </w:rPr>
            </w:pPr>
            <w:r w:rsidRPr="004F312E">
              <w:rPr>
                <w:rFonts w:ascii="Times New Roman CE" w:hAnsi="Times New Roman CE" w:cs="Times New Roman CE"/>
                <w:sz w:val="18"/>
                <w:szCs w:val="18"/>
              </w:rPr>
              <w:t xml:space="preserve">(tőketart, fizetési meghagyások és végrehajtási ktge, </w:t>
            </w:r>
            <w:r w:rsidRPr="004F312E">
              <w:rPr>
                <w:rFonts w:ascii="Times New Roman CE" w:hAnsi="Times New Roman CE" w:cs="Times New Roman CE"/>
                <w:sz w:val="18"/>
                <w:szCs w:val="18"/>
              </w:rPr>
              <w:br/>
              <w:t>illetékek, késedelmi kamat)</w:t>
            </w:r>
          </w:p>
        </w:tc>
        <w:tc>
          <w:tcPr>
            <w:tcW w:w="1320" w:type="dxa"/>
            <w:gridSpan w:val="2"/>
            <w:tcBorders>
              <w:top w:val="nil"/>
              <w:left w:val="nil"/>
              <w:bottom w:val="nil"/>
              <w:right w:val="nil"/>
            </w:tcBorders>
            <w:shd w:val="clear" w:color="auto" w:fill="auto"/>
            <w:noWrap/>
            <w:vAlign w:val="bottom"/>
            <w:hideMark/>
          </w:tcPr>
          <w:p w:rsidR="004F312E" w:rsidRPr="004F312E" w:rsidRDefault="004F312E" w:rsidP="004F312E">
            <w:pPr>
              <w:jc w:val="left"/>
              <w:rPr>
                <w:rFonts w:ascii="Times New Roman CE" w:hAnsi="Times New Roman CE" w:cs="Times New Roman CE"/>
                <w:sz w:val="18"/>
                <w:szCs w:val="18"/>
              </w:rPr>
            </w:pPr>
          </w:p>
        </w:tc>
        <w:tc>
          <w:tcPr>
            <w:tcW w:w="616" w:type="dxa"/>
            <w:tcBorders>
              <w:top w:val="nil"/>
              <w:left w:val="nil"/>
              <w:bottom w:val="nil"/>
              <w:right w:val="nil"/>
            </w:tcBorders>
            <w:shd w:val="clear" w:color="auto" w:fill="auto"/>
            <w:noWrap/>
            <w:vAlign w:val="bottom"/>
            <w:hideMark/>
          </w:tcPr>
          <w:p w:rsidR="004F312E" w:rsidRPr="004F312E" w:rsidRDefault="004F312E" w:rsidP="004F312E">
            <w:pPr>
              <w:jc w:val="right"/>
              <w:rPr>
                <w:sz w:val="20"/>
              </w:rPr>
            </w:pPr>
          </w:p>
        </w:tc>
        <w:tc>
          <w:tcPr>
            <w:tcW w:w="899" w:type="dxa"/>
            <w:tcBorders>
              <w:top w:val="nil"/>
              <w:left w:val="nil"/>
              <w:bottom w:val="nil"/>
              <w:right w:val="nil"/>
            </w:tcBorders>
            <w:shd w:val="clear" w:color="auto" w:fill="auto"/>
            <w:noWrap/>
            <w:vAlign w:val="bottom"/>
            <w:hideMark/>
          </w:tcPr>
          <w:p w:rsidR="004F312E" w:rsidRPr="004F312E" w:rsidRDefault="004F312E" w:rsidP="004F312E">
            <w:pPr>
              <w:jc w:val="left"/>
              <w:rPr>
                <w:sz w:val="20"/>
              </w:rPr>
            </w:pPr>
          </w:p>
        </w:tc>
        <w:tc>
          <w:tcPr>
            <w:tcW w:w="616" w:type="dxa"/>
            <w:tcBorders>
              <w:top w:val="nil"/>
              <w:left w:val="nil"/>
              <w:bottom w:val="nil"/>
              <w:right w:val="nil"/>
            </w:tcBorders>
            <w:shd w:val="clear" w:color="auto" w:fill="auto"/>
            <w:noWrap/>
            <w:vAlign w:val="bottom"/>
            <w:hideMark/>
          </w:tcPr>
          <w:p w:rsidR="004F312E" w:rsidRPr="004F312E" w:rsidRDefault="004F312E" w:rsidP="004F312E">
            <w:pPr>
              <w:jc w:val="right"/>
              <w:rPr>
                <w:sz w:val="20"/>
              </w:rPr>
            </w:pPr>
          </w:p>
        </w:tc>
        <w:tc>
          <w:tcPr>
            <w:tcW w:w="943" w:type="dxa"/>
            <w:tcBorders>
              <w:top w:val="nil"/>
              <w:left w:val="nil"/>
              <w:bottom w:val="nil"/>
              <w:right w:val="nil"/>
            </w:tcBorders>
            <w:shd w:val="clear" w:color="auto" w:fill="auto"/>
            <w:noWrap/>
            <w:vAlign w:val="bottom"/>
            <w:hideMark/>
          </w:tcPr>
          <w:p w:rsidR="004F312E" w:rsidRPr="004F312E" w:rsidRDefault="004F312E" w:rsidP="004F312E">
            <w:pPr>
              <w:jc w:val="left"/>
              <w:rPr>
                <w:sz w:val="20"/>
              </w:rPr>
            </w:pPr>
          </w:p>
        </w:tc>
      </w:tr>
      <w:tr w:rsidR="004F312E" w:rsidRPr="004F312E" w:rsidTr="008B1B91">
        <w:trPr>
          <w:trHeight w:val="600"/>
        </w:trPr>
        <w:tc>
          <w:tcPr>
            <w:tcW w:w="4962" w:type="dxa"/>
            <w:tcBorders>
              <w:top w:val="nil"/>
              <w:left w:val="nil"/>
              <w:bottom w:val="nil"/>
              <w:right w:val="nil"/>
            </w:tcBorders>
            <w:shd w:val="clear" w:color="auto" w:fill="auto"/>
            <w:vAlign w:val="bottom"/>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t>A végrehajtás alatt álló eljárásokból</w:t>
            </w:r>
            <w:r w:rsidRPr="004F312E">
              <w:rPr>
                <w:rFonts w:ascii="Times New Roman CE" w:hAnsi="Times New Roman CE" w:cs="Times New Roman CE"/>
                <w:sz w:val="22"/>
                <w:szCs w:val="22"/>
              </w:rPr>
              <w:br/>
              <w:t>az időszakban befolyt összeg</w:t>
            </w:r>
          </w:p>
        </w:tc>
        <w:tc>
          <w:tcPr>
            <w:tcW w:w="1320" w:type="dxa"/>
            <w:gridSpan w:val="2"/>
            <w:tcBorders>
              <w:top w:val="nil"/>
              <w:left w:val="nil"/>
              <w:bottom w:val="nil"/>
              <w:right w:val="nil"/>
            </w:tcBorders>
            <w:shd w:val="clear" w:color="auto" w:fill="auto"/>
            <w:noWrap/>
            <w:vAlign w:val="center"/>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33 183</w:t>
            </w:r>
          </w:p>
        </w:tc>
        <w:tc>
          <w:tcPr>
            <w:tcW w:w="616" w:type="dxa"/>
            <w:tcBorders>
              <w:top w:val="nil"/>
              <w:left w:val="nil"/>
              <w:bottom w:val="nil"/>
              <w:right w:val="nil"/>
            </w:tcBorders>
            <w:shd w:val="clear" w:color="auto" w:fill="auto"/>
            <w:noWrap/>
            <w:vAlign w:val="center"/>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t>eFt</w:t>
            </w:r>
          </w:p>
        </w:tc>
        <w:tc>
          <w:tcPr>
            <w:tcW w:w="899" w:type="dxa"/>
            <w:tcBorders>
              <w:top w:val="nil"/>
              <w:left w:val="nil"/>
              <w:bottom w:val="nil"/>
              <w:right w:val="nil"/>
            </w:tcBorders>
            <w:shd w:val="clear" w:color="auto" w:fill="auto"/>
            <w:noWrap/>
            <w:vAlign w:val="center"/>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24 392</w:t>
            </w:r>
          </w:p>
        </w:tc>
        <w:tc>
          <w:tcPr>
            <w:tcW w:w="616" w:type="dxa"/>
            <w:tcBorders>
              <w:top w:val="nil"/>
              <w:left w:val="nil"/>
              <w:bottom w:val="nil"/>
              <w:right w:val="nil"/>
            </w:tcBorders>
            <w:shd w:val="clear" w:color="auto" w:fill="auto"/>
            <w:noWrap/>
            <w:vAlign w:val="center"/>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t>eFt</w:t>
            </w:r>
          </w:p>
        </w:tc>
        <w:tc>
          <w:tcPr>
            <w:tcW w:w="943" w:type="dxa"/>
            <w:tcBorders>
              <w:top w:val="nil"/>
              <w:left w:val="nil"/>
              <w:bottom w:val="nil"/>
              <w:right w:val="nil"/>
            </w:tcBorders>
            <w:shd w:val="clear" w:color="auto" w:fill="auto"/>
            <w:noWrap/>
            <w:vAlign w:val="center"/>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73,5%</w:t>
            </w:r>
          </w:p>
        </w:tc>
      </w:tr>
      <w:tr w:rsidR="004F312E" w:rsidRPr="004F312E" w:rsidTr="008B1B91">
        <w:trPr>
          <w:trHeight w:val="600"/>
        </w:trPr>
        <w:tc>
          <w:tcPr>
            <w:tcW w:w="4962" w:type="dxa"/>
            <w:tcBorders>
              <w:top w:val="nil"/>
              <w:left w:val="nil"/>
              <w:bottom w:val="nil"/>
              <w:right w:val="nil"/>
            </w:tcBorders>
            <w:shd w:val="clear" w:color="auto" w:fill="auto"/>
            <w:vAlign w:val="bottom"/>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t>Ingatlanra bejegyzett tőkekövetelés</w:t>
            </w:r>
            <w:r w:rsidRPr="004F312E">
              <w:rPr>
                <w:rFonts w:ascii="Times New Roman CE" w:hAnsi="Times New Roman CE" w:cs="Times New Roman CE"/>
                <w:sz w:val="22"/>
                <w:szCs w:val="22"/>
              </w:rPr>
              <w:br/>
              <w:t>a beszámolási időszak utolsó napján</w:t>
            </w:r>
          </w:p>
        </w:tc>
        <w:tc>
          <w:tcPr>
            <w:tcW w:w="1320" w:type="dxa"/>
            <w:gridSpan w:val="2"/>
            <w:tcBorders>
              <w:top w:val="nil"/>
              <w:left w:val="nil"/>
              <w:bottom w:val="nil"/>
              <w:right w:val="nil"/>
            </w:tcBorders>
            <w:shd w:val="clear" w:color="auto" w:fill="auto"/>
            <w:noWrap/>
            <w:vAlign w:val="center"/>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7 144</w:t>
            </w:r>
          </w:p>
        </w:tc>
        <w:tc>
          <w:tcPr>
            <w:tcW w:w="616" w:type="dxa"/>
            <w:tcBorders>
              <w:top w:val="nil"/>
              <w:left w:val="nil"/>
              <w:bottom w:val="nil"/>
              <w:right w:val="nil"/>
            </w:tcBorders>
            <w:shd w:val="clear" w:color="auto" w:fill="auto"/>
            <w:noWrap/>
            <w:vAlign w:val="center"/>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t>eFt</w:t>
            </w:r>
          </w:p>
        </w:tc>
        <w:tc>
          <w:tcPr>
            <w:tcW w:w="899" w:type="dxa"/>
            <w:tcBorders>
              <w:top w:val="nil"/>
              <w:left w:val="nil"/>
              <w:bottom w:val="nil"/>
              <w:right w:val="nil"/>
            </w:tcBorders>
            <w:shd w:val="clear" w:color="auto" w:fill="auto"/>
            <w:noWrap/>
            <w:vAlign w:val="center"/>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1 938</w:t>
            </w:r>
          </w:p>
        </w:tc>
        <w:tc>
          <w:tcPr>
            <w:tcW w:w="616" w:type="dxa"/>
            <w:tcBorders>
              <w:top w:val="nil"/>
              <w:left w:val="nil"/>
              <w:bottom w:val="nil"/>
              <w:right w:val="nil"/>
            </w:tcBorders>
            <w:shd w:val="clear" w:color="auto" w:fill="auto"/>
            <w:noWrap/>
            <w:vAlign w:val="center"/>
            <w:hideMark/>
          </w:tcPr>
          <w:p w:rsidR="004F312E" w:rsidRPr="004F312E" w:rsidRDefault="004F312E" w:rsidP="004F312E">
            <w:pPr>
              <w:jc w:val="left"/>
              <w:rPr>
                <w:rFonts w:ascii="Times New Roman CE" w:hAnsi="Times New Roman CE" w:cs="Times New Roman CE"/>
                <w:sz w:val="22"/>
                <w:szCs w:val="22"/>
              </w:rPr>
            </w:pPr>
            <w:r w:rsidRPr="004F312E">
              <w:rPr>
                <w:rFonts w:ascii="Times New Roman CE" w:hAnsi="Times New Roman CE" w:cs="Times New Roman CE"/>
                <w:sz w:val="22"/>
                <w:szCs w:val="22"/>
              </w:rPr>
              <w:t>eFt</w:t>
            </w:r>
          </w:p>
        </w:tc>
        <w:tc>
          <w:tcPr>
            <w:tcW w:w="943" w:type="dxa"/>
            <w:tcBorders>
              <w:top w:val="nil"/>
              <w:left w:val="nil"/>
              <w:bottom w:val="nil"/>
              <w:right w:val="nil"/>
            </w:tcBorders>
            <w:shd w:val="clear" w:color="auto" w:fill="auto"/>
            <w:noWrap/>
            <w:vAlign w:val="center"/>
            <w:hideMark/>
          </w:tcPr>
          <w:p w:rsidR="004F312E" w:rsidRPr="004F312E" w:rsidRDefault="004F312E" w:rsidP="004F312E">
            <w:pPr>
              <w:jc w:val="right"/>
              <w:rPr>
                <w:rFonts w:ascii="Times New Roman CE" w:hAnsi="Times New Roman CE" w:cs="Times New Roman CE"/>
                <w:sz w:val="22"/>
                <w:szCs w:val="22"/>
              </w:rPr>
            </w:pPr>
            <w:r w:rsidRPr="004F312E">
              <w:rPr>
                <w:rFonts w:ascii="Times New Roman CE" w:hAnsi="Times New Roman CE" w:cs="Times New Roman CE"/>
                <w:sz w:val="22"/>
                <w:szCs w:val="22"/>
              </w:rPr>
              <w:t>27,1%</w:t>
            </w:r>
          </w:p>
        </w:tc>
      </w:tr>
    </w:tbl>
    <w:p w:rsidR="004F312E" w:rsidRPr="00DE7CFA" w:rsidRDefault="004F312E" w:rsidP="007401A7"/>
    <w:p w:rsidR="00912E1F" w:rsidRDefault="00C36609" w:rsidP="00C36609">
      <w:pPr>
        <w:rPr>
          <w:szCs w:val="24"/>
        </w:rPr>
      </w:pPr>
      <w:r w:rsidRPr="00DE7CFA">
        <w:rPr>
          <w:szCs w:val="24"/>
        </w:rPr>
        <w:t xml:space="preserve">Tapasztalataink szerint a fizetési felszólítások, valamint a korlátozási/kizárási eljárás elindítása és főként a tényleges korlátozás/kizárás ösztönzi a felhasználókat tartozásuk kiegyenlítésére. </w:t>
      </w:r>
    </w:p>
    <w:p w:rsidR="00912E1F" w:rsidRDefault="00912E1F">
      <w:pPr>
        <w:jc w:val="left"/>
        <w:rPr>
          <w:szCs w:val="24"/>
        </w:rPr>
      </w:pPr>
      <w:r>
        <w:rPr>
          <w:szCs w:val="24"/>
        </w:rPr>
        <w:br w:type="page"/>
      </w:r>
    </w:p>
    <w:p w:rsidR="004F312E" w:rsidRPr="00912E1F" w:rsidRDefault="004F312E" w:rsidP="00C36609">
      <w:pPr>
        <w:rPr>
          <w:sz w:val="16"/>
          <w:szCs w:val="16"/>
        </w:rPr>
      </w:pPr>
    </w:p>
    <w:p w:rsidR="004F312E" w:rsidRPr="00912E1F" w:rsidRDefault="004F312E" w:rsidP="00C36609">
      <w:pPr>
        <w:rPr>
          <w:sz w:val="16"/>
          <w:szCs w:val="16"/>
        </w:rPr>
      </w:pPr>
    </w:p>
    <w:p w:rsidR="007C26EB" w:rsidRPr="00DE7CFA" w:rsidRDefault="007C26EB" w:rsidP="00461E19">
      <w:pPr>
        <w:jc w:val="left"/>
        <w:rPr>
          <w:i/>
          <w:szCs w:val="24"/>
        </w:rPr>
      </w:pPr>
      <w:r w:rsidRPr="00DE7CFA">
        <w:rPr>
          <w:i/>
          <w:szCs w:val="24"/>
        </w:rPr>
        <w:t>A korlátozási-kizárási csoport működése</w:t>
      </w:r>
    </w:p>
    <w:p w:rsidR="0005038A" w:rsidRPr="00DE7CFA" w:rsidRDefault="0005038A" w:rsidP="00EB7254">
      <w:pPr>
        <w:pStyle w:val="Szvegtrzs2"/>
        <w:ind w:right="34"/>
        <w:rPr>
          <w:szCs w:val="24"/>
        </w:rPr>
      </w:pPr>
    </w:p>
    <w:p w:rsidR="00533824" w:rsidRPr="00BC0C18" w:rsidRDefault="00533824" w:rsidP="00533824">
      <w:pPr>
        <w:pStyle w:val="Szvegtrzs2"/>
        <w:ind w:right="34"/>
        <w:rPr>
          <w:szCs w:val="24"/>
        </w:rPr>
      </w:pPr>
      <w:r w:rsidRPr="00BC0C18">
        <w:rPr>
          <w:szCs w:val="24"/>
        </w:rPr>
        <w:t xml:space="preserve">Az Ügyfélszolgálat szervezetén belül működő korlátozási-kizárási csoport elsődleges feladata a korlátozás vagy kizárás végrehajtása, illetve a tartozás rendezését követő 3 napon belül a szolgáltatás helyreállítása. A csoport további feladata a korlátozott/kizárt felhasználási helyek időszakos ellenőrzése, az elhagyott, üresen álló ingatlanok feltérképezése, bekötéseik rendezése, valamint a hosszú ideje korlátozott és nagy összeggel tartozó felhasználási helyek esetében a lakossági felhasználók kizárása ott, ahol a szolgáltatás közkútról megoldható. Ezen esetekben a kintlévőség csökkentése mellett cél az is, hogy az adós tartozása ne növekedjen számottevően.  </w:t>
      </w:r>
    </w:p>
    <w:p w:rsidR="00453032" w:rsidRPr="00DE7CFA" w:rsidRDefault="00453032">
      <w:pPr>
        <w:jc w:val="left"/>
        <w:rPr>
          <w:szCs w:val="24"/>
        </w:rPr>
      </w:pPr>
    </w:p>
    <w:p w:rsidR="0079575D" w:rsidRPr="00DE7CFA" w:rsidRDefault="0079575D" w:rsidP="00C36609">
      <w:pPr>
        <w:pStyle w:val="Szvegtrzs2"/>
        <w:ind w:right="34"/>
      </w:pPr>
      <w:r w:rsidRPr="00DE7CFA">
        <w:rPr>
          <w:i/>
          <w:szCs w:val="24"/>
        </w:rPr>
        <w:t>Korlátozási-kizárási csoport által végzett tevékenység</w:t>
      </w:r>
    </w:p>
    <w:p w:rsidR="00EB7254" w:rsidRPr="00DE7CFA" w:rsidRDefault="00EB7254" w:rsidP="00C36609">
      <w:pPr>
        <w:pStyle w:val="Szvegtrzs2"/>
        <w:ind w:right="34"/>
        <w:rPr>
          <w:sz w:val="8"/>
          <w:szCs w:val="8"/>
        </w:rPr>
      </w:pPr>
    </w:p>
    <w:tbl>
      <w:tblPr>
        <w:tblW w:w="8626" w:type="dxa"/>
        <w:tblCellMar>
          <w:left w:w="70" w:type="dxa"/>
          <w:right w:w="70" w:type="dxa"/>
        </w:tblCellMar>
        <w:tblLook w:val="04A0" w:firstRow="1" w:lastRow="0" w:firstColumn="1" w:lastColumn="0" w:noHBand="0" w:noVBand="1"/>
      </w:tblPr>
      <w:tblGrid>
        <w:gridCol w:w="4253"/>
        <w:gridCol w:w="283"/>
        <w:gridCol w:w="873"/>
        <w:gridCol w:w="432"/>
        <w:gridCol w:w="1004"/>
        <w:gridCol w:w="705"/>
        <w:gridCol w:w="814"/>
        <w:gridCol w:w="262"/>
      </w:tblGrid>
      <w:tr w:rsidR="00533824" w:rsidTr="00533824">
        <w:trPr>
          <w:trHeight w:val="315"/>
        </w:trPr>
        <w:tc>
          <w:tcPr>
            <w:tcW w:w="4536" w:type="dxa"/>
            <w:gridSpan w:val="2"/>
            <w:tcBorders>
              <w:top w:val="nil"/>
              <w:left w:val="nil"/>
              <w:bottom w:val="single" w:sz="4" w:space="0" w:color="auto"/>
              <w:right w:val="nil"/>
            </w:tcBorders>
            <w:shd w:val="clear" w:color="auto" w:fill="auto"/>
            <w:noWrap/>
            <w:vAlign w:val="bottom"/>
            <w:hideMark/>
          </w:tcPr>
          <w:p w:rsidR="00533824" w:rsidRDefault="00533824">
            <w:pPr>
              <w:jc w:val="left"/>
              <w:rPr>
                <w:rFonts w:ascii="Times New Roman CE" w:hAnsi="Times New Roman CE" w:cs="Times New Roman CE"/>
              </w:rPr>
            </w:pPr>
            <w:r>
              <w:rPr>
                <w:rFonts w:ascii="Times New Roman CE" w:hAnsi="Times New Roman CE" w:cs="Times New Roman CE"/>
              </w:rPr>
              <w:t> </w:t>
            </w:r>
          </w:p>
        </w:tc>
        <w:tc>
          <w:tcPr>
            <w:tcW w:w="1305" w:type="dxa"/>
            <w:gridSpan w:val="2"/>
            <w:tcBorders>
              <w:top w:val="nil"/>
              <w:left w:val="nil"/>
              <w:bottom w:val="single" w:sz="4" w:space="0" w:color="auto"/>
              <w:right w:val="nil"/>
            </w:tcBorders>
            <w:shd w:val="clear" w:color="auto" w:fill="auto"/>
            <w:noWrap/>
            <w:vAlign w:val="bottom"/>
            <w:hideMark/>
          </w:tcPr>
          <w:p w:rsidR="00533824" w:rsidRDefault="00533824">
            <w:pPr>
              <w:rPr>
                <w:rFonts w:ascii="Times New Roman CE" w:hAnsi="Times New Roman CE" w:cs="Times New Roman CE"/>
                <w:i/>
                <w:iCs/>
              </w:rPr>
            </w:pPr>
            <w:r>
              <w:rPr>
                <w:rFonts w:ascii="Times New Roman CE" w:hAnsi="Times New Roman CE" w:cs="Times New Roman CE"/>
                <w:i/>
                <w:iCs/>
              </w:rPr>
              <w:t>Lakosság</w:t>
            </w:r>
          </w:p>
        </w:tc>
        <w:tc>
          <w:tcPr>
            <w:tcW w:w="1709" w:type="dxa"/>
            <w:gridSpan w:val="2"/>
            <w:tcBorders>
              <w:top w:val="nil"/>
              <w:left w:val="nil"/>
              <w:bottom w:val="single" w:sz="4" w:space="0" w:color="auto"/>
              <w:right w:val="nil"/>
            </w:tcBorders>
            <w:shd w:val="clear" w:color="auto" w:fill="auto"/>
            <w:noWrap/>
            <w:vAlign w:val="bottom"/>
            <w:hideMark/>
          </w:tcPr>
          <w:p w:rsidR="00533824" w:rsidRDefault="00533824">
            <w:pPr>
              <w:rPr>
                <w:rFonts w:ascii="Times New Roman CE" w:hAnsi="Times New Roman CE" w:cs="Times New Roman CE"/>
                <w:i/>
                <w:iCs/>
              </w:rPr>
            </w:pPr>
            <w:r>
              <w:rPr>
                <w:rFonts w:ascii="Times New Roman CE" w:hAnsi="Times New Roman CE" w:cs="Times New Roman CE"/>
                <w:i/>
                <w:iCs/>
              </w:rPr>
              <w:t>Nem lakosság</w:t>
            </w:r>
          </w:p>
        </w:tc>
        <w:tc>
          <w:tcPr>
            <w:tcW w:w="1076" w:type="dxa"/>
            <w:gridSpan w:val="2"/>
            <w:tcBorders>
              <w:top w:val="nil"/>
              <w:left w:val="nil"/>
              <w:bottom w:val="single" w:sz="4" w:space="0" w:color="auto"/>
              <w:right w:val="nil"/>
            </w:tcBorders>
            <w:shd w:val="clear" w:color="auto" w:fill="auto"/>
            <w:noWrap/>
            <w:vAlign w:val="bottom"/>
            <w:hideMark/>
          </w:tcPr>
          <w:p w:rsidR="00533824" w:rsidRDefault="00533824">
            <w:pPr>
              <w:rPr>
                <w:rFonts w:ascii="Times New Roman CE" w:hAnsi="Times New Roman CE" w:cs="Times New Roman CE"/>
                <w:i/>
                <w:iCs/>
              </w:rPr>
            </w:pPr>
            <w:r>
              <w:rPr>
                <w:rFonts w:ascii="Times New Roman CE" w:hAnsi="Times New Roman CE" w:cs="Times New Roman CE"/>
                <w:i/>
                <w:iCs/>
              </w:rPr>
              <w:t>Összesen</w:t>
            </w:r>
          </w:p>
        </w:tc>
      </w:tr>
      <w:tr w:rsidR="00533824" w:rsidTr="00533824">
        <w:trPr>
          <w:gridAfter w:val="1"/>
          <w:wAfter w:w="262" w:type="dxa"/>
          <w:trHeight w:val="315"/>
        </w:trPr>
        <w:tc>
          <w:tcPr>
            <w:tcW w:w="4253" w:type="dxa"/>
            <w:tcBorders>
              <w:top w:val="nil"/>
              <w:left w:val="nil"/>
              <w:bottom w:val="nil"/>
              <w:right w:val="nil"/>
            </w:tcBorders>
            <w:shd w:val="clear" w:color="000000" w:fill="FFFFFF"/>
            <w:vAlign w:val="center"/>
            <w:hideMark/>
          </w:tcPr>
          <w:p w:rsidR="00533824" w:rsidRDefault="00533824">
            <w:r>
              <w:t>Felkeresett felhasználók száma</w:t>
            </w:r>
          </w:p>
        </w:tc>
        <w:tc>
          <w:tcPr>
            <w:tcW w:w="1156" w:type="dxa"/>
            <w:gridSpan w:val="2"/>
            <w:tcBorders>
              <w:top w:val="nil"/>
              <w:left w:val="nil"/>
              <w:bottom w:val="nil"/>
              <w:right w:val="nil"/>
            </w:tcBorders>
            <w:shd w:val="clear" w:color="auto" w:fill="auto"/>
            <w:noWrap/>
            <w:vAlign w:val="bottom"/>
            <w:hideMark/>
          </w:tcPr>
          <w:p w:rsidR="00533824" w:rsidRDefault="00533824">
            <w:pPr>
              <w:jc w:val="right"/>
              <w:rPr>
                <w:rFonts w:ascii="Times New Roman CE" w:hAnsi="Times New Roman CE" w:cs="Times New Roman CE"/>
              </w:rPr>
            </w:pPr>
            <w:r>
              <w:rPr>
                <w:rFonts w:ascii="Times New Roman CE" w:hAnsi="Times New Roman CE" w:cs="Times New Roman CE"/>
              </w:rPr>
              <w:t>1112</w:t>
            </w:r>
          </w:p>
        </w:tc>
        <w:tc>
          <w:tcPr>
            <w:tcW w:w="1436" w:type="dxa"/>
            <w:gridSpan w:val="2"/>
            <w:tcBorders>
              <w:top w:val="nil"/>
              <w:left w:val="nil"/>
              <w:bottom w:val="nil"/>
              <w:right w:val="nil"/>
            </w:tcBorders>
            <w:shd w:val="clear" w:color="auto" w:fill="auto"/>
            <w:noWrap/>
            <w:vAlign w:val="bottom"/>
            <w:hideMark/>
          </w:tcPr>
          <w:p w:rsidR="00533824" w:rsidRDefault="00533824">
            <w:pPr>
              <w:jc w:val="right"/>
              <w:rPr>
                <w:rFonts w:ascii="Times New Roman CE" w:hAnsi="Times New Roman CE" w:cs="Times New Roman CE"/>
              </w:rPr>
            </w:pPr>
            <w:r>
              <w:rPr>
                <w:rFonts w:ascii="Times New Roman CE" w:hAnsi="Times New Roman CE" w:cs="Times New Roman CE"/>
              </w:rPr>
              <w:t>142</w:t>
            </w:r>
          </w:p>
        </w:tc>
        <w:tc>
          <w:tcPr>
            <w:tcW w:w="1519" w:type="dxa"/>
            <w:gridSpan w:val="2"/>
            <w:tcBorders>
              <w:top w:val="nil"/>
              <w:left w:val="nil"/>
              <w:bottom w:val="nil"/>
              <w:right w:val="nil"/>
            </w:tcBorders>
            <w:shd w:val="clear" w:color="auto" w:fill="auto"/>
            <w:noWrap/>
            <w:vAlign w:val="bottom"/>
            <w:hideMark/>
          </w:tcPr>
          <w:p w:rsidR="00533824" w:rsidRDefault="00533824">
            <w:pPr>
              <w:jc w:val="right"/>
              <w:rPr>
                <w:rFonts w:ascii="Times New Roman CE" w:hAnsi="Times New Roman CE" w:cs="Times New Roman CE"/>
              </w:rPr>
            </w:pPr>
            <w:r>
              <w:rPr>
                <w:rFonts w:ascii="Times New Roman CE" w:hAnsi="Times New Roman CE" w:cs="Times New Roman CE"/>
              </w:rPr>
              <w:t>1254</w:t>
            </w:r>
          </w:p>
        </w:tc>
      </w:tr>
      <w:tr w:rsidR="00533824" w:rsidTr="00533824">
        <w:trPr>
          <w:gridAfter w:val="1"/>
          <w:wAfter w:w="262" w:type="dxa"/>
          <w:trHeight w:val="102"/>
        </w:trPr>
        <w:tc>
          <w:tcPr>
            <w:tcW w:w="4536" w:type="dxa"/>
            <w:gridSpan w:val="2"/>
            <w:tcBorders>
              <w:top w:val="nil"/>
              <w:left w:val="nil"/>
              <w:bottom w:val="nil"/>
              <w:right w:val="nil"/>
            </w:tcBorders>
            <w:shd w:val="clear" w:color="000000" w:fill="FFFFFF"/>
            <w:noWrap/>
            <w:vAlign w:val="center"/>
            <w:hideMark/>
          </w:tcPr>
          <w:p w:rsidR="00533824" w:rsidRDefault="00533824">
            <w:pPr>
              <w:jc w:val="left"/>
            </w:pPr>
            <w:r>
              <w:t>Korlátozott/kizárt felhasználási helyek száma</w:t>
            </w:r>
          </w:p>
        </w:tc>
        <w:tc>
          <w:tcPr>
            <w:tcW w:w="873" w:type="dxa"/>
            <w:tcBorders>
              <w:top w:val="nil"/>
              <w:left w:val="nil"/>
              <w:bottom w:val="nil"/>
              <w:right w:val="nil"/>
            </w:tcBorders>
            <w:shd w:val="clear" w:color="auto" w:fill="auto"/>
            <w:noWrap/>
            <w:vAlign w:val="bottom"/>
            <w:hideMark/>
          </w:tcPr>
          <w:p w:rsidR="00533824" w:rsidRDefault="00533824">
            <w:pPr>
              <w:jc w:val="right"/>
              <w:rPr>
                <w:rFonts w:ascii="Times New Roman CE" w:hAnsi="Times New Roman CE" w:cs="Times New Roman CE"/>
              </w:rPr>
            </w:pPr>
            <w:r>
              <w:rPr>
                <w:rFonts w:ascii="Times New Roman CE" w:hAnsi="Times New Roman CE" w:cs="Times New Roman CE"/>
              </w:rPr>
              <w:t>31</w:t>
            </w:r>
          </w:p>
        </w:tc>
        <w:tc>
          <w:tcPr>
            <w:tcW w:w="1436" w:type="dxa"/>
            <w:gridSpan w:val="2"/>
            <w:tcBorders>
              <w:top w:val="nil"/>
              <w:left w:val="nil"/>
              <w:bottom w:val="nil"/>
              <w:right w:val="nil"/>
            </w:tcBorders>
            <w:shd w:val="clear" w:color="auto" w:fill="auto"/>
            <w:noWrap/>
            <w:vAlign w:val="bottom"/>
            <w:hideMark/>
          </w:tcPr>
          <w:p w:rsidR="00533824" w:rsidRDefault="00533824">
            <w:pPr>
              <w:jc w:val="right"/>
              <w:rPr>
                <w:rFonts w:ascii="Times New Roman CE" w:hAnsi="Times New Roman CE" w:cs="Times New Roman CE"/>
              </w:rPr>
            </w:pPr>
            <w:r>
              <w:rPr>
                <w:rFonts w:ascii="Times New Roman CE" w:hAnsi="Times New Roman CE" w:cs="Times New Roman CE"/>
              </w:rPr>
              <w:t>3</w:t>
            </w:r>
          </w:p>
        </w:tc>
        <w:tc>
          <w:tcPr>
            <w:tcW w:w="1519" w:type="dxa"/>
            <w:gridSpan w:val="2"/>
            <w:tcBorders>
              <w:top w:val="nil"/>
              <w:left w:val="nil"/>
              <w:bottom w:val="nil"/>
              <w:right w:val="nil"/>
            </w:tcBorders>
            <w:shd w:val="clear" w:color="auto" w:fill="auto"/>
            <w:noWrap/>
            <w:vAlign w:val="bottom"/>
            <w:hideMark/>
          </w:tcPr>
          <w:p w:rsidR="00533824" w:rsidRDefault="00533824">
            <w:pPr>
              <w:jc w:val="right"/>
              <w:rPr>
                <w:rFonts w:ascii="Times New Roman CE" w:hAnsi="Times New Roman CE" w:cs="Times New Roman CE"/>
              </w:rPr>
            </w:pPr>
            <w:r>
              <w:rPr>
                <w:rFonts w:ascii="Times New Roman CE" w:hAnsi="Times New Roman CE" w:cs="Times New Roman CE"/>
              </w:rPr>
              <w:t>34</w:t>
            </w:r>
          </w:p>
        </w:tc>
      </w:tr>
      <w:tr w:rsidR="00533824" w:rsidTr="00533824">
        <w:trPr>
          <w:gridAfter w:val="1"/>
          <w:wAfter w:w="262" w:type="dxa"/>
          <w:trHeight w:val="80"/>
        </w:trPr>
        <w:tc>
          <w:tcPr>
            <w:tcW w:w="4253" w:type="dxa"/>
            <w:tcBorders>
              <w:top w:val="nil"/>
              <w:left w:val="nil"/>
              <w:bottom w:val="nil"/>
              <w:right w:val="nil"/>
            </w:tcBorders>
            <w:shd w:val="clear" w:color="000000" w:fill="FFFFFF"/>
            <w:vAlign w:val="center"/>
            <w:hideMark/>
          </w:tcPr>
          <w:p w:rsidR="00533824" w:rsidRDefault="00533824">
            <w:pPr>
              <w:jc w:val="left"/>
            </w:pPr>
            <w:r>
              <w:t>Befizetésre került tartozások száma</w:t>
            </w:r>
          </w:p>
        </w:tc>
        <w:tc>
          <w:tcPr>
            <w:tcW w:w="1156" w:type="dxa"/>
            <w:gridSpan w:val="2"/>
            <w:tcBorders>
              <w:top w:val="nil"/>
              <w:left w:val="nil"/>
              <w:bottom w:val="nil"/>
              <w:right w:val="nil"/>
            </w:tcBorders>
            <w:shd w:val="clear" w:color="auto" w:fill="auto"/>
            <w:noWrap/>
            <w:vAlign w:val="bottom"/>
            <w:hideMark/>
          </w:tcPr>
          <w:p w:rsidR="00533824" w:rsidRDefault="00533824">
            <w:pPr>
              <w:jc w:val="right"/>
              <w:rPr>
                <w:rFonts w:ascii="Times New Roman CE" w:hAnsi="Times New Roman CE" w:cs="Times New Roman CE"/>
              </w:rPr>
            </w:pPr>
            <w:r>
              <w:rPr>
                <w:rFonts w:ascii="Times New Roman CE" w:hAnsi="Times New Roman CE" w:cs="Times New Roman CE"/>
              </w:rPr>
              <w:t>828</w:t>
            </w:r>
          </w:p>
        </w:tc>
        <w:tc>
          <w:tcPr>
            <w:tcW w:w="1436" w:type="dxa"/>
            <w:gridSpan w:val="2"/>
            <w:tcBorders>
              <w:top w:val="nil"/>
              <w:left w:val="nil"/>
              <w:bottom w:val="nil"/>
              <w:right w:val="nil"/>
            </w:tcBorders>
            <w:shd w:val="clear" w:color="auto" w:fill="auto"/>
            <w:noWrap/>
            <w:vAlign w:val="bottom"/>
            <w:hideMark/>
          </w:tcPr>
          <w:p w:rsidR="00533824" w:rsidRDefault="00533824">
            <w:pPr>
              <w:jc w:val="right"/>
              <w:rPr>
                <w:rFonts w:ascii="Times New Roman CE" w:hAnsi="Times New Roman CE" w:cs="Times New Roman CE"/>
              </w:rPr>
            </w:pPr>
            <w:r>
              <w:rPr>
                <w:rFonts w:ascii="Times New Roman CE" w:hAnsi="Times New Roman CE" w:cs="Times New Roman CE"/>
              </w:rPr>
              <w:t>109</w:t>
            </w:r>
          </w:p>
        </w:tc>
        <w:tc>
          <w:tcPr>
            <w:tcW w:w="1519" w:type="dxa"/>
            <w:gridSpan w:val="2"/>
            <w:tcBorders>
              <w:top w:val="nil"/>
              <w:left w:val="nil"/>
              <w:bottom w:val="nil"/>
              <w:right w:val="nil"/>
            </w:tcBorders>
            <w:shd w:val="clear" w:color="auto" w:fill="auto"/>
            <w:noWrap/>
            <w:vAlign w:val="bottom"/>
            <w:hideMark/>
          </w:tcPr>
          <w:p w:rsidR="00533824" w:rsidRDefault="00533824">
            <w:pPr>
              <w:jc w:val="right"/>
              <w:rPr>
                <w:rFonts w:ascii="Times New Roman CE" w:hAnsi="Times New Roman CE" w:cs="Times New Roman CE"/>
              </w:rPr>
            </w:pPr>
            <w:r>
              <w:rPr>
                <w:rFonts w:ascii="Times New Roman CE" w:hAnsi="Times New Roman CE" w:cs="Times New Roman CE"/>
              </w:rPr>
              <w:t>937</w:t>
            </w:r>
          </w:p>
        </w:tc>
      </w:tr>
      <w:tr w:rsidR="00533824" w:rsidTr="00533824">
        <w:trPr>
          <w:gridAfter w:val="1"/>
          <w:wAfter w:w="262" w:type="dxa"/>
          <w:trHeight w:val="465"/>
        </w:trPr>
        <w:tc>
          <w:tcPr>
            <w:tcW w:w="4253" w:type="dxa"/>
            <w:tcBorders>
              <w:top w:val="nil"/>
              <w:left w:val="nil"/>
              <w:bottom w:val="nil"/>
              <w:right w:val="nil"/>
            </w:tcBorders>
            <w:shd w:val="clear" w:color="000000" w:fill="FFFFFF"/>
            <w:vAlign w:val="center"/>
            <w:hideMark/>
          </w:tcPr>
          <w:p w:rsidR="00533824" w:rsidRDefault="00533824">
            <w:pPr>
              <w:jc w:val="left"/>
            </w:pPr>
            <w:r>
              <w:t>Korlátozási/kizárási listákon szereplő felhasználók összes tartozása  eFt</w:t>
            </w:r>
          </w:p>
        </w:tc>
        <w:tc>
          <w:tcPr>
            <w:tcW w:w="1156" w:type="dxa"/>
            <w:gridSpan w:val="2"/>
            <w:tcBorders>
              <w:top w:val="nil"/>
              <w:left w:val="nil"/>
              <w:bottom w:val="nil"/>
              <w:right w:val="nil"/>
            </w:tcBorders>
            <w:shd w:val="clear" w:color="auto" w:fill="auto"/>
            <w:noWrap/>
            <w:vAlign w:val="center"/>
            <w:hideMark/>
          </w:tcPr>
          <w:p w:rsidR="00533824" w:rsidRDefault="00533824">
            <w:pPr>
              <w:jc w:val="right"/>
              <w:rPr>
                <w:rFonts w:ascii="Times New Roman CE" w:hAnsi="Times New Roman CE" w:cs="Times New Roman CE"/>
              </w:rPr>
            </w:pPr>
            <w:r>
              <w:rPr>
                <w:rFonts w:ascii="Times New Roman CE" w:hAnsi="Times New Roman CE" w:cs="Times New Roman CE"/>
              </w:rPr>
              <w:t>25 985</w:t>
            </w:r>
          </w:p>
        </w:tc>
        <w:tc>
          <w:tcPr>
            <w:tcW w:w="1436" w:type="dxa"/>
            <w:gridSpan w:val="2"/>
            <w:tcBorders>
              <w:top w:val="nil"/>
              <w:left w:val="nil"/>
              <w:bottom w:val="nil"/>
              <w:right w:val="nil"/>
            </w:tcBorders>
            <w:shd w:val="clear" w:color="auto" w:fill="auto"/>
            <w:noWrap/>
            <w:vAlign w:val="center"/>
            <w:hideMark/>
          </w:tcPr>
          <w:p w:rsidR="00533824" w:rsidRDefault="00533824">
            <w:pPr>
              <w:jc w:val="right"/>
              <w:rPr>
                <w:rFonts w:ascii="Times New Roman CE" w:hAnsi="Times New Roman CE" w:cs="Times New Roman CE"/>
              </w:rPr>
            </w:pPr>
            <w:r>
              <w:rPr>
                <w:rFonts w:ascii="Times New Roman CE" w:hAnsi="Times New Roman CE" w:cs="Times New Roman CE"/>
              </w:rPr>
              <w:t>5 992</w:t>
            </w:r>
          </w:p>
        </w:tc>
        <w:tc>
          <w:tcPr>
            <w:tcW w:w="1519" w:type="dxa"/>
            <w:gridSpan w:val="2"/>
            <w:tcBorders>
              <w:top w:val="nil"/>
              <w:left w:val="nil"/>
              <w:bottom w:val="nil"/>
              <w:right w:val="nil"/>
            </w:tcBorders>
            <w:shd w:val="clear" w:color="auto" w:fill="auto"/>
            <w:noWrap/>
            <w:vAlign w:val="center"/>
            <w:hideMark/>
          </w:tcPr>
          <w:p w:rsidR="00533824" w:rsidRDefault="00533824">
            <w:pPr>
              <w:jc w:val="right"/>
              <w:rPr>
                <w:rFonts w:ascii="Times New Roman CE" w:hAnsi="Times New Roman CE" w:cs="Times New Roman CE"/>
              </w:rPr>
            </w:pPr>
            <w:r>
              <w:rPr>
                <w:rFonts w:ascii="Times New Roman CE" w:hAnsi="Times New Roman CE" w:cs="Times New Roman CE"/>
              </w:rPr>
              <w:t>31 977</w:t>
            </w:r>
          </w:p>
        </w:tc>
      </w:tr>
      <w:tr w:rsidR="00533824" w:rsidTr="00533824">
        <w:trPr>
          <w:gridAfter w:val="1"/>
          <w:wAfter w:w="262" w:type="dxa"/>
          <w:trHeight w:val="119"/>
        </w:trPr>
        <w:tc>
          <w:tcPr>
            <w:tcW w:w="4253" w:type="dxa"/>
            <w:tcBorders>
              <w:top w:val="nil"/>
              <w:left w:val="nil"/>
              <w:bottom w:val="nil"/>
              <w:right w:val="nil"/>
            </w:tcBorders>
            <w:shd w:val="clear" w:color="000000" w:fill="FFFFFF"/>
            <w:vAlign w:val="center"/>
            <w:hideMark/>
          </w:tcPr>
          <w:p w:rsidR="00533824" w:rsidRDefault="00533824">
            <w:pPr>
              <w:jc w:val="left"/>
            </w:pPr>
            <w:r>
              <w:t>Befizetett tartozások összege  eFt</w:t>
            </w:r>
          </w:p>
        </w:tc>
        <w:tc>
          <w:tcPr>
            <w:tcW w:w="1156" w:type="dxa"/>
            <w:gridSpan w:val="2"/>
            <w:tcBorders>
              <w:top w:val="nil"/>
              <w:left w:val="nil"/>
              <w:bottom w:val="nil"/>
              <w:right w:val="nil"/>
            </w:tcBorders>
            <w:shd w:val="clear" w:color="auto" w:fill="auto"/>
            <w:noWrap/>
            <w:vAlign w:val="bottom"/>
            <w:hideMark/>
          </w:tcPr>
          <w:p w:rsidR="00533824" w:rsidRDefault="00533824">
            <w:pPr>
              <w:jc w:val="right"/>
              <w:rPr>
                <w:rFonts w:ascii="Times New Roman CE" w:hAnsi="Times New Roman CE" w:cs="Times New Roman CE"/>
              </w:rPr>
            </w:pPr>
            <w:r>
              <w:rPr>
                <w:rFonts w:ascii="Times New Roman CE" w:hAnsi="Times New Roman CE" w:cs="Times New Roman CE"/>
              </w:rPr>
              <w:t>27 139</w:t>
            </w:r>
          </w:p>
        </w:tc>
        <w:tc>
          <w:tcPr>
            <w:tcW w:w="1436" w:type="dxa"/>
            <w:gridSpan w:val="2"/>
            <w:tcBorders>
              <w:top w:val="nil"/>
              <w:left w:val="nil"/>
              <w:bottom w:val="nil"/>
              <w:right w:val="nil"/>
            </w:tcBorders>
            <w:shd w:val="clear" w:color="auto" w:fill="auto"/>
            <w:noWrap/>
            <w:vAlign w:val="bottom"/>
            <w:hideMark/>
          </w:tcPr>
          <w:p w:rsidR="00533824" w:rsidRDefault="00533824">
            <w:pPr>
              <w:jc w:val="right"/>
              <w:rPr>
                <w:rFonts w:ascii="Times New Roman CE" w:hAnsi="Times New Roman CE" w:cs="Times New Roman CE"/>
              </w:rPr>
            </w:pPr>
            <w:r>
              <w:rPr>
                <w:rFonts w:ascii="Times New Roman CE" w:hAnsi="Times New Roman CE" w:cs="Times New Roman CE"/>
              </w:rPr>
              <w:t>6 640</w:t>
            </w:r>
          </w:p>
        </w:tc>
        <w:tc>
          <w:tcPr>
            <w:tcW w:w="1519" w:type="dxa"/>
            <w:gridSpan w:val="2"/>
            <w:tcBorders>
              <w:top w:val="nil"/>
              <w:left w:val="nil"/>
              <w:bottom w:val="nil"/>
              <w:right w:val="nil"/>
            </w:tcBorders>
            <w:shd w:val="clear" w:color="auto" w:fill="auto"/>
            <w:noWrap/>
            <w:vAlign w:val="bottom"/>
            <w:hideMark/>
          </w:tcPr>
          <w:p w:rsidR="00533824" w:rsidRDefault="00533824">
            <w:pPr>
              <w:jc w:val="right"/>
              <w:rPr>
                <w:rFonts w:ascii="Times New Roman CE" w:hAnsi="Times New Roman CE" w:cs="Times New Roman CE"/>
              </w:rPr>
            </w:pPr>
            <w:r>
              <w:rPr>
                <w:rFonts w:ascii="Times New Roman CE" w:hAnsi="Times New Roman CE" w:cs="Times New Roman CE"/>
              </w:rPr>
              <w:t>33 779</w:t>
            </w:r>
          </w:p>
        </w:tc>
      </w:tr>
      <w:tr w:rsidR="00533824" w:rsidTr="00533824">
        <w:trPr>
          <w:gridAfter w:val="1"/>
          <w:wAfter w:w="262" w:type="dxa"/>
          <w:trHeight w:val="238"/>
        </w:trPr>
        <w:tc>
          <w:tcPr>
            <w:tcW w:w="4253" w:type="dxa"/>
            <w:tcBorders>
              <w:top w:val="nil"/>
              <w:left w:val="nil"/>
              <w:bottom w:val="nil"/>
              <w:right w:val="nil"/>
            </w:tcBorders>
            <w:shd w:val="clear" w:color="000000" w:fill="FFFFFF"/>
            <w:vAlign w:val="center"/>
            <w:hideMark/>
          </w:tcPr>
          <w:p w:rsidR="00533824" w:rsidRDefault="00533824">
            <w:pPr>
              <w:jc w:val="left"/>
            </w:pPr>
            <w:r>
              <w:t>Befizetési arány</w:t>
            </w:r>
          </w:p>
        </w:tc>
        <w:tc>
          <w:tcPr>
            <w:tcW w:w="1156" w:type="dxa"/>
            <w:gridSpan w:val="2"/>
            <w:tcBorders>
              <w:top w:val="nil"/>
              <w:left w:val="nil"/>
              <w:bottom w:val="nil"/>
              <w:right w:val="nil"/>
            </w:tcBorders>
            <w:shd w:val="clear" w:color="auto" w:fill="auto"/>
            <w:noWrap/>
            <w:vAlign w:val="bottom"/>
            <w:hideMark/>
          </w:tcPr>
          <w:p w:rsidR="00533824" w:rsidRDefault="00533824">
            <w:pPr>
              <w:jc w:val="right"/>
              <w:rPr>
                <w:rFonts w:ascii="Times New Roman CE" w:hAnsi="Times New Roman CE" w:cs="Times New Roman CE"/>
              </w:rPr>
            </w:pPr>
            <w:r>
              <w:rPr>
                <w:rFonts w:ascii="Times New Roman CE" w:hAnsi="Times New Roman CE" w:cs="Times New Roman CE"/>
              </w:rPr>
              <w:t>104,4%</w:t>
            </w:r>
          </w:p>
        </w:tc>
        <w:tc>
          <w:tcPr>
            <w:tcW w:w="1436" w:type="dxa"/>
            <w:gridSpan w:val="2"/>
            <w:tcBorders>
              <w:top w:val="nil"/>
              <w:left w:val="nil"/>
              <w:bottom w:val="nil"/>
              <w:right w:val="nil"/>
            </w:tcBorders>
            <w:shd w:val="clear" w:color="auto" w:fill="auto"/>
            <w:noWrap/>
            <w:vAlign w:val="bottom"/>
            <w:hideMark/>
          </w:tcPr>
          <w:p w:rsidR="00533824" w:rsidRDefault="00533824">
            <w:pPr>
              <w:jc w:val="right"/>
              <w:rPr>
                <w:rFonts w:ascii="Times New Roman CE" w:hAnsi="Times New Roman CE" w:cs="Times New Roman CE"/>
              </w:rPr>
            </w:pPr>
            <w:r>
              <w:rPr>
                <w:rFonts w:ascii="Times New Roman CE" w:hAnsi="Times New Roman CE" w:cs="Times New Roman CE"/>
              </w:rPr>
              <w:t>110,8%</w:t>
            </w:r>
          </w:p>
        </w:tc>
        <w:tc>
          <w:tcPr>
            <w:tcW w:w="1519" w:type="dxa"/>
            <w:gridSpan w:val="2"/>
            <w:tcBorders>
              <w:top w:val="nil"/>
              <w:left w:val="nil"/>
              <w:bottom w:val="nil"/>
              <w:right w:val="nil"/>
            </w:tcBorders>
            <w:shd w:val="clear" w:color="auto" w:fill="auto"/>
            <w:noWrap/>
            <w:vAlign w:val="bottom"/>
            <w:hideMark/>
          </w:tcPr>
          <w:p w:rsidR="00533824" w:rsidRDefault="00533824">
            <w:pPr>
              <w:jc w:val="right"/>
              <w:rPr>
                <w:rFonts w:ascii="Times New Roman CE" w:hAnsi="Times New Roman CE" w:cs="Times New Roman CE"/>
              </w:rPr>
            </w:pPr>
            <w:r>
              <w:rPr>
                <w:rFonts w:ascii="Times New Roman CE" w:hAnsi="Times New Roman CE" w:cs="Times New Roman CE"/>
              </w:rPr>
              <w:t>105,6%</w:t>
            </w:r>
          </w:p>
        </w:tc>
      </w:tr>
      <w:tr w:rsidR="00533824" w:rsidTr="00533824">
        <w:trPr>
          <w:gridAfter w:val="1"/>
          <w:wAfter w:w="262" w:type="dxa"/>
          <w:trHeight w:val="199"/>
        </w:trPr>
        <w:tc>
          <w:tcPr>
            <w:tcW w:w="4253" w:type="dxa"/>
            <w:tcBorders>
              <w:top w:val="nil"/>
              <w:left w:val="nil"/>
              <w:bottom w:val="nil"/>
              <w:right w:val="nil"/>
            </w:tcBorders>
            <w:shd w:val="clear" w:color="000000" w:fill="FFFFFF"/>
            <w:vAlign w:val="center"/>
            <w:hideMark/>
          </w:tcPr>
          <w:p w:rsidR="00533824" w:rsidRDefault="00533824">
            <w:pPr>
              <w:jc w:val="left"/>
            </w:pPr>
            <w:r>
              <w:t>Védendői státuszt igényelt</w:t>
            </w:r>
          </w:p>
        </w:tc>
        <w:tc>
          <w:tcPr>
            <w:tcW w:w="1156" w:type="dxa"/>
            <w:gridSpan w:val="2"/>
            <w:tcBorders>
              <w:top w:val="nil"/>
              <w:left w:val="nil"/>
              <w:bottom w:val="nil"/>
              <w:right w:val="nil"/>
            </w:tcBorders>
            <w:shd w:val="clear" w:color="auto" w:fill="auto"/>
            <w:noWrap/>
            <w:vAlign w:val="bottom"/>
            <w:hideMark/>
          </w:tcPr>
          <w:p w:rsidR="00533824" w:rsidRDefault="00533824">
            <w:pPr>
              <w:jc w:val="right"/>
              <w:rPr>
                <w:rFonts w:ascii="Times New Roman CE" w:hAnsi="Times New Roman CE" w:cs="Times New Roman CE"/>
              </w:rPr>
            </w:pPr>
            <w:r>
              <w:rPr>
                <w:rFonts w:ascii="Times New Roman CE" w:hAnsi="Times New Roman CE" w:cs="Times New Roman CE"/>
              </w:rPr>
              <w:t>5</w:t>
            </w:r>
          </w:p>
        </w:tc>
        <w:tc>
          <w:tcPr>
            <w:tcW w:w="1436" w:type="dxa"/>
            <w:gridSpan w:val="2"/>
            <w:tcBorders>
              <w:top w:val="nil"/>
              <w:left w:val="nil"/>
              <w:bottom w:val="nil"/>
              <w:right w:val="nil"/>
            </w:tcBorders>
            <w:shd w:val="clear" w:color="auto" w:fill="auto"/>
            <w:noWrap/>
            <w:vAlign w:val="bottom"/>
            <w:hideMark/>
          </w:tcPr>
          <w:p w:rsidR="00533824" w:rsidRDefault="00533824">
            <w:pPr>
              <w:jc w:val="right"/>
              <w:rPr>
                <w:rFonts w:ascii="Times New Roman CE" w:hAnsi="Times New Roman CE" w:cs="Times New Roman CE"/>
              </w:rPr>
            </w:pPr>
            <w:r>
              <w:rPr>
                <w:rFonts w:ascii="Times New Roman CE" w:hAnsi="Times New Roman CE" w:cs="Times New Roman CE"/>
              </w:rPr>
              <w:t>0</w:t>
            </w:r>
          </w:p>
        </w:tc>
        <w:tc>
          <w:tcPr>
            <w:tcW w:w="1519" w:type="dxa"/>
            <w:gridSpan w:val="2"/>
            <w:tcBorders>
              <w:top w:val="nil"/>
              <w:left w:val="nil"/>
              <w:bottom w:val="nil"/>
              <w:right w:val="nil"/>
            </w:tcBorders>
            <w:shd w:val="clear" w:color="auto" w:fill="auto"/>
            <w:noWrap/>
            <w:vAlign w:val="bottom"/>
            <w:hideMark/>
          </w:tcPr>
          <w:p w:rsidR="00533824" w:rsidRDefault="00533824">
            <w:pPr>
              <w:jc w:val="right"/>
              <w:rPr>
                <w:rFonts w:ascii="Times New Roman CE" w:hAnsi="Times New Roman CE" w:cs="Times New Roman CE"/>
              </w:rPr>
            </w:pPr>
            <w:r>
              <w:rPr>
                <w:rFonts w:ascii="Times New Roman CE" w:hAnsi="Times New Roman CE" w:cs="Times New Roman CE"/>
              </w:rPr>
              <w:t>5</w:t>
            </w:r>
          </w:p>
        </w:tc>
      </w:tr>
      <w:tr w:rsidR="00533824" w:rsidTr="00533824">
        <w:trPr>
          <w:gridAfter w:val="1"/>
          <w:wAfter w:w="262" w:type="dxa"/>
          <w:trHeight w:val="176"/>
        </w:trPr>
        <w:tc>
          <w:tcPr>
            <w:tcW w:w="4253" w:type="dxa"/>
            <w:tcBorders>
              <w:top w:val="nil"/>
              <w:left w:val="nil"/>
              <w:bottom w:val="nil"/>
              <w:right w:val="nil"/>
            </w:tcBorders>
            <w:shd w:val="clear" w:color="auto" w:fill="auto"/>
            <w:noWrap/>
            <w:vAlign w:val="bottom"/>
            <w:hideMark/>
          </w:tcPr>
          <w:p w:rsidR="00533824" w:rsidRDefault="00533824">
            <w:pPr>
              <w:jc w:val="left"/>
              <w:rPr>
                <w:rFonts w:ascii="Times New Roman CE" w:hAnsi="Times New Roman CE" w:cs="Times New Roman CE"/>
              </w:rPr>
            </w:pPr>
            <w:r>
              <w:rPr>
                <w:rFonts w:ascii="Times New Roman CE" w:hAnsi="Times New Roman CE" w:cs="Times New Roman CE"/>
              </w:rPr>
              <w:t>Visszanyitások száma</w:t>
            </w:r>
          </w:p>
        </w:tc>
        <w:tc>
          <w:tcPr>
            <w:tcW w:w="1156" w:type="dxa"/>
            <w:gridSpan w:val="2"/>
            <w:tcBorders>
              <w:top w:val="nil"/>
              <w:left w:val="nil"/>
              <w:bottom w:val="nil"/>
              <w:right w:val="nil"/>
            </w:tcBorders>
            <w:shd w:val="clear" w:color="auto" w:fill="auto"/>
            <w:noWrap/>
            <w:vAlign w:val="bottom"/>
            <w:hideMark/>
          </w:tcPr>
          <w:p w:rsidR="00533824" w:rsidRDefault="00533824">
            <w:pPr>
              <w:jc w:val="right"/>
              <w:rPr>
                <w:rFonts w:ascii="Times New Roman CE" w:hAnsi="Times New Roman CE" w:cs="Times New Roman CE"/>
              </w:rPr>
            </w:pPr>
            <w:r>
              <w:rPr>
                <w:rFonts w:ascii="Times New Roman CE" w:hAnsi="Times New Roman CE" w:cs="Times New Roman CE"/>
              </w:rPr>
              <w:t>33</w:t>
            </w:r>
          </w:p>
        </w:tc>
        <w:tc>
          <w:tcPr>
            <w:tcW w:w="1436" w:type="dxa"/>
            <w:gridSpan w:val="2"/>
            <w:tcBorders>
              <w:top w:val="nil"/>
              <w:left w:val="nil"/>
              <w:bottom w:val="nil"/>
              <w:right w:val="nil"/>
            </w:tcBorders>
            <w:shd w:val="clear" w:color="auto" w:fill="auto"/>
            <w:noWrap/>
            <w:vAlign w:val="bottom"/>
            <w:hideMark/>
          </w:tcPr>
          <w:p w:rsidR="00533824" w:rsidRDefault="00533824">
            <w:pPr>
              <w:jc w:val="right"/>
              <w:rPr>
                <w:rFonts w:ascii="Times New Roman CE" w:hAnsi="Times New Roman CE" w:cs="Times New Roman CE"/>
              </w:rPr>
            </w:pPr>
            <w:r>
              <w:rPr>
                <w:rFonts w:ascii="Times New Roman CE" w:hAnsi="Times New Roman CE" w:cs="Times New Roman CE"/>
              </w:rPr>
              <w:t>1</w:t>
            </w:r>
          </w:p>
        </w:tc>
        <w:tc>
          <w:tcPr>
            <w:tcW w:w="1519" w:type="dxa"/>
            <w:gridSpan w:val="2"/>
            <w:tcBorders>
              <w:top w:val="nil"/>
              <w:left w:val="nil"/>
              <w:bottom w:val="nil"/>
              <w:right w:val="nil"/>
            </w:tcBorders>
            <w:shd w:val="clear" w:color="auto" w:fill="auto"/>
            <w:noWrap/>
            <w:vAlign w:val="bottom"/>
            <w:hideMark/>
          </w:tcPr>
          <w:p w:rsidR="00533824" w:rsidRDefault="00533824">
            <w:pPr>
              <w:jc w:val="right"/>
              <w:rPr>
                <w:rFonts w:ascii="Times New Roman CE" w:hAnsi="Times New Roman CE" w:cs="Times New Roman CE"/>
              </w:rPr>
            </w:pPr>
            <w:r>
              <w:rPr>
                <w:rFonts w:ascii="Times New Roman CE" w:hAnsi="Times New Roman CE" w:cs="Times New Roman CE"/>
              </w:rPr>
              <w:t>34</w:t>
            </w:r>
          </w:p>
        </w:tc>
      </w:tr>
      <w:tr w:rsidR="00533824" w:rsidTr="00533824">
        <w:trPr>
          <w:gridAfter w:val="1"/>
          <w:wAfter w:w="262" w:type="dxa"/>
          <w:trHeight w:val="138"/>
        </w:trPr>
        <w:tc>
          <w:tcPr>
            <w:tcW w:w="4253" w:type="dxa"/>
            <w:tcBorders>
              <w:top w:val="nil"/>
              <w:left w:val="nil"/>
              <w:bottom w:val="nil"/>
              <w:right w:val="nil"/>
            </w:tcBorders>
            <w:shd w:val="clear" w:color="auto" w:fill="auto"/>
            <w:noWrap/>
            <w:vAlign w:val="bottom"/>
            <w:hideMark/>
          </w:tcPr>
          <w:p w:rsidR="00533824" w:rsidRDefault="00533824">
            <w:pPr>
              <w:jc w:val="left"/>
              <w:rPr>
                <w:rFonts w:ascii="Times New Roman CE" w:hAnsi="Times New Roman CE" w:cs="Times New Roman CE"/>
              </w:rPr>
            </w:pPr>
            <w:r>
              <w:rPr>
                <w:rFonts w:ascii="Times New Roman CE" w:hAnsi="Times New Roman CE" w:cs="Times New Roman CE"/>
              </w:rPr>
              <w:t>Egyéb  (pl. lakatlan)</w:t>
            </w:r>
          </w:p>
        </w:tc>
        <w:tc>
          <w:tcPr>
            <w:tcW w:w="1156" w:type="dxa"/>
            <w:gridSpan w:val="2"/>
            <w:tcBorders>
              <w:top w:val="nil"/>
              <w:left w:val="nil"/>
              <w:bottom w:val="nil"/>
              <w:right w:val="nil"/>
            </w:tcBorders>
            <w:shd w:val="clear" w:color="auto" w:fill="auto"/>
            <w:noWrap/>
            <w:vAlign w:val="bottom"/>
            <w:hideMark/>
          </w:tcPr>
          <w:p w:rsidR="00533824" w:rsidRDefault="00533824">
            <w:pPr>
              <w:jc w:val="right"/>
              <w:rPr>
                <w:rFonts w:ascii="Times New Roman CE" w:hAnsi="Times New Roman CE" w:cs="Times New Roman CE"/>
              </w:rPr>
            </w:pPr>
            <w:r>
              <w:rPr>
                <w:rFonts w:ascii="Times New Roman CE" w:hAnsi="Times New Roman CE" w:cs="Times New Roman CE"/>
              </w:rPr>
              <w:t>248</w:t>
            </w:r>
          </w:p>
        </w:tc>
        <w:tc>
          <w:tcPr>
            <w:tcW w:w="1436" w:type="dxa"/>
            <w:gridSpan w:val="2"/>
            <w:tcBorders>
              <w:top w:val="nil"/>
              <w:left w:val="nil"/>
              <w:bottom w:val="nil"/>
              <w:right w:val="nil"/>
            </w:tcBorders>
            <w:shd w:val="clear" w:color="auto" w:fill="auto"/>
            <w:noWrap/>
            <w:vAlign w:val="bottom"/>
            <w:hideMark/>
          </w:tcPr>
          <w:p w:rsidR="00533824" w:rsidRDefault="00533824">
            <w:pPr>
              <w:jc w:val="right"/>
              <w:rPr>
                <w:rFonts w:ascii="Times New Roman CE" w:hAnsi="Times New Roman CE" w:cs="Times New Roman CE"/>
              </w:rPr>
            </w:pPr>
            <w:r>
              <w:rPr>
                <w:rFonts w:ascii="Times New Roman CE" w:hAnsi="Times New Roman CE" w:cs="Times New Roman CE"/>
              </w:rPr>
              <w:t>29</w:t>
            </w:r>
          </w:p>
        </w:tc>
        <w:tc>
          <w:tcPr>
            <w:tcW w:w="1519" w:type="dxa"/>
            <w:gridSpan w:val="2"/>
            <w:tcBorders>
              <w:top w:val="nil"/>
              <w:left w:val="nil"/>
              <w:bottom w:val="nil"/>
              <w:right w:val="nil"/>
            </w:tcBorders>
            <w:shd w:val="clear" w:color="auto" w:fill="auto"/>
            <w:noWrap/>
            <w:vAlign w:val="bottom"/>
            <w:hideMark/>
          </w:tcPr>
          <w:p w:rsidR="00533824" w:rsidRDefault="00533824">
            <w:pPr>
              <w:jc w:val="right"/>
              <w:rPr>
                <w:rFonts w:ascii="Times New Roman CE" w:hAnsi="Times New Roman CE" w:cs="Times New Roman CE"/>
              </w:rPr>
            </w:pPr>
            <w:r>
              <w:rPr>
                <w:rFonts w:ascii="Times New Roman CE" w:hAnsi="Times New Roman CE" w:cs="Times New Roman CE"/>
              </w:rPr>
              <w:t>277</w:t>
            </w:r>
          </w:p>
        </w:tc>
      </w:tr>
    </w:tbl>
    <w:p w:rsidR="002663CC" w:rsidRPr="00912E1F" w:rsidRDefault="002663CC" w:rsidP="0079575D">
      <w:pPr>
        <w:ind w:right="34"/>
        <w:rPr>
          <w:color w:val="000000"/>
          <w:sz w:val="16"/>
          <w:szCs w:val="16"/>
        </w:rPr>
      </w:pPr>
    </w:p>
    <w:p w:rsidR="00B64F69" w:rsidRPr="00A16256" w:rsidRDefault="00C36609" w:rsidP="00B64F69">
      <w:pPr>
        <w:ind w:right="34"/>
      </w:pPr>
      <w:r w:rsidRPr="00DE7CFA">
        <w:rPr>
          <w:color w:val="000000"/>
          <w:szCs w:val="24"/>
        </w:rPr>
        <w:t xml:space="preserve">A törvényi előírásoknak megfelelően ingatlan tulajdonos-változás miatt a beszámolási időszakban Szombathelyen </w:t>
      </w:r>
      <w:r w:rsidR="00013B04">
        <w:rPr>
          <w:color w:val="000000"/>
          <w:szCs w:val="24"/>
        </w:rPr>
        <w:t>300</w:t>
      </w:r>
      <w:r w:rsidRPr="00DE7CFA">
        <w:rPr>
          <w:color w:val="000000"/>
          <w:szCs w:val="24"/>
        </w:rPr>
        <w:t xml:space="preserve"> felhasználási helyen vég</w:t>
      </w:r>
      <w:r w:rsidR="00B64F69" w:rsidRPr="00DE7CFA">
        <w:rPr>
          <w:color w:val="000000"/>
          <w:szCs w:val="24"/>
        </w:rPr>
        <w:t xml:space="preserve">eztek </w:t>
      </w:r>
      <w:r w:rsidRPr="00DE7CFA">
        <w:rPr>
          <w:color w:val="000000"/>
          <w:szCs w:val="24"/>
        </w:rPr>
        <w:t>ellenőrzést</w:t>
      </w:r>
      <w:r w:rsidR="00B64F69" w:rsidRPr="00DE7CFA">
        <w:rPr>
          <w:color w:val="000000"/>
          <w:szCs w:val="24"/>
        </w:rPr>
        <w:t>,</w:t>
      </w:r>
      <w:r w:rsidRPr="00DE7CFA">
        <w:rPr>
          <w:color w:val="000000"/>
          <w:szCs w:val="24"/>
        </w:rPr>
        <w:t xml:space="preserve"> </w:t>
      </w:r>
      <w:r w:rsidR="00013B04">
        <w:rPr>
          <w:color w:val="000000"/>
          <w:szCs w:val="24"/>
        </w:rPr>
        <w:t>54</w:t>
      </w:r>
      <w:r w:rsidR="00B64F69" w:rsidRPr="00DE7CFA">
        <w:t xml:space="preserve"> felhasználási helyen felhasználói bejelentés alapján a fogyasztói oldalon csőtörés során kért szennyvízdíj jóváíráshoz szükséges kivizsgá</w:t>
      </w:r>
      <w:r w:rsidR="00B64F69" w:rsidRPr="00A16256">
        <w:t>l</w:t>
      </w:r>
      <w:r w:rsidR="00013B04" w:rsidRPr="00A16256">
        <w:t>ást.</w:t>
      </w:r>
    </w:p>
    <w:p w:rsidR="00013B04" w:rsidRPr="00A16256" w:rsidRDefault="00013B04" w:rsidP="00B64F69">
      <w:pPr>
        <w:ind w:right="34"/>
      </w:pPr>
    </w:p>
    <w:p w:rsidR="00013B04" w:rsidRPr="00A16256" w:rsidRDefault="00013B04" w:rsidP="00013B04">
      <w:pPr>
        <w:tabs>
          <w:tab w:val="right" w:pos="6237"/>
        </w:tabs>
        <w:ind w:right="34"/>
        <w:rPr>
          <w:szCs w:val="24"/>
        </w:rPr>
      </w:pPr>
      <w:r w:rsidRPr="00A16256">
        <w:rPr>
          <w:szCs w:val="24"/>
        </w:rPr>
        <w:t>A fogyasztók részletfizetési kérelemmel fordulnak társaságunkhoz, de sok esetben ennek fizetését sem tudják teljesíteni. Ezek a részletfizetési eljárások is módosítják a lejárt kintlévőség korcsoportonkénti összegét. Növekszik azon jelentős fogyasztású közületek, intézmények száma is, amelyek a számlákat több hónapos késéssel fizetik, egy-egy felhasználó egyre nagyobb tartozást halmoz fel.</w:t>
      </w:r>
    </w:p>
    <w:p w:rsidR="00013B04" w:rsidRPr="00A16256" w:rsidRDefault="00013B04" w:rsidP="00013B04">
      <w:pPr>
        <w:tabs>
          <w:tab w:val="right" w:pos="6237"/>
        </w:tabs>
        <w:ind w:right="34"/>
        <w:rPr>
          <w:szCs w:val="24"/>
        </w:rPr>
      </w:pPr>
      <w:r w:rsidRPr="00A16256">
        <w:rPr>
          <w:szCs w:val="24"/>
        </w:rPr>
        <w:t xml:space="preserve">Aki tartozását néhány hónapon belül nem tudja, vagy nem akarja kiegyenlíteni, a 180 napon túli tartozások összegét növeli, amely időpont után nagyon alacsony a befizetések aránya. </w:t>
      </w:r>
    </w:p>
    <w:p w:rsidR="00D61DEF" w:rsidRPr="00855E4A" w:rsidRDefault="00D61DEF" w:rsidP="00013B04">
      <w:pPr>
        <w:tabs>
          <w:tab w:val="right" w:pos="6237"/>
        </w:tabs>
        <w:ind w:right="34"/>
        <w:rPr>
          <w:sz w:val="8"/>
          <w:szCs w:val="8"/>
        </w:rPr>
      </w:pPr>
    </w:p>
    <w:p w:rsidR="00013B04" w:rsidRPr="00A16256" w:rsidRDefault="00013B04" w:rsidP="00013B04">
      <w:pPr>
        <w:tabs>
          <w:tab w:val="right" w:pos="6237"/>
        </w:tabs>
        <w:ind w:right="34"/>
        <w:rPr>
          <w:szCs w:val="24"/>
        </w:rPr>
      </w:pPr>
      <w:r w:rsidRPr="00A16256">
        <w:rPr>
          <w:szCs w:val="24"/>
        </w:rPr>
        <w:lastRenderedPageBreak/>
        <w:t xml:space="preserve">A 365 napon túli tartozások összege elsősorban nagy összeggel tartozó, tartós likviditási gondjaik miatt jelentős késedelemmel fizető cégek, valamint az évek óta nem, vagy alig fizető magánszemély felhasználók 100 eFt feletti tartozásaiból ered. A velük szemben indított végrehajtási eljárások egy részében jelenleg tényleges pénzbevételt nem realizálunk. Jellemzően letiltható jövedelmük nincs, vagy más letiltások miatt követelésünket sorba állítják. Esetükben - amennyiben rendelkeznek ingatlannal - jelzálogjogot jegyeztetünk be. </w:t>
      </w:r>
    </w:p>
    <w:p w:rsidR="00D66538" w:rsidRPr="00D66538" w:rsidRDefault="00D66538" w:rsidP="00D66538">
      <w:pPr>
        <w:pStyle w:val="Szvegtrzs3"/>
        <w:ind w:right="34"/>
        <w:rPr>
          <w:sz w:val="12"/>
          <w:szCs w:val="12"/>
        </w:rPr>
      </w:pPr>
    </w:p>
    <w:p w:rsidR="00D66538" w:rsidRDefault="00D66538" w:rsidP="00D66538">
      <w:pPr>
        <w:pStyle w:val="Szvegtrzs3"/>
        <w:ind w:right="34"/>
        <w:rPr>
          <w:szCs w:val="24"/>
        </w:rPr>
      </w:pPr>
      <w:r w:rsidRPr="00DE7CFA">
        <w:rPr>
          <w:szCs w:val="24"/>
        </w:rPr>
        <w:t>202</w:t>
      </w:r>
      <w:r>
        <w:rPr>
          <w:szCs w:val="24"/>
        </w:rPr>
        <w:t>2</w:t>
      </w:r>
      <w:r w:rsidRPr="00DE7CFA">
        <w:rPr>
          <w:szCs w:val="24"/>
        </w:rPr>
        <w:t xml:space="preserve">. évben </w:t>
      </w:r>
      <w:r>
        <w:rPr>
          <w:szCs w:val="24"/>
        </w:rPr>
        <w:t>6 442</w:t>
      </w:r>
      <w:r w:rsidRPr="00DE7CFA">
        <w:rPr>
          <w:szCs w:val="24"/>
        </w:rPr>
        <w:t xml:space="preserve"> eFt értékű kintlévőség került leírásra, túlnyomó részben 365 napon túli tartozások körében.</w:t>
      </w:r>
    </w:p>
    <w:p w:rsidR="00855E4A" w:rsidRPr="00855E4A" w:rsidRDefault="00855E4A" w:rsidP="00D66538">
      <w:pPr>
        <w:pStyle w:val="Szvegtrzs3"/>
        <w:ind w:right="34"/>
        <w:rPr>
          <w:sz w:val="12"/>
          <w:szCs w:val="12"/>
        </w:rPr>
      </w:pPr>
    </w:p>
    <w:p w:rsidR="00013B04" w:rsidRPr="004F19E5" w:rsidRDefault="00013B04" w:rsidP="00013B04">
      <w:pPr>
        <w:tabs>
          <w:tab w:val="right" w:pos="6237"/>
        </w:tabs>
        <w:ind w:right="34"/>
        <w:rPr>
          <w:szCs w:val="24"/>
        </w:rPr>
      </w:pPr>
      <w:r w:rsidRPr="004F19E5">
        <w:rPr>
          <w:szCs w:val="24"/>
        </w:rPr>
        <w:t xml:space="preserve">Az év során az egyre nehezedő gazdasági körülmények ellenére díjbevételeink </w:t>
      </w:r>
      <w:r w:rsidR="00D66538" w:rsidRPr="004F19E5">
        <w:rPr>
          <w:szCs w:val="24"/>
        </w:rPr>
        <w:t xml:space="preserve">viszonylag </w:t>
      </w:r>
      <w:r w:rsidRPr="004F19E5">
        <w:rPr>
          <w:szCs w:val="24"/>
        </w:rPr>
        <w:t>egyenletesek voltak, a kintlévőségünk alig változott. A nagymértékű – főként energia - áremelések, a jelentős árfolyamváltozások viszont körültekintő intézkedéseket (átutalások ütemezése, lekötött pénzeszközök kezelése, deviza váltások) igényeltek a kötelezettségeink teljesítése során a pénzügyi stabilitás megtartása érdekében, így nem volt szükség hitelfelvételre.</w:t>
      </w:r>
    </w:p>
    <w:p w:rsidR="00912E1F" w:rsidRDefault="00013B04" w:rsidP="00013B04">
      <w:pPr>
        <w:tabs>
          <w:tab w:val="right" w:pos="6237"/>
        </w:tabs>
        <w:ind w:right="34"/>
        <w:rPr>
          <w:szCs w:val="24"/>
        </w:rPr>
      </w:pPr>
      <w:r w:rsidRPr="004F19E5">
        <w:rPr>
          <w:szCs w:val="24"/>
        </w:rPr>
        <w:t>2023. évre az energia áremelések jelenlegi információink és ismereteink alapján likviditási problémákat okozhat</w:t>
      </w:r>
      <w:r w:rsidR="00D66538" w:rsidRPr="004F19E5">
        <w:rPr>
          <w:szCs w:val="24"/>
        </w:rPr>
        <w:t>nak</w:t>
      </w:r>
      <w:r w:rsidRPr="004F19E5">
        <w:rPr>
          <w:szCs w:val="24"/>
        </w:rPr>
        <w:t xml:space="preserve"> már az év első felében.</w:t>
      </w:r>
    </w:p>
    <w:p w:rsidR="00912E1F" w:rsidRDefault="00912E1F">
      <w:pPr>
        <w:jc w:val="left"/>
        <w:rPr>
          <w:szCs w:val="24"/>
        </w:rPr>
      </w:pPr>
      <w:r>
        <w:rPr>
          <w:szCs w:val="24"/>
        </w:rPr>
        <w:br w:type="page"/>
      </w:r>
    </w:p>
    <w:p w:rsidR="00855E4A" w:rsidRPr="00912E1F" w:rsidRDefault="00855E4A" w:rsidP="00855E4A">
      <w:pPr>
        <w:rPr>
          <w:sz w:val="16"/>
          <w:szCs w:val="16"/>
        </w:rPr>
      </w:pPr>
    </w:p>
    <w:p w:rsidR="00557E5C" w:rsidRPr="00912E1F" w:rsidRDefault="00557E5C" w:rsidP="00855E4A">
      <w:pPr>
        <w:rPr>
          <w:sz w:val="16"/>
          <w:szCs w:val="16"/>
        </w:rPr>
      </w:pPr>
    </w:p>
    <w:p w:rsidR="00D51AA4" w:rsidRPr="00912E1F" w:rsidRDefault="00D51AA4">
      <w:pPr>
        <w:pStyle w:val="Cmsor1"/>
        <w:rPr>
          <w:sz w:val="26"/>
          <w:szCs w:val="26"/>
        </w:rPr>
      </w:pPr>
      <w:bookmarkStart w:id="81" w:name="_Toc132629509"/>
      <w:r w:rsidRPr="00912E1F">
        <w:rPr>
          <w:sz w:val="26"/>
          <w:szCs w:val="26"/>
        </w:rPr>
        <w:t>XIV. Készletgazdálkodás</w:t>
      </w:r>
      <w:bookmarkEnd w:id="81"/>
    </w:p>
    <w:p w:rsidR="00D51AA4" w:rsidRPr="00DE7CFA" w:rsidRDefault="00D51AA4">
      <w:pPr>
        <w:rPr>
          <w:sz w:val="8"/>
          <w:szCs w:val="8"/>
        </w:rPr>
      </w:pPr>
    </w:p>
    <w:p w:rsidR="001B26D1" w:rsidRPr="00DE7CFA" w:rsidRDefault="001B26D1" w:rsidP="00557E5C">
      <w:pPr>
        <w:rPr>
          <w:szCs w:val="24"/>
        </w:rPr>
      </w:pPr>
      <w:r w:rsidRPr="00DE7CFA">
        <w:rPr>
          <w:szCs w:val="24"/>
        </w:rPr>
        <w:t xml:space="preserve">Az anyagbeszerzés </w:t>
      </w:r>
      <w:r w:rsidR="00082D96">
        <w:rPr>
          <w:szCs w:val="24"/>
        </w:rPr>
        <w:t>826 38</w:t>
      </w:r>
      <w:r w:rsidR="000A1C4E">
        <w:rPr>
          <w:szCs w:val="24"/>
        </w:rPr>
        <w:t>5</w:t>
      </w:r>
      <w:r w:rsidRPr="00DE7CFA">
        <w:rPr>
          <w:szCs w:val="24"/>
        </w:rPr>
        <w:t xml:space="preserve"> eFt, a terv </w:t>
      </w:r>
      <w:r w:rsidR="000A1C4E">
        <w:rPr>
          <w:szCs w:val="24"/>
        </w:rPr>
        <w:t xml:space="preserve">110,2 </w:t>
      </w:r>
      <w:r w:rsidRPr="00DE7CFA">
        <w:rPr>
          <w:szCs w:val="24"/>
        </w:rPr>
        <w:t>%-a, a bázis időszak adatánál 1</w:t>
      </w:r>
      <w:r w:rsidR="000A1C4E">
        <w:rPr>
          <w:szCs w:val="24"/>
        </w:rPr>
        <w:t>8,3</w:t>
      </w:r>
      <w:r w:rsidRPr="00DE7CFA">
        <w:rPr>
          <w:szCs w:val="24"/>
        </w:rPr>
        <w:t xml:space="preserve"> %-kal, 1</w:t>
      </w:r>
      <w:r w:rsidR="000A1C4E">
        <w:rPr>
          <w:szCs w:val="24"/>
        </w:rPr>
        <w:t>27 590</w:t>
      </w:r>
      <w:r w:rsidRPr="00DE7CFA">
        <w:rPr>
          <w:szCs w:val="24"/>
        </w:rPr>
        <w:t xml:space="preserve"> eFt-tal </w:t>
      </w:r>
      <w:r w:rsidR="000A1C4E">
        <w:rPr>
          <w:szCs w:val="24"/>
        </w:rPr>
        <w:t>magasabb</w:t>
      </w:r>
      <w:r w:rsidRPr="00DE7CFA">
        <w:rPr>
          <w:szCs w:val="24"/>
        </w:rPr>
        <w:t>.</w:t>
      </w:r>
    </w:p>
    <w:p w:rsidR="001B26D1" w:rsidRPr="00DE7CFA" w:rsidRDefault="001B26D1" w:rsidP="00557E5C">
      <w:pPr>
        <w:rPr>
          <w:szCs w:val="24"/>
        </w:rPr>
      </w:pPr>
      <w:r w:rsidRPr="00DE7CFA">
        <w:rPr>
          <w:szCs w:val="24"/>
        </w:rPr>
        <w:t xml:space="preserve">A felhasználás </w:t>
      </w:r>
      <w:r w:rsidR="000A1C4E">
        <w:rPr>
          <w:szCs w:val="24"/>
        </w:rPr>
        <w:t>800 708</w:t>
      </w:r>
      <w:r w:rsidRPr="00DE7CFA">
        <w:rPr>
          <w:szCs w:val="24"/>
        </w:rPr>
        <w:t xml:space="preserve"> eFt volt az időszak folyamán, a tervezett </w:t>
      </w:r>
      <w:r w:rsidR="000A1C4E">
        <w:rPr>
          <w:szCs w:val="24"/>
        </w:rPr>
        <w:t>105,4</w:t>
      </w:r>
      <w:r w:rsidRPr="00DE7CFA">
        <w:rPr>
          <w:szCs w:val="24"/>
        </w:rPr>
        <w:t xml:space="preserve"> %-a, az előző év hasonló időszakának felhasználását</w:t>
      </w:r>
      <w:r w:rsidR="000A1C4E">
        <w:rPr>
          <w:szCs w:val="24"/>
        </w:rPr>
        <w:t xml:space="preserve"> 6,1</w:t>
      </w:r>
      <w:r w:rsidRPr="00DE7CFA">
        <w:rPr>
          <w:szCs w:val="24"/>
        </w:rPr>
        <w:t xml:space="preserve"> %-kal, </w:t>
      </w:r>
      <w:r w:rsidR="000A1C4E">
        <w:rPr>
          <w:szCs w:val="24"/>
        </w:rPr>
        <w:t>46 020</w:t>
      </w:r>
      <w:r w:rsidRPr="00DE7CFA">
        <w:rPr>
          <w:szCs w:val="24"/>
        </w:rPr>
        <w:t xml:space="preserve"> eFt-tal </w:t>
      </w:r>
      <w:r w:rsidR="000A1C4E">
        <w:rPr>
          <w:szCs w:val="24"/>
        </w:rPr>
        <w:t>haladta meg</w:t>
      </w:r>
      <w:r w:rsidRPr="00DE7CFA">
        <w:rPr>
          <w:szCs w:val="24"/>
        </w:rPr>
        <w:t>.</w:t>
      </w:r>
    </w:p>
    <w:p w:rsidR="001B26D1" w:rsidRPr="00DE7CFA" w:rsidRDefault="001B26D1" w:rsidP="00557E5C">
      <w:pPr>
        <w:rPr>
          <w:szCs w:val="24"/>
        </w:rPr>
      </w:pPr>
      <w:r w:rsidRPr="00DE7CFA">
        <w:rPr>
          <w:szCs w:val="24"/>
        </w:rPr>
        <w:t>A készletek nyitóértéke 1</w:t>
      </w:r>
      <w:r w:rsidR="00C25CC6">
        <w:rPr>
          <w:szCs w:val="24"/>
        </w:rPr>
        <w:t xml:space="preserve">04 591eFt, a zárókészlet értéke 136 261 </w:t>
      </w:r>
      <w:r w:rsidRPr="00DE7CFA">
        <w:rPr>
          <w:szCs w:val="24"/>
        </w:rPr>
        <w:t xml:space="preserve">eFt, a tervezettnél </w:t>
      </w:r>
      <w:r w:rsidR="00C25CC6">
        <w:rPr>
          <w:szCs w:val="24"/>
        </w:rPr>
        <w:t>31 470</w:t>
      </w:r>
      <w:r w:rsidRPr="00DE7CFA">
        <w:rPr>
          <w:szCs w:val="24"/>
        </w:rPr>
        <w:t xml:space="preserve"> eFt-tal, </w:t>
      </w:r>
      <w:r w:rsidR="00C25CC6">
        <w:rPr>
          <w:szCs w:val="24"/>
        </w:rPr>
        <w:t>30%-kal</w:t>
      </w:r>
      <w:r w:rsidRPr="00DE7CFA">
        <w:rPr>
          <w:szCs w:val="24"/>
        </w:rPr>
        <w:t>, az előző év zárókészleténél 30,</w:t>
      </w:r>
      <w:r w:rsidR="00C25CC6">
        <w:rPr>
          <w:szCs w:val="24"/>
        </w:rPr>
        <w:t>3 %-kal, 31 671</w:t>
      </w:r>
      <w:r w:rsidRPr="00DE7CFA">
        <w:rPr>
          <w:szCs w:val="24"/>
        </w:rPr>
        <w:t xml:space="preserve"> eFt-tal </w:t>
      </w:r>
      <w:r w:rsidR="00C25CC6">
        <w:rPr>
          <w:szCs w:val="24"/>
        </w:rPr>
        <w:t>magasabb</w:t>
      </w:r>
      <w:r w:rsidRPr="00DE7CFA">
        <w:rPr>
          <w:szCs w:val="24"/>
        </w:rPr>
        <w:t>. A munkahelyi anyag értékét (</w:t>
      </w:r>
      <w:r w:rsidR="00C25CC6">
        <w:rPr>
          <w:szCs w:val="24"/>
        </w:rPr>
        <w:t>689</w:t>
      </w:r>
      <w:r w:rsidRPr="00DE7CFA">
        <w:rPr>
          <w:szCs w:val="24"/>
        </w:rPr>
        <w:t xml:space="preserve"> eFt) a </w:t>
      </w:r>
      <w:r w:rsidR="004F19E5">
        <w:rPr>
          <w:szCs w:val="24"/>
        </w:rPr>
        <w:t xml:space="preserve">raktári </w:t>
      </w:r>
      <w:r w:rsidRPr="00DE7CFA">
        <w:rPr>
          <w:szCs w:val="24"/>
        </w:rPr>
        <w:t>zárókészlet nem tartalmazza.</w:t>
      </w:r>
    </w:p>
    <w:p w:rsidR="000F2C47" w:rsidRPr="00855E4A" w:rsidRDefault="000F2C47" w:rsidP="00557E5C">
      <w:pPr>
        <w:rPr>
          <w:sz w:val="8"/>
          <w:szCs w:val="8"/>
        </w:rPr>
      </w:pPr>
    </w:p>
    <w:p w:rsidR="001B26D1" w:rsidRPr="00DE7CFA" w:rsidRDefault="001B26D1" w:rsidP="00557E5C">
      <w:pPr>
        <w:rPr>
          <w:szCs w:val="24"/>
        </w:rPr>
      </w:pPr>
      <w:r w:rsidRPr="00DE7CFA">
        <w:rPr>
          <w:szCs w:val="24"/>
        </w:rPr>
        <w:t xml:space="preserve">A bizományosi beszerzés az előző időszak </w:t>
      </w:r>
      <w:r w:rsidR="00C25CC6">
        <w:rPr>
          <w:szCs w:val="24"/>
        </w:rPr>
        <w:t xml:space="preserve">136 </w:t>
      </w:r>
      <w:r w:rsidR="000F2C47" w:rsidRPr="00DE7CFA">
        <w:rPr>
          <w:szCs w:val="24"/>
        </w:rPr>
        <w:t>m</w:t>
      </w:r>
      <w:r w:rsidRPr="00DE7CFA">
        <w:rPr>
          <w:szCs w:val="24"/>
        </w:rPr>
        <w:t xml:space="preserve">Ft értékű beszerzésével szemben </w:t>
      </w:r>
      <w:r w:rsidR="000F2C47" w:rsidRPr="00DE7CFA">
        <w:rPr>
          <w:szCs w:val="24"/>
        </w:rPr>
        <w:t>1</w:t>
      </w:r>
      <w:r w:rsidR="00C25CC6">
        <w:rPr>
          <w:szCs w:val="24"/>
        </w:rPr>
        <w:t>18</w:t>
      </w:r>
      <w:r w:rsidR="000F2C47" w:rsidRPr="00DE7CFA">
        <w:rPr>
          <w:szCs w:val="24"/>
        </w:rPr>
        <w:t xml:space="preserve"> m</w:t>
      </w:r>
      <w:r w:rsidRPr="00DE7CFA">
        <w:rPr>
          <w:szCs w:val="24"/>
        </w:rPr>
        <w:t xml:space="preserve">Ft, az összes beszerzés </w:t>
      </w:r>
      <w:r w:rsidR="00C25CC6">
        <w:rPr>
          <w:szCs w:val="24"/>
        </w:rPr>
        <w:t xml:space="preserve">14,3 </w:t>
      </w:r>
      <w:r w:rsidRPr="00DE7CFA">
        <w:rPr>
          <w:szCs w:val="24"/>
        </w:rPr>
        <w:t>%-a, a bázis időszakban ez az arány 1</w:t>
      </w:r>
      <w:r w:rsidR="00C25CC6">
        <w:rPr>
          <w:szCs w:val="24"/>
        </w:rPr>
        <w:t>9,4</w:t>
      </w:r>
      <w:r w:rsidRPr="00DE7CFA">
        <w:rPr>
          <w:szCs w:val="24"/>
        </w:rPr>
        <w:t xml:space="preserve"> % volt.  </w:t>
      </w:r>
    </w:p>
    <w:p w:rsidR="001B26D1" w:rsidRDefault="001B26D1" w:rsidP="00557E5C">
      <w:pPr>
        <w:autoSpaceDE w:val="0"/>
        <w:autoSpaceDN w:val="0"/>
        <w:adjustRightInd w:val="0"/>
        <w:rPr>
          <w:szCs w:val="24"/>
        </w:rPr>
      </w:pPr>
      <w:r w:rsidRPr="00DE7CFA">
        <w:rPr>
          <w:szCs w:val="24"/>
        </w:rPr>
        <w:t xml:space="preserve">A készletek forgási sebessége kronologikus átlagkészlettel számolva </w:t>
      </w:r>
      <w:r w:rsidR="002C29B0">
        <w:rPr>
          <w:szCs w:val="24"/>
        </w:rPr>
        <w:t xml:space="preserve">5,5 </w:t>
      </w:r>
      <w:r w:rsidRPr="00DE7CFA">
        <w:rPr>
          <w:szCs w:val="24"/>
        </w:rPr>
        <w:t>fordulat/év</w:t>
      </w:r>
      <w:r w:rsidR="000F2C47" w:rsidRPr="00DE7CFA">
        <w:rPr>
          <w:szCs w:val="24"/>
        </w:rPr>
        <w:t xml:space="preserve"> az előző időszak </w:t>
      </w:r>
      <w:r w:rsidR="002C29B0">
        <w:rPr>
          <w:szCs w:val="24"/>
        </w:rPr>
        <w:t>6,1</w:t>
      </w:r>
      <w:r w:rsidRPr="00DE7CFA">
        <w:rPr>
          <w:szCs w:val="24"/>
        </w:rPr>
        <w:t xml:space="preserve"> értékével szemben.</w:t>
      </w:r>
    </w:p>
    <w:p w:rsidR="005148C6" w:rsidRPr="00855E4A" w:rsidRDefault="005148C6" w:rsidP="00557E5C">
      <w:pPr>
        <w:pStyle w:val="Szvegtrzsbehzssal"/>
        <w:tabs>
          <w:tab w:val="right" w:pos="3261"/>
        </w:tabs>
        <w:ind w:left="0" w:firstLine="0"/>
        <w:rPr>
          <w:sz w:val="8"/>
          <w:szCs w:val="8"/>
        </w:rPr>
      </w:pPr>
    </w:p>
    <w:p w:rsidR="00FF350D" w:rsidRDefault="004F19E5" w:rsidP="00557E5C">
      <w:pPr>
        <w:pStyle w:val="Szvegtrzsbehzssal"/>
        <w:tabs>
          <w:tab w:val="right" w:pos="3261"/>
        </w:tabs>
        <w:ind w:left="0" w:firstLine="0"/>
      </w:pPr>
      <w:r>
        <w:t>A beszerzési</w:t>
      </w:r>
      <w:r w:rsidR="005148C6" w:rsidRPr="00D454EB">
        <w:t xml:space="preserve"> árak folyamatos emelkedése miatt </w:t>
      </w:r>
      <w:r>
        <w:t xml:space="preserve">kénytelenek voltunk </w:t>
      </w:r>
      <w:r w:rsidR="005148C6" w:rsidRPr="00D454EB">
        <w:t>több érvényb</w:t>
      </w:r>
      <w:r>
        <w:t>en lévő szerződést módosítani</w:t>
      </w:r>
      <w:r w:rsidR="005148C6" w:rsidRPr="00D454EB">
        <w:t xml:space="preserve">. </w:t>
      </w:r>
      <w:r w:rsidRPr="004F19E5">
        <w:t>A beszerzési árakat a beszállítók 7-8 %-kal, 11,5 %-kal, 17 %-kal, sőt 30-40 %-os mértékben is emelt</w:t>
      </w:r>
      <w:r>
        <w:t>é</w:t>
      </w:r>
      <w:r w:rsidRPr="004F19E5">
        <w:t>k az év folyamán</w:t>
      </w:r>
      <w:r>
        <w:t>.</w:t>
      </w:r>
      <w:r w:rsidRPr="00D454EB">
        <w:t xml:space="preserve"> </w:t>
      </w:r>
      <w:r w:rsidR="005148C6" w:rsidRPr="00D454EB">
        <w:t xml:space="preserve">Rendszeres problémát jelent </w:t>
      </w:r>
      <w:r>
        <w:t xml:space="preserve">még </w:t>
      </w:r>
      <w:r w:rsidR="005148C6" w:rsidRPr="00D454EB">
        <w:t xml:space="preserve">az alapanyaghiány, </w:t>
      </w:r>
      <w:r w:rsidR="005148C6">
        <w:t>a</w:t>
      </w:r>
      <w:r w:rsidR="005148C6" w:rsidRPr="00D454EB">
        <w:t>mely miatt sok esetben kés</w:t>
      </w:r>
      <w:r>
        <w:t>ve kapjuk a megrendelt termékeket.</w:t>
      </w:r>
    </w:p>
    <w:p w:rsidR="007309F0" w:rsidRDefault="007309F0" w:rsidP="007309F0">
      <w:pPr>
        <w:pStyle w:val="Szvegtrzsbehzssal"/>
        <w:tabs>
          <w:tab w:val="right" w:pos="3261"/>
        </w:tabs>
        <w:ind w:left="0" w:firstLine="0"/>
        <w:rPr>
          <w:b/>
          <w:bCs/>
          <w:i/>
          <w:iCs/>
        </w:rPr>
      </w:pPr>
    </w:p>
    <w:p w:rsidR="00557E5C" w:rsidRPr="007309F0" w:rsidRDefault="00557E5C" w:rsidP="007309F0">
      <w:pPr>
        <w:pStyle w:val="Szvegtrzsbehzssal"/>
        <w:tabs>
          <w:tab w:val="right" w:pos="3261"/>
        </w:tabs>
        <w:ind w:left="0" w:firstLine="0"/>
        <w:rPr>
          <w:b/>
          <w:bCs/>
          <w:i/>
          <w:iCs/>
        </w:rPr>
      </w:pPr>
    </w:p>
    <w:p w:rsidR="00D51AA4" w:rsidRPr="00B33D52" w:rsidRDefault="00D51AA4">
      <w:pPr>
        <w:pStyle w:val="Cmsor1"/>
        <w:rPr>
          <w:sz w:val="26"/>
          <w:szCs w:val="26"/>
        </w:rPr>
      </w:pPr>
      <w:bookmarkStart w:id="82" w:name="_Toc132629510"/>
      <w:r w:rsidRPr="00B33D52">
        <w:rPr>
          <w:sz w:val="26"/>
          <w:szCs w:val="26"/>
        </w:rPr>
        <w:t>XV. Összegzés</w:t>
      </w:r>
      <w:bookmarkEnd w:id="82"/>
    </w:p>
    <w:p w:rsidR="00E635A9" w:rsidRPr="00B33D52" w:rsidRDefault="00E635A9" w:rsidP="00E635A9">
      <w:pPr>
        <w:ind w:right="317"/>
        <w:rPr>
          <w:sz w:val="16"/>
          <w:szCs w:val="16"/>
        </w:rPr>
      </w:pPr>
    </w:p>
    <w:p w:rsidR="003E7ED2" w:rsidRPr="003E7ED2" w:rsidRDefault="003E7ED2" w:rsidP="00557E5C">
      <w:pPr>
        <w:widowControl w:val="0"/>
        <w:ind w:right="-108"/>
        <w:rPr>
          <w:snapToGrid w:val="0"/>
          <w:szCs w:val="24"/>
        </w:rPr>
      </w:pPr>
      <w:r w:rsidRPr="003E7ED2">
        <w:rPr>
          <w:snapToGrid w:val="0"/>
          <w:szCs w:val="24"/>
        </w:rPr>
        <w:t xml:space="preserve">Elkészítettük a </w:t>
      </w:r>
      <w:r w:rsidRPr="003E7ED2">
        <w:rPr>
          <w:b/>
          <w:snapToGrid w:val="0"/>
          <w:szCs w:val="24"/>
        </w:rPr>
        <w:t>2022. évi üzleti tervet</w:t>
      </w:r>
      <w:r w:rsidRPr="003E7ED2">
        <w:rPr>
          <w:snapToGrid w:val="0"/>
          <w:szCs w:val="24"/>
        </w:rPr>
        <w:t xml:space="preserve">, </w:t>
      </w:r>
      <w:r w:rsidR="00BD05AC">
        <w:rPr>
          <w:snapToGrid w:val="0"/>
          <w:szCs w:val="24"/>
        </w:rPr>
        <w:t>a</w:t>
      </w:r>
      <w:r w:rsidRPr="003E7ED2">
        <w:rPr>
          <w:snapToGrid w:val="0"/>
          <w:szCs w:val="24"/>
        </w:rPr>
        <w:t>melyet az Igazgatóság a 3/2022. (II.25.)</w:t>
      </w:r>
      <w:r w:rsidR="00BD05AC">
        <w:rPr>
          <w:snapToGrid w:val="0"/>
          <w:szCs w:val="24"/>
        </w:rPr>
        <w:t>,</w:t>
      </w:r>
      <w:r w:rsidRPr="003E7ED2">
        <w:rPr>
          <w:snapToGrid w:val="0"/>
          <w:szCs w:val="24"/>
        </w:rPr>
        <w:t xml:space="preserve"> a Felügyelő Bizottság a 3/2022. (III.18.) sz. határozatával 2022. március 18-án -611,4 mFt eredménnyel egyhangúlag elfogadott.</w:t>
      </w:r>
    </w:p>
    <w:p w:rsidR="003E7ED2" w:rsidRPr="00557E5C" w:rsidRDefault="003E7ED2" w:rsidP="00557E5C">
      <w:pPr>
        <w:tabs>
          <w:tab w:val="center" w:pos="6237"/>
        </w:tabs>
        <w:ind w:right="-108"/>
        <w:rPr>
          <w:sz w:val="16"/>
          <w:szCs w:val="16"/>
        </w:rPr>
      </w:pPr>
    </w:p>
    <w:p w:rsidR="003E7ED2" w:rsidRPr="003E7ED2" w:rsidRDefault="003E7ED2" w:rsidP="00557E5C">
      <w:pPr>
        <w:ind w:right="-108"/>
      </w:pPr>
      <w:r w:rsidRPr="003E7ED2">
        <w:t xml:space="preserve">Az Igazgatóság és a Felügyelő Bizottság 2022. május 27-én tárgyalta és elfogadta társaságunk </w:t>
      </w:r>
      <w:r w:rsidRPr="003E7ED2">
        <w:rPr>
          <w:b/>
        </w:rPr>
        <w:t>2021. évi Éves beszámolóját.</w:t>
      </w:r>
      <w:r w:rsidRPr="003E7ED2">
        <w:t xml:space="preserve"> </w:t>
      </w:r>
    </w:p>
    <w:p w:rsidR="003E7ED2" w:rsidRPr="00557E5C" w:rsidRDefault="003E7ED2" w:rsidP="00557E5C">
      <w:pPr>
        <w:ind w:right="-108"/>
        <w:rPr>
          <w:sz w:val="16"/>
          <w:szCs w:val="16"/>
        </w:rPr>
      </w:pPr>
    </w:p>
    <w:p w:rsidR="003E7ED2" w:rsidRDefault="003E7ED2" w:rsidP="00557E5C">
      <w:pPr>
        <w:ind w:right="-108"/>
        <w:rPr>
          <w:szCs w:val="24"/>
        </w:rPr>
      </w:pPr>
      <w:r w:rsidRPr="003E7ED2">
        <w:rPr>
          <w:szCs w:val="24"/>
        </w:rPr>
        <w:t>2022.</w:t>
      </w:r>
      <w:r w:rsidR="00BD05AC">
        <w:rPr>
          <w:szCs w:val="24"/>
        </w:rPr>
        <w:t xml:space="preserve"> </w:t>
      </w:r>
      <w:r w:rsidRPr="003E7ED2">
        <w:rPr>
          <w:szCs w:val="24"/>
        </w:rPr>
        <w:t xml:space="preserve">évben a </w:t>
      </w:r>
      <w:r w:rsidRPr="003E7ED2">
        <w:rPr>
          <w:b/>
          <w:bCs/>
          <w:szCs w:val="24"/>
        </w:rPr>
        <w:t>MEKH</w:t>
      </w:r>
      <w:r w:rsidRPr="003E7ED2">
        <w:rPr>
          <w:szCs w:val="24"/>
        </w:rPr>
        <w:t xml:space="preserve"> határozatban előírt havi, negyedéves és éves </w:t>
      </w:r>
      <w:r w:rsidRPr="003E7ED2">
        <w:rPr>
          <w:b/>
          <w:bCs/>
          <w:szCs w:val="24"/>
        </w:rPr>
        <w:t>rendszeres adatszolgáltatások</w:t>
      </w:r>
      <w:r w:rsidRPr="003E7ED2">
        <w:rPr>
          <w:szCs w:val="24"/>
        </w:rPr>
        <w:t xml:space="preserve">at társaságunk az előírások szerinti módon és határidőben teljesítette. </w:t>
      </w:r>
    </w:p>
    <w:p w:rsidR="00557E5C" w:rsidRPr="003E7ED2" w:rsidRDefault="00557E5C" w:rsidP="00557E5C">
      <w:pPr>
        <w:ind w:right="-108"/>
        <w:rPr>
          <w:szCs w:val="24"/>
        </w:rPr>
      </w:pPr>
    </w:p>
    <w:p w:rsidR="003E7ED2" w:rsidRDefault="003E7ED2" w:rsidP="00557E5C">
      <w:pPr>
        <w:ind w:right="-108"/>
        <w:rPr>
          <w:sz w:val="22"/>
          <w:szCs w:val="22"/>
        </w:rPr>
      </w:pPr>
    </w:p>
    <w:p w:rsidR="00557E5C" w:rsidRPr="00912E1F" w:rsidRDefault="00557E5C" w:rsidP="00557E5C">
      <w:pPr>
        <w:ind w:right="-108"/>
        <w:rPr>
          <w:b/>
          <w:szCs w:val="24"/>
        </w:rPr>
      </w:pPr>
      <w:r w:rsidRPr="00912E1F">
        <w:rPr>
          <w:b/>
          <w:szCs w:val="24"/>
        </w:rPr>
        <w:t>Szennyvízelvezetés és –tisztítás helyreállítása 3 őrségi településen</w:t>
      </w:r>
    </w:p>
    <w:p w:rsidR="00BD05AC" w:rsidRDefault="00BD05AC" w:rsidP="00557E5C">
      <w:pPr>
        <w:ind w:right="-108"/>
        <w:rPr>
          <w:bCs/>
          <w:szCs w:val="24"/>
        </w:rPr>
      </w:pPr>
      <w:r>
        <w:rPr>
          <w:b/>
          <w:bCs/>
          <w:szCs w:val="24"/>
        </w:rPr>
        <w:t>„</w:t>
      </w:r>
      <w:r w:rsidR="003E7ED2" w:rsidRPr="003E7ED2">
        <w:rPr>
          <w:b/>
          <w:bCs/>
          <w:szCs w:val="24"/>
        </w:rPr>
        <w:t>Magyarszombatfa települést kiszolgáló szennyvíztisztító rendszer működőképességének helyreállítása</w:t>
      </w:r>
      <w:r>
        <w:rPr>
          <w:b/>
          <w:bCs/>
          <w:szCs w:val="24"/>
        </w:rPr>
        <w:t>”</w:t>
      </w:r>
      <w:r w:rsidR="003E7ED2" w:rsidRPr="003E7ED2">
        <w:rPr>
          <w:b/>
          <w:bCs/>
          <w:szCs w:val="24"/>
        </w:rPr>
        <w:t xml:space="preserve"> </w:t>
      </w:r>
      <w:r w:rsidR="003E7ED2" w:rsidRPr="003E7ED2">
        <w:rPr>
          <w:bCs/>
          <w:szCs w:val="24"/>
        </w:rPr>
        <w:t xml:space="preserve">elnevezésű projekt befejeződött, az átmeneti díjra vonatkozó kérelmünket megküldtük a MEKH részére, </w:t>
      </w:r>
      <w:r>
        <w:rPr>
          <w:bCs/>
          <w:szCs w:val="24"/>
        </w:rPr>
        <w:t>a</w:t>
      </w:r>
      <w:r w:rsidR="003E7ED2" w:rsidRPr="003E7ED2">
        <w:rPr>
          <w:bCs/>
          <w:szCs w:val="24"/>
        </w:rPr>
        <w:t>mely</w:t>
      </w:r>
      <w:r>
        <w:rPr>
          <w:bCs/>
          <w:szCs w:val="24"/>
        </w:rPr>
        <w:t>et</w:t>
      </w:r>
      <w:r w:rsidR="003E7ED2" w:rsidRPr="003E7ED2">
        <w:rPr>
          <w:bCs/>
          <w:szCs w:val="24"/>
        </w:rPr>
        <w:t xml:space="preserve"> elutasít</w:t>
      </w:r>
      <w:r>
        <w:rPr>
          <w:bCs/>
          <w:szCs w:val="24"/>
        </w:rPr>
        <w:t>ottak</w:t>
      </w:r>
      <w:r w:rsidR="003E7ED2" w:rsidRPr="003E7ED2">
        <w:rPr>
          <w:bCs/>
          <w:szCs w:val="24"/>
        </w:rPr>
        <w:t xml:space="preserve">, így a szolgáltatást a korábbi – </w:t>
      </w:r>
      <w:r>
        <w:rPr>
          <w:bCs/>
          <w:szCs w:val="24"/>
        </w:rPr>
        <w:t xml:space="preserve">a </w:t>
      </w:r>
      <w:r w:rsidR="003E7ED2" w:rsidRPr="003E7ED2">
        <w:rPr>
          <w:bCs/>
          <w:szCs w:val="24"/>
        </w:rPr>
        <w:t>projektet megelőző – díjakon kell nyújtanunk.</w:t>
      </w:r>
      <w:r>
        <w:rPr>
          <w:bCs/>
          <w:szCs w:val="24"/>
        </w:rPr>
        <w:t xml:space="preserve"> </w:t>
      </w:r>
    </w:p>
    <w:p w:rsidR="003E7ED2" w:rsidRPr="003E7ED2" w:rsidRDefault="00BD05AC" w:rsidP="00557E5C">
      <w:pPr>
        <w:ind w:right="-108"/>
        <w:rPr>
          <w:bCs/>
          <w:szCs w:val="24"/>
        </w:rPr>
      </w:pPr>
      <w:r w:rsidRPr="00BD05AC">
        <w:rPr>
          <w:b/>
          <w:bCs/>
          <w:szCs w:val="24"/>
        </w:rPr>
        <w:t>Ispánk</w:t>
      </w:r>
      <w:r>
        <w:rPr>
          <w:b/>
          <w:bCs/>
          <w:szCs w:val="24"/>
        </w:rPr>
        <w:t xml:space="preserve"> és</w:t>
      </w:r>
      <w:r w:rsidRPr="00BD05AC">
        <w:rPr>
          <w:b/>
          <w:bCs/>
          <w:szCs w:val="24"/>
        </w:rPr>
        <w:t xml:space="preserve"> Szalafő</w:t>
      </w:r>
      <w:r>
        <w:rPr>
          <w:bCs/>
          <w:szCs w:val="24"/>
        </w:rPr>
        <w:t xml:space="preserve"> település távvezetéken csatlakozott az Őriszentpéter szennyvízelvezetési és –tisztítási rendszerhez, e két településen is az Őriszentpéter rendszer díján szolgáltatunk.</w:t>
      </w:r>
    </w:p>
    <w:p w:rsidR="003E7ED2" w:rsidRDefault="003E7ED2" w:rsidP="00557E5C">
      <w:pPr>
        <w:ind w:right="-108"/>
      </w:pPr>
    </w:p>
    <w:p w:rsidR="00557E5C" w:rsidRPr="00557E5C" w:rsidRDefault="00557E5C" w:rsidP="00557E5C">
      <w:pPr>
        <w:ind w:right="-108"/>
        <w:rPr>
          <w:b/>
        </w:rPr>
      </w:pPr>
      <w:r w:rsidRPr="00557E5C">
        <w:rPr>
          <w:b/>
        </w:rPr>
        <w:t>Jogszabály változás</w:t>
      </w:r>
    </w:p>
    <w:p w:rsidR="003E7ED2" w:rsidRPr="003E7ED2" w:rsidRDefault="003E7ED2" w:rsidP="00557E5C">
      <w:pPr>
        <w:ind w:right="-108"/>
        <w:rPr>
          <w:szCs w:val="24"/>
        </w:rPr>
      </w:pPr>
      <w:r w:rsidRPr="003E7ED2">
        <w:rPr>
          <w:szCs w:val="24"/>
        </w:rPr>
        <w:t xml:space="preserve">A köztulajdonban álló gazdasági társaságok </w:t>
      </w:r>
      <w:r w:rsidRPr="003E7ED2">
        <w:rPr>
          <w:b/>
          <w:szCs w:val="24"/>
        </w:rPr>
        <w:t>belső kontrollrendszeréről</w:t>
      </w:r>
      <w:r w:rsidRPr="003E7ED2">
        <w:rPr>
          <w:szCs w:val="24"/>
        </w:rPr>
        <w:t xml:space="preserve"> szóló 339/2019. (XII. 23.) Korm. rendeletben írtak megfelelésére a VASIVÍZ ZRt. 2021. július 15-től hatályba helyezte az UT-0173 Integrált kockázatkezelési eljárásrend elnevezésű utasítást. A társaságunk a feladatok elvégzésére az M-FACTOR Tanácsadó Bt</w:t>
      </w:r>
      <w:r w:rsidR="00BD05AC">
        <w:rPr>
          <w:szCs w:val="24"/>
        </w:rPr>
        <w:t>.</w:t>
      </w:r>
      <w:r w:rsidRPr="003E7ED2">
        <w:rPr>
          <w:szCs w:val="24"/>
        </w:rPr>
        <w:t xml:space="preserve">-vel kötött szerződést, a belső ellenőrzést végzi Odonics Gábor. </w:t>
      </w:r>
    </w:p>
    <w:p w:rsidR="00912E1F" w:rsidRDefault="003E7ED2" w:rsidP="00557E5C">
      <w:pPr>
        <w:ind w:right="-108"/>
        <w:rPr>
          <w:szCs w:val="24"/>
        </w:rPr>
      </w:pPr>
      <w:r w:rsidRPr="003E7ED2">
        <w:rPr>
          <w:szCs w:val="24"/>
        </w:rPr>
        <w:t xml:space="preserve">A 2022 évi ellenőrzési jelentés illetve a nyilvántartás a 2022. éviben végrehajtott ellenőrzésekről határidőre elkészült. </w:t>
      </w:r>
    </w:p>
    <w:p w:rsidR="00912E1F" w:rsidRDefault="00912E1F">
      <w:pPr>
        <w:jc w:val="left"/>
        <w:rPr>
          <w:szCs w:val="24"/>
        </w:rPr>
      </w:pPr>
      <w:r>
        <w:rPr>
          <w:szCs w:val="24"/>
        </w:rPr>
        <w:br w:type="page"/>
      </w:r>
    </w:p>
    <w:p w:rsidR="00557E5C" w:rsidRPr="00912E1F" w:rsidRDefault="00557E5C" w:rsidP="00557E5C">
      <w:pPr>
        <w:tabs>
          <w:tab w:val="left" w:pos="0"/>
        </w:tabs>
        <w:ind w:right="-108"/>
        <w:rPr>
          <w:sz w:val="16"/>
          <w:szCs w:val="16"/>
        </w:rPr>
      </w:pPr>
    </w:p>
    <w:p w:rsidR="00557E5C" w:rsidRPr="00912E1F" w:rsidRDefault="00557E5C" w:rsidP="00557E5C">
      <w:pPr>
        <w:tabs>
          <w:tab w:val="left" w:pos="0"/>
        </w:tabs>
        <w:ind w:right="-108"/>
        <w:rPr>
          <w:sz w:val="16"/>
          <w:szCs w:val="16"/>
        </w:rPr>
      </w:pPr>
    </w:p>
    <w:p w:rsidR="003E7ED2" w:rsidRPr="003E7ED2" w:rsidRDefault="003E7ED2" w:rsidP="00557E5C">
      <w:pPr>
        <w:ind w:right="-108"/>
        <w:rPr>
          <w:b/>
          <w:szCs w:val="24"/>
        </w:rPr>
      </w:pPr>
      <w:r w:rsidRPr="003E7ED2">
        <w:rPr>
          <w:b/>
          <w:szCs w:val="24"/>
        </w:rPr>
        <w:t>Pályázatok</w:t>
      </w:r>
    </w:p>
    <w:p w:rsidR="003E7ED2" w:rsidRPr="003E7ED2" w:rsidRDefault="003E7ED2" w:rsidP="00557E5C">
      <w:pPr>
        <w:ind w:right="-108"/>
        <w:rPr>
          <w:szCs w:val="24"/>
        </w:rPr>
      </w:pPr>
      <w:r w:rsidRPr="003E7ED2">
        <w:rPr>
          <w:b/>
          <w:szCs w:val="24"/>
        </w:rPr>
        <w:t>Víziközművek Állami Rekonstrukciós Alapjából (VÁRA</w:t>
      </w:r>
      <w:r w:rsidR="00A9388A">
        <w:rPr>
          <w:b/>
          <w:szCs w:val="24"/>
        </w:rPr>
        <w:t xml:space="preserve"> </w:t>
      </w:r>
      <w:r w:rsidRPr="003E7ED2">
        <w:rPr>
          <w:b/>
          <w:szCs w:val="24"/>
        </w:rPr>
        <w:t>2019) nyújtható támogatás:</w:t>
      </w:r>
    </w:p>
    <w:p w:rsidR="003E7ED2" w:rsidRDefault="003E7ED2" w:rsidP="00557E5C">
      <w:pPr>
        <w:ind w:right="-108"/>
        <w:rPr>
          <w:szCs w:val="56"/>
        </w:rPr>
      </w:pPr>
      <w:r w:rsidRPr="003E7ED2">
        <w:rPr>
          <w:szCs w:val="56"/>
        </w:rPr>
        <w:t>A záró beszámolók</w:t>
      </w:r>
      <w:r w:rsidR="00A9388A">
        <w:rPr>
          <w:szCs w:val="56"/>
        </w:rPr>
        <w:t>at</w:t>
      </w:r>
      <w:r w:rsidRPr="003E7ED2">
        <w:rPr>
          <w:szCs w:val="56"/>
        </w:rPr>
        <w:t xml:space="preserve"> a 7 projekthez határidőben benyújt</w:t>
      </w:r>
      <w:r w:rsidR="00A9388A">
        <w:rPr>
          <w:szCs w:val="56"/>
        </w:rPr>
        <w:t>ottuk</w:t>
      </w:r>
      <w:r w:rsidRPr="003E7ED2">
        <w:rPr>
          <w:szCs w:val="56"/>
        </w:rPr>
        <w:t>. A fel nem használtnak minősített támogatást visszautaltuk az ITM-nek.</w:t>
      </w:r>
    </w:p>
    <w:p w:rsidR="008C769A" w:rsidRPr="00407859" w:rsidRDefault="008C769A" w:rsidP="00557E5C">
      <w:pPr>
        <w:ind w:right="34"/>
        <w:rPr>
          <w:sz w:val="12"/>
          <w:szCs w:val="12"/>
        </w:rPr>
      </w:pPr>
    </w:p>
    <w:p w:rsidR="003E7ED2" w:rsidRPr="00407859" w:rsidRDefault="00407859" w:rsidP="00407859">
      <w:pPr>
        <w:ind w:right="34"/>
        <w:rPr>
          <w:b/>
          <w:szCs w:val="24"/>
        </w:rPr>
      </w:pPr>
      <w:r>
        <w:t>2019. évben a</w:t>
      </w:r>
      <w:r w:rsidR="003E7ED2" w:rsidRPr="006912BE">
        <w:t xml:space="preserve"> </w:t>
      </w:r>
      <w:r>
        <w:rPr>
          <w:b/>
          <w:szCs w:val="24"/>
        </w:rPr>
        <w:t>Víziközművek Energiahatékonyságának Fejlesztése</w:t>
      </w:r>
      <w:r w:rsidR="003E7ED2" w:rsidRPr="006912BE">
        <w:rPr>
          <w:b/>
        </w:rPr>
        <w:t xml:space="preserve"> (VEF)</w:t>
      </w:r>
      <w:r w:rsidR="003E7ED2" w:rsidRPr="006912BE">
        <w:t xml:space="preserve"> </w:t>
      </w:r>
      <w:r>
        <w:t xml:space="preserve">pályázat </w:t>
      </w:r>
      <w:r w:rsidR="003E7ED2" w:rsidRPr="006912BE">
        <w:t>során a VASIVÍZ ZRt. 249,8 mFt támogatási összeget nyert el,</w:t>
      </w:r>
      <w:r w:rsidR="00A9388A" w:rsidRPr="006912BE">
        <w:t xml:space="preserve"> a szükséges </w:t>
      </w:r>
      <w:r w:rsidR="003E7ED2" w:rsidRPr="006912BE">
        <w:t xml:space="preserve">50 %-os önrésszel </w:t>
      </w:r>
      <w:r w:rsidR="00A9388A" w:rsidRPr="006912BE">
        <w:t xml:space="preserve">együtt </w:t>
      </w:r>
      <w:r w:rsidR="003E7ED2" w:rsidRPr="006912BE">
        <w:t>mintegy 500</w:t>
      </w:r>
      <w:r w:rsidR="00A9388A" w:rsidRPr="006912BE">
        <w:t xml:space="preserve"> millió forint értékű eszközbeszerzést </w:t>
      </w:r>
      <w:r w:rsidR="003E7ED2" w:rsidRPr="006912BE">
        <w:t>te</w:t>
      </w:r>
      <w:r w:rsidR="00A9388A" w:rsidRPr="006912BE">
        <w:t>tt lehetővé:</w:t>
      </w:r>
    </w:p>
    <w:p w:rsidR="003E7ED2" w:rsidRPr="003E7ED2" w:rsidRDefault="003E7ED2" w:rsidP="00557E5C">
      <w:pPr>
        <w:pStyle w:val="Default"/>
        <w:ind w:right="34"/>
        <w:jc w:val="both"/>
        <w:rPr>
          <w:rFonts w:ascii="Times New Roman" w:hAnsi="Times New Roman" w:cs="Times New Roman"/>
          <w:color w:val="auto"/>
        </w:rPr>
      </w:pPr>
      <w:r w:rsidRPr="006912BE">
        <w:rPr>
          <w:rFonts w:ascii="Times New Roman" w:hAnsi="Times New Roman" w:cs="Times New Roman"/>
          <w:szCs w:val="56"/>
        </w:rPr>
        <w:t xml:space="preserve">A </w:t>
      </w:r>
      <w:r w:rsidRPr="006912BE">
        <w:rPr>
          <w:rFonts w:ascii="Times New Roman" w:hAnsi="Times New Roman" w:cs="Times New Roman"/>
          <w:b/>
          <w:i/>
          <w:szCs w:val="56"/>
        </w:rPr>
        <w:t>napelemes beruházások</w:t>
      </w:r>
      <w:r w:rsidRPr="006912BE">
        <w:rPr>
          <w:rFonts w:ascii="Times New Roman" w:hAnsi="Times New Roman" w:cs="Times New Roman"/>
          <w:szCs w:val="56"/>
        </w:rPr>
        <w:t xml:space="preserve"> 2022. január 21-én fejeződtek</w:t>
      </w:r>
      <w:r w:rsidR="006912BE">
        <w:rPr>
          <w:rFonts w:ascii="Times New Roman" w:hAnsi="Times New Roman" w:cs="Times New Roman"/>
          <w:szCs w:val="56"/>
        </w:rPr>
        <w:t xml:space="preserve"> be</w:t>
      </w:r>
      <w:r w:rsidRPr="006912BE">
        <w:rPr>
          <w:rFonts w:ascii="Times New Roman" w:hAnsi="Times New Roman" w:cs="Times New Roman"/>
          <w:szCs w:val="56"/>
        </w:rPr>
        <w:t xml:space="preserve">. </w:t>
      </w:r>
    </w:p>
    <w:p w:rsidR="003E7ED2" w:rsidRPr="003E7ED2" w:rsidRDefault="003E7ED2" w:rsidP="00557E5C">
      <w:pPr>
        <w:ind w:right="34"/>
        <w:rPr>
          <w:szCs w:val="24"/>
        </w:rPr>
      </w:pPr>
      <w:r w:rsidRPr="003E7ED2">
        <w:rPr>
          <w:szCs w:val="24"/>
        </w:rPr>
        <w:t>Az</w:t>
      </w:r>
      <w:r w:rsidRPr="003E7ED2">
        <w:rPr>
          <w:i/>
          <w:szCs w:val="24"/>
        </w:rPr>
        <w:t xml:space="preserve"> </w:t>
      </w:r>
      <w:r w:rsidRPr="003E7ED2">
        <w:rPr>
          <w:b/>
          <w:i/>
          <w:szCs w:val="24"/>
        </w:rPr>
        <w:t>ivóvíz és szennyvíz szivattyúk</w:t>
      </w:r>
      <w:r w:rsidR="00A9388A">
        <w:rPr>
          <w:szCs w:val="24"/>
        </w:rPr>
        <w:t xml:space="preserve"> </w:t>
      </w:r>
      <w:r w:rsidR="006912BE">
        <w:rPr>
          <w:szCs w:val="24"/>
        </w:rPr>
        <w:t>leszállítását</w:t>
      </w:r>
      <w:r w:rsidRPr="003E7ED2">
        <w:rPr>
          <w:szCs w:val="24"/>
        </w:rPr>
        <w:t xml:space="preserve"> követően az eszközcserék</w:t>
      </w:r>
      <w:r w:rsidR="006912BE">
        <w:rPr>
          <w:szCs w:val="24"/>
        </w:rPr>
        <w:t>et</w:t>
      </w:r>
      <w:r w:rsidRPr="003E7ED2">
        <w:rPr>
          <w:szCs w:val="24"/>
        </w:rPr>
        <w:t xml:space="preserve"> az üzemmérnökség</w:t>
      </w:r>
      <w:r w:rsidR="00A9388A">
        <w:rPr>
          <w:szCs w:val="24"/>
        </w:rPr>
        <w:t>e</w:t>
      </w:r>
      <w:r w:rsidRPr="003E7ED2">
        <w:rPr>
          <w:szCs w:val="24"/>
        </w:rPr>
        <w:t>k végezt</w:t>
      </w:r>
      <w:r w:rsidR="006912BE">
        <w:rPr>
          <w:szCs w:val="24"/>
        </w:rPr>
        <w:t>é</w:t>
      </w:r>
      <w:r w:rsidRPr="003E7ED2">
        <w:rPr>
          <w:szCs w:val="24"/>
        </w:rPr>
        <w:t>k.</w:t>
      </w:r>
    </w:p>
    <w:p w:rsidR="003E7ED2" w:rsidRPr="003E7ED2" w:rsidRDefault="003E7ED2" w:rsidP="00557E5C">
      <w:pPr>
        <w:ind w:right="34"/>
        <w:rPr>
          <w:szCs w:val="56"/>
        </w:rPr>
      </w:pPr>
      <w:r w:rsidRPr="003E7ED2">
        <w:rPr>
          <w:szCs w:val="24"/>
        </w:rPr>
        <w:t>Az</w:t>
      </w:r>
      <w:r w:rsidRPr="003E7ED2">
        <w:rPr>
          <w:i/>
          <w:szCs w:val="24"/>
        </w:rPr>
        <w:t xml:space="preserve"> </w:t>
      </w:r>
      <w:r w:rsidRPr="003E7ED2">
        <w:rPr>
          <w:b/>
          <w:i/>
          <w:szCs w:val="24"/>
        </w:rPr>
        <w:t>iszapcentrifugák és fúvók</w:t>
      </w:r>
      <w:r w:rsidRPr="003E7ED2">
        <w:rPr>
          <w:szCs w:val="24"/>
        </w:rPr>
        <w:t xml:space="preserve"> </w:t>
      </w:r>
      <w:r w:rsidR="006912BE">
        <w:rPr>
          <w:szCs w:val="24"/>
        </w:rPr>
        <w:t xml:space="preserve">szállítása </w:t>
      </w:r>
      <w:r w:rsidRPr="003E7ED2">
        <w:rPr>
          <w:szCs w:val="24"/>
        </w:rPr>
        <w:t xml:space="preserve">2022. </w:t>
      </w:r>
      <w:r w:rsidR="006912BE">
        <w:rPr>
          <w:szCs w:val="24"/>
        </w:rPr>
        <w:t>március-</w:t>
      </w:r>
      <w:r w:rsidRPr="003E7ED2">
        <w:rPr>
          <w:szCs w:val="24"/>
        </w:rPr>
        <w:t>április hónapban megtörtént. A centrifugákat a szállító, a fúvókat az üzemmérnökségek építették be</w:t>
      </w:r>
      <w:r w:rsidRPr="003E7ED2">
        <w:rPr>
          <w:szCs w:val="56"/>
        </w:rPr>
        <w:t xml:space="preserve">. </w:t>
      </w:r>
    </w:p>
    <w:p w:rsidR="003E7ED2" w:rsidRPr="003E7ED2" w:rsidRDefault="003E7ED2" w:rsidP="00557E5C">
      <w:pPr>
        <w:ind w:right="34"/>
        <w:rPr>
          <w:szCs w:val="56"/>
        </w:rPr>
      </w:pPr>
      <w:r w:rsidRPr="003E7ED2">
        <w:rPr>
          <w:szCs w:val="56"/>
        </w:rPr>
        <w:t xml:space="preserve">A projekt záró beszámolóját 2022. </w:t>
      </w:r>
      <w:r w:rsidR="008C769A">
        <w:rPr>
          <w:szCs w:val="56"/>
        </w:rPr>
        <w:t>augusztus</w:t>
      </w:r>
      <w:r w:rsidRPr="003E7ED2">
        <w:rPr>
          <w:szCs w:val="56"/>
        </w:rPr>
        <w:t xml:space="preserve"> 15. napján benyújtottuk a teljes támogatási összegre vonatkozóan. 2022. </w:t>
      </w:r>
      <w:r w:rsidR="008C769A">
        <w:rPr>
          <w:szCs w:val="56"/>
        </w:rPr>
        <w:t>december</w:t>
      </w:r>
      <w:r w:rsidRPr="003E7ED2">
        <w:rPr>
          <w:szCs w:val="56"/>
        </w:rPr>
        <w:t xml:space="preserve"> 14-én hiánypótlási felhívást kaptunk, </w:t>
      </w:r>
      <w:r w:rsidR="008C769A">
        <w:rPr>
          <w:szCs w:val="56"/>
        </w:rPr>
        <w:t>amelyben foglaltakat 2023. január</w:t>
      </w:r>
      <w:r w:rsidRPr="003E7ED2">
        <w:rPr>
          <w:szCs w:val="56"/>
        </w:rPr>
        <w:t xml:space="preserve"> 20-án teljesítettük. </w:t>
      </w:r>
    </w:p>
    <w:p w:rsidR="006912BE" w:rsidRPr="00407859" w:rsidRDefault="006912BE" w:rsidP="00557E5C">
      <w:pPr>
        <w:ind w:right="34"/>
        <w:rPr>
          <w:b/>
          <w:sz w:val="12"/>
          <w:szCs w:val="12"/>
        </w:rPr>
      </w:pPr>
    </w:p>
    <w:p w:rsidR="003E7ED2" w:rsidRPr="003E7ED2" w:rsidRDefault="003E7ED2" w:rsidP="00557E5C">
      <w:pPr>
        <w:ind w:right="34"/>
        <w:rPr>
          <w:szCs w:val="24"/>
        </w:rPr>
      </w:pPr>
      <w:r w:rsidRPr="003E7ED2">
        <w:rPr>
          <w:b/>
          <w:szCs w:val="56"/>
        </w:rPr>
        <w:t>KEHOP -2.1.7 A víziközmű-szolgáltatással kapcsolatos szemlélet</w:t>
      </w:r>
      <w:r w:rsidR="008C769A">
        <w:rPr>
          <w:b/>
          <w:szCs w:val="56"/>
        </w:rPr>
        <w:t xml:space="preserve"> </w:t>
      </w:r>
      <w:r w:rsidRPr="003E7ED2">
        <w:rPr>
          <w:b/>
          <w:szCs w:val="56"/>
        </w:rPr>
        <w:t xml:space="preserve">formálása: </w:t>
      </w:r>
      <w:r w:rsidRPr="003E7ED2">
        <w:rPr>
          <w:szCs w:val="56"/>
        </w:rPr>
        <w:t xml:space="preserve">A KEHOP-2.1.7-19-2019-00017 „Környezetvédelem és fenntarthatóság a víziközmű szolgáltatók életében a klímaváltozás árnyékában” pályázatot a Dél-Pest Megyei Víziközmű Szolgáltató </w:t>
      </w:r>
      <w:r w:rsidR="008C769A">
        <w:rPr>
          <w:szCs w:val="56"/>
        </w:rPr>
        <w:t xml:space="preserve">Zrt-vel </w:t>
      </w:r>
      <w:r w:rsidRPr="003E7ED2">
        <w:rPr>
          <w:szCs w:val="56"/>
        </w:rPr>
        <w:t xml:space="preserve">mint vezetővel és </w:t>
      </w:r>
      <w:r w:rsidR="008C769A">
        <w:rPr>
          <w:szCs w:val="56"/>
        </w:rPr>
        <w:t xml:space="preserve">a </w:t>
      </w:r>
      <w:r w:rsidRPr="003E7ED2">
        <w:rPr>
          <w:szCs w:val="56"/>
        </w:rPr>
        <w:t xml:space="preserve">MAVÍZ-zel konzorciumban nyertük el. </w:t>
      </w:r>
    </w:p>
    <w:p w:rsidR="003E7ED2" w:rsidRPr="003E7ED2" w:rsidRDefault="003E7ED2" w:rsidP="00557E5C">
      <w:pPr>
        <w:ind w:right="34"/>
        <w:rPr>
          <w:szCs w:val="56"/>
        </w:rPr>
      </w:pPr>
      <w:r w:rsidRPr="003E7ED2">
        <w:rPr>
          <w:szCs w:val="56"/>
        </w:rPr>
        <w:t xml:space="preserve">2022. </w:t>
      </w:r>
      <w:r w:rsidR="008C769A">
        <w:rPr>
          <w:szCs w:val="56"/>
        </w:rPr>
        <w:t>december</w:t>
      </w:r>
      <w:r w:rsidRPr="003E7ED2">
        <w:rPr>
          <w:szCs w:val="56"/>
        </w:rPr>
        <w:t xml:space="preserve"> 31-ig összesen négy elszámolást nyújtottunk be 33</w:t>
      </w:r>
      <w:r w:rsidR="008C769A">
        <w:rPr>
          <w:szCs w:val="56"/>
        </w:rPr>
        <w:t> </w:t>
      </w:r>
      <w:r w:rsidRPr="003E7ED2">
        <w:rPr>
          <w:szCs w:val="56"/>
        </w:rPr>
        <w:t>804</w:t>
      </w:r>
      <w:r w:rsidR="008C769A">
        <w:rPr>
          <w:szCs w:val="56"/>
        </w:rPr>
        <w:t xml:space="preserve"> e</w:t>
      </w:r>
      <w:r w:rsidRPr="003E7ED2">
        <w:rPr>
          <w:szCs w:val="56"/>
        </w:rPr>
        <w:t xml:space="preserve">Ft értékben, </w:t>
      </w:r>
      <w:r w:rsidR="008C769A">
        <w:rPr>
          <w:szCs w:val="56"/>
        </w:rPr>
        <w:t>a</w:t>
      </w:r>
      <w:r w:rsidRPr="003E7ED2">
        <w:rPr>
          <w:szCs w:val="56"/>
        </w:rPr>
        <w:t>melyet hiánytalanul jóváhagytak és kiutaltak. A korábban utalt előleg elszámolása is megtörtént.</w:t>
      </w:r>
    </w:p>
    <w:p w:rsidR="00676767" w:rsidRPr="00407859" w:rsidRDefault="00676767" w:rsidP="00557E5C">
      <w:pPr>
        <w:ind w:right="34"/>
        <w:rPr>
          <w:b/>
          <w:sz w:val="20"/>
        </w:rPr>
      </w:pPr>
    </w:p>
    <w:p w:rsidR="00407859" w:rsidRPr="00407859" w:rsidRDefault="00407859" w:rsidP="00557E5C">
      <w:pPr>
        <w:ind w:right="34"/>
        <w:rPr>
          <w:b/>
          <w:sz w:val="20"/>
        </w:rPr>
      </w:pPr>
    </w:p>
    <w:p w:rsidR="00D61DEF" w:rsidRPr="00557E5C" w:rsidRDefault="00557E5C" w:rsidP="00557E5C">
      <w:pPr>
        <w:ind w:right="34"/>
        <w:rPr>
          <w:b/>
          <w:szCs w:val="24"/>
        </w:rPr>
      </w:pPr>
      <w:r w:rsidRPr="00557E5C">
        <w:rPr>
          <w:b/>
          <w:szCs w:val="24"/>
        </w:rPr>
        <w:t>Vagyonértékelések</w:t>
      </w:r>
    </w:p>
    <w:p w:rsidR="003E7ED2" w:rsidRDefault="003E7ED2" w:rsidP="00557E5C">
      <w:pPr>
        <w:ind w:right="34"/>
        <w:rPr>
          <w:bCs/>
          <w:szCs w:val="24"/>
        </w:rPr>
      </w:pPr>
      <w:r w:rsidRPr="003E7ED2">
        <w:rPr>
          <w:szCs w:val="24"/>
        </w:rPr>
        <w:t xml:space="preserve">Az ellátásért felelősök feladata a </w:t>
      </w:r>
      <w:r w:rsidRPr="003E7ED2">
        <w:rPr>
          <w:b/>
          <w:szCs w:val="24"/>
        </w:rPr>
        <w:t xml:space="preserve">víziközmű vagyonértékelések </w:t>
      </w:r>
      <w:r w:rsidRPr="003E7ED2">
        <w:rPr>
          <w:szCs w:val="24"/>
        </w:rPr>
        <w:t xml:space="preserve">elkészítése, </w:t>
      </w:r>
      <w:r w:rsidR="006912BE">
        <w:rPr>
          <w:szCs w:val="24"/>
        </w:rPr>
        <w:t>a</w:t>
      </w:r>
      <w:r w:rsidRPr="003E7ED2">
        <w:rPr>
          <w:szCs w:val="24"/>
        </w:rPr>
        <w:t>melynek a határideje</w:t>
      </w:r>
      <w:r w:rsidRPr="003E7ED2">
        <w:rPr>
          <w:b/>
          <w:szCs w:val="24"/>
        </w:rPr>
        <w:t xml:space="preserve"> </w:t>
      </w:r>
      <w:r w:rsidRPr="003E7ED2">
        <w:rPr>
          <w:bCs/>
          <w:szCs w:val="24"/>
        </w:rPr>
        <w:t xml:space="preserve">2022. december 31-ére módosult. </w:t>
      </w:r>
      <w:r w:rsidRPr="003E7ED2">
        <w:rPr>
          <w:szCs w:val="24"/>
        </w:rPr>
        <w:t xml:space="preserve">A legnagyobb két rendszer – a Szombathely-Kőszeg ivóvíz ellátási, valamint a Szombathely-Kőszeg szennyvízelvezetési és –tisztítási rendszer - vagyonértékelésére </w:t>
      </w:r>
      <w:r w:rsidR="006912BE">
        <w:rPr>
          <w:szCs w:val="24"/>
        </w:rPr>
        <w:t>t</w:t>
      </w:r>
      <w:r w:rsidRPr="003E7ED2">
        <w:rPr>
          <w:szCs w:val="24"/>
        </w:rPr>
        <w:t>ársaságunkat bízták meg az érintett önkormányzatok.</w:t>
      </w:r>
      <w:r w:rsidRPr="003E7ED2">
        <w:rPr>
          <w:bCs/>
          <w:szCs w:val="24"/>
        </w:rPr>
        <w:t xml:space="preserve"> A vagyonértékelés 2022.</w:t>
      </w:r>
      <w:r w:rsidR="006912BE">
        <w:rPr>
          <w:bCs/>
          <w:szCs w:val="24"/>
        </w:rPr>
        <w:t xml:space="preserve"> </w:t>
      </w:r>
      <w:r w:rsidRPr="003E7ED2">
        <w:rPr>
          <w:bCs/>
          <w:szCs w:val="24"/>
        </w:rPr>
        <w:t>március 14-é</w:t>
      </w:r>
      <w:r w:rsidR="006912BE">
        <w:rPr>
          <w:bCs/>
          <w:szCs w:val="24"/>
        </w:rPr>
        <w:t>re elkészült</w:t>
      </w:r>
      <w:r w:rsidRPr="003E7ED2">
        <w:rPr>
          <w:bCs/>
          <w:szCs w:val="24"/>
        </w:rPr>
        <w:t>, a dokumentációk</w:t>
      </w:r>
      <w:r w:rsidR="006912BE">
        <w:rPr>
          <w:bCs/>
          <w:szCs w:val="24"/>
        </w:rPr>
        <w:t>at az</w:t>
      </w:r>
      <w:r w:rsidRPr="003E7ED2">
        <w:rPr>
          <w:bCs/>
          <w:szCs w:val="24"/>
        </w:rPr>
        <w:t xml:space="preserve"> </w:t>
      </w:r>
      <w:r w:rsidR="00676767">
        <w:rPr>
          <w:bCs/>
          <w:szCs w:val="24"/>
        </w:rPr>
        <w:t>önkormányzatoknak átadtuk</w:t>
      </w:r>
      <w:r w:rsidRPr="003E7ED2">
        <w:rPr>
          <w:bCs/>
          <w:szCs w:val="24"/>
        </w:rPr>
        <w:t>.</w:t>
      </w:r>
    </w:p>
    <w:p w:rsidR="00557E5C" w:rsidRPr="00407859" w:rsidRDefault="00557E5C" w:rsidP="00557E5C">
      <w:pPr>
        <w:ind w:right="34"/>
        <w:rPr>
          <w:bCs/>
          <w:sz w:val="20"/>
        </w:rPr>
      </w:pPr>
    </w:p>
    <w:p w:rsidR="003E7ED2" w:rsidRPr="00407859" w:rsidRDefault="003E7ED2" w:rsidP="00557E5C">
      <w:pPr>
        <w:ind w:right="34"/>
        <w:rPr>
          <w:sz w:val="20"/>
        </w:rPr>
      </w:pPr>
    </w:p>
    <w:p w:rsidR="00557E5C" w:rsidRPr="00557E5C" w:rsidRDefault="00557E5C" w:rsidP="00557E5C">
      <w:pPr>
        <w:ind w:right="34"/>
        <w:rPr>
          <w:b/>
          <w:szCs w:val="24"/>
        </w:rPr>
      </w:pPr>
      <w:r w:rsidRPr="00557E5C">
        <w:rPr>
          <w:b/>
          <w:szCs w:val="24"/>
        </w:rPr>
        <w:t>Energia beszerzések</w:t>
      </w:r>
    </w:p>
    <w:p w:rsidR="003E7ED2" w:rsidRPr="003E7ED2" w:rsidRDefault="003E7ED2" w:rsidP="00557E5C">
      <w:pPr>
        <w:spacing w:after="120"/>
        <w:ind w:right="34"/>
      </w:pPr>
      <w:r w:rsidRPr="003E7ED2">
        <w:rPr>
          <w:b/>
        </w:rPr>
        <w:t>Villamos energia 2023. évi beszerzésével</w:t>
      </w:r>
      <w:r w:rsidRPr="003E7ED2">
        <w:t xml:space="preserve"> kapcsolatban a villamos energia árának rendkívüli növekedése miatt 2022. október hónapban a Bíráló Bizottság úgy döntött, hogy csak 2023. I. negyedévre szerzi be a villamos energiát</w:t>
      </w:r>
      <w:r w:rsidR="00676767">
        <w:t>, a</w:t>
      </w:r>
      <w:r w:rsidRPr="003E7ED2">
        <w:t xml:space="preserve">z azt követő időszakra 36 hónapra Dinamikus Beszerzési Rendszert állít fel. A 2023. I. negyedévre vonatkozó villamos energia szerződést 205,47 Ft/kWh fix áron 2022. </w:t>
      </w:r>
      <w:r w:rsidR="00676767">
        <w:t>december</w:t>
      </w:r>
      <w:r w:rsidRPr="003E7ED2">
        <w:t xml:space="preserve"> 30-án az MVM N</w:t>
      </w:r>
      <w:r w:rsidR="008F64B2">
        <w:t>ext</w:t>
      </w:r>
      <w:r w:rsidRPr="003E7ED2">
        <w:t xml:space="preserve"> Energiakereskedelmi Zrt.-vel megkötöttük.</w:t>
      </w:r>
    </w:p>
    <w:p w:rsidR="003E7ED2" w:rsidRPr="003E7ED2" w:rsidRDefault="003E7ED2" w:rsidP="00557E5C">
      <w:pPr>
        <w:spacing w:after="120"/>
        <w:ind w:right="34"/>
      </w:pPr>
      <w:r w:rsidRPr="003E7ED2">
        <w:t xml:space="preserve">A </w:t>
      </w:r>
      <w:r w:rsidRPr="003E7ED2">
        <w:rPr>
          <w:b/>
          <w:color w:val="000000" w:themeColor="text1"/>
        </w:rPr>
        <w:t>földgáz beszerzésre</w:t>
      </w:r>
      <w:r w:rsidRPr="003E7ED2">
        <w:rPr>
          <w:color w:val="000000" w:themeColor="text1"/>
        </w:rPr>
        <w:t xml:space="preserve"> </w:t>
      </w:r>
      <w:r w:rsidRPr="003E7ED2">
        <w:t xml:space="preserve">vonatkozó szerződésünk 2022. szeptember végén lejárt, új közbeszerzést indítottunk. A KEF rendszerében 2022. július hónapban </w:t>
      </w:r>
      <w:r w:rsidR="00676767">
        <w:t>két</w:t>
      </w:r>
      <w:r w:rsidRPr="003E7ED2">
        <w:t xml:space="preserve"> eredménytelen eljárás</w:t>
      </w:r>
      <w:r w:rsidR="00676767">
        <w:t>t</w:t>
      </w:r>
      <w:r w:rsidRPr="003E7ED2">
        <w:t xml:space="preserve"> folytat</w:t>
      </w:r>
      <w:r w:rsidR="00676767">
        <w:t>t</w:t>
      </w:r>
      <w:r w:rsidRPr="003E7ED2">
        <w:t>unk le a verseny újranyitásával. Az eredménytelenség oka az volt, hogy a kapott ajánlatok alapján a szerződések meghaladták a rendelkezésre álló fedezeteket. A Bíráló Bizottság többszöri döntését követően a földgáz beszerzésre 3 új KEF eljárást folytat</w:t>
      </w:r>
      <w:r w:rsidR="00676767">
        <w:t>t</w:t>
      </w:r>
      <w:r w:rsidRPr="003E7ED2">
        <w:t>unk le 2022. szeptemberben: az AVUS uszoda, a régi Uszoda és az Uszodán kívüli felhasználási helyekre. A régi Uszoda átmeneti bezárásához az önkormányzat hozzájárult, ezért arra nem kötöttünk szerződést. Az AVUS uszodára indexált, a többi felhasználási helyre 89,098 Ft/kWh fix árral az MVM N</w:t>
      </w:r>
      <w:r w:rsidR="008F64B2">
        <w:t>ext</w:t>
      </w:r>
      <w:r w:rsidRPr="003E7ED2">
        <w:t xml:space="preserve"> Energiakereskedelmi Zrt.-vel szerződtünk.</w:t>
      </w:r>
    </w:p>
    <w:p w:rsidR="0008615D" w:rsidRDefault="0008615D" w:rsidP="00557E5C">
      <w:pPr>
        <w:tabs>
          <w:tab w:val="left" w:pos="708"/>
          <w:tab w:val="center" w:pos="4536"/>
          <w:tab w:val="right" w:pos="9072"/>
        </w:tabs>
        <w:ind w:right="34"/>
        <w:rPr>
          <w:b/>
        </w:rPr>
      </w:pPr>
    </w:p>
    <w:p w:rsidR="00912E1F" w:rsidRDefault="0008615D" w:rsidP="00557E5C">
      <w:pPr>
        <w:tabs>
          <w:tab w:val="left" w:pos="708"/>
          <w:tab w:val="center" w:pos="4536"/>
          <w:tab w:val="right" w:pos="9072"/>
        </w:tabs>
        <w:ind w:right="34"/>
        <w:rPr>
          <w:b/>
        </w:rPr>
      </w:pPr>
      <w:r>
        <w:rPr>
          <w:b/>
        </w:rPr>
        <w:t>Társaságunk az üzleti évet a kedvezőtlen gazdasági környezeti hatások ellenére is a tervezett veszteség körül zárta, csekély mértékben, mintegy 8,2 millió Ft-tal, 1,3%-kal léptük túl a tervezett veszteséget, amely jelentős munkát, odafigyelést igényelt minden munkavállalótól.</w:t>
      </w:r>
    </w:p>
    <w:p w:rsidR="00912E1F" w:rsidRDefault="00912E1F">
      <w:pPr>
        <w:jc w:val="left"/>
        <w:rPr>
          <w:b/>
        </w:rPr>
      </w:pPr>
      <w:r>
        <w:rPr>
          <w:b/>
        </w:rPr>
        <w:br w:type="page"/>
      </w:r>
    </w:p>
    <w:p w:rsidR="00557E5C" w:rsidRDefault="00557E5C" w:rsidP="00557E5C">
      <w:pPr>
        <w:widowControl w:val="0"/>
        <w:overflowPunct w:val="0"/>
        <w:autoSpaceDE w:val="0"/>
        <w:autoSpaceDN w:val="0"/>
        <w:adjustRightInd w:val="0"/>
        <w:ind w:right="34"/>
        <w:rPr>
          <w:szCs w:val="24"/>
        </w:rPr>
      </w:pPr>
    </w:p>
    <w:p w:rsidR="00407859" w:rsidRDefault="00407859" w:rsidP="00557E5C">
      <w:pPr>
        <w:widowControl w:val="0"/>
        <w:overflowPunct w:val="0"/>
        <w:autoSpaceDE w:val="0"/>
        <w:autoSpaceDN w:val="0"/>
        <w:adjustRightInd w:val="0"/>
        <w:ind w:right="34"/>
        <w:rPr>
          <w:szCs w:val="24"/>
        </w:rPr>
      </w:pPr>
    </w:p>
    <w:p w:rsidR="0008615D" w:rsidRDefault="00557E5C" w:rsidP="00557E5C">
      <w:pPr>
        <w:widowControl w:val="0"/>
        <w:overflowPunct w:val="0"/>
        <w:autoSpaceDE w:val="0"/>
        <w:autoSpaceDN w:val="0"/>
        <w:adjustRightInd w:val="0"/>
        <w:ind w:right="34"/>
        <w:rPr>
          <w:b/>
          <w:szCs w:val="24"/>
        </w:rPr>
      </w:pPr>
      <w:r w:rsidRPr="00557E5C">
        <w:rPr>
          <w:b/>
          <w:szCs w:val="24"/>
        </w:rPr>
        <w:t>Összefoglaló</w:t>
      </w:r>
    </w:p>
    <w:p w:rsidR="00407859" w:rsidRPr="00407859" w:rsidRDefault="00407859" w:rsidP="00557E5C">
      <w:pPr>
        <w:widowControl w:val="0"/>
        <w:overflowPunct w:val="0"/>
        <w:autoSpaceDE w:val="0"/>
        <w:autoSpaceDN w:val="0"/>
        <w:adjustRightInd w:val="0"/>
        <w:ind w:right="34"/>
        <w:rPr>
          <w:b/>
          <w:sz w:val="8"/>
          <w:szCs w:val="8"/>
        </w:rPr>
      </w:pPr>
    </w:p>
    <w:p w:rsidR="003E7ED2" w:rsidRPr="003E7ED2" w:rsidRDefault="003E7ED2" w:rsidP="00557E5C">
      <w:pPr>
        <w:ind w:right="34"/>
        <w:rPr>
          <w:i/>
          <w:szCs w:val="24"/>
        </w:rPr>
      </w:pPr>
      <w:r w:rsidRPr="003E7ED2">
        <w:rPr>
          <w:i/>
          <w:szCs w:val="24"/>
        </w:rPr>
        <w:t>Társaságunk működése folyamatos. Stratégiai célunk továbbra is az üzembiztonság, a likviditás fenntartása, az elfogadott üzleti tervnek megfelelő tervszerű, gazdaságos működés, a folyamatos fejlesztés - együttműködve az ellátásért felelős önkormányzatokkal -, a tervszerű fenntartási munkák elvégzése, a váratlan meghibásodások gyors elhárítása mellett a környezet megóvása. Ezen célok megvalósítása a jelenlegi gazdasági környezetben komoly terheket ró társaságunkra. A növekvő energia-, üzemanyag- és egyéb anyag árak mellett igyekszünk – a biztonságos üzemeltetést figyelembe véve – a feladatok, az eszközök, a munkavégzés hatékonyságának növelésére, a folyamatok ésszerűsítésére. Kiemelt figyelmet fordítunk a beszerzésekre, a beruház</w:t>
      </w:r>
      <w:r w:rsidR="00676767">
        <w:rPr>
          <w:i/>
          <w:szCs w:val="24"/>
        </w:rPr>
        <w:t xml:space="preserve">ások optimalizálására. </w:t>
      </w:r>
      <w:r w:rsidRPr="003E7ED2">
        <w:rPr>
          <w:i/>
          <w:szCs w:val="24"/>
        </w:rPr>
        <w:t>További nehezítést jelent az újabb költségek megjelenése (energiahatékonysági díj), illetve a már meglévő költségek további emelése (villamos energia rendszerhasználati díj). A legnagyobb problémát azonban továbbra is a folyamatos bizonytalanság jelenti, mind az ágazat jövőjét illetően, mind a gazdasági körülmények tekintetében. Mindezek mellett kiemelt feladatunk a fent hivatkozott törvények által meghatározott feladatok végrehajtása.</w:t>
      </w:r>
    </w:p>
    <w:p w:rsidR="003E7ED2" w:rsidRPr="003E7ED2" w:rsidRDefault="003E7ED2" w:rsidP="00A9388A">
      <w:pPr>
        <w:ind w:right="317"/>
      </w:pPr>
    </w:p>
    <w:p w:rsidR="003E7ED2" w:rsidRPr="003E7ED2" w:rsidRDefault="003E7ED2" w:rsidP="00A9388A">
      <w:pPr>
        <w:widowControl w:val="0"/>
        <w:overflowPunct w:val="0"/>
        <w:autoSpaceDE w:val="0"/>
        <w:autoSpaceDN w:val="0"/>
        <w:adjustRightInd w:val="0"/>
        <w:ind w:right="317"/>
        <w:rPr>
          <w:szCs w:val="24"/>
        </w:rPr>
      </w:pPr>
    </w:p>
    <w:p w:rsidR="003E7ED2" w:rsidRPr="003E7ED2" w:rsidRDefault="003E7ED2" w:rsidP="003E7ED2">
      <w:pPr>
        <w:widowControl w:val="0"/>
        <w:overflowPunct w:val="0"/>
        <w:autoSpaceDE w:val="0"/>
        <w:autoSpaceDN w:val="0"/>
        <w:adjustRightInd w:val="0"/>
        <w:rPr>
          <w:szCs w:val="24"/>
        </w:rPr>
      </w:pPr>
    </w:p>
    <w:p w:rsidR="003E7ED2" w:rsidRPr="003E7ED2" w:rsidRDefault="003E7ED2" w:rsidP="003E7ED2">
      <w:pPr>
        <w:widowControl w:val="0"/>
        <w:overflowPunct w:val="0"/>
        <w:autoSpaceDE w:val="0"/>
        <w:autoSpaceDN w:val="0"/>
        <w:adjustRightInd w:val="0"/>
        <w:rPr>
          <w:szCs w:val="24"/>
        </w:rPr>
      </w:pPr>
    </w:p>
    <w:p w:rsidR="003E7ED2" w:rsidRPr="003E7ED2" w:rsidRDefault="003E7ED2" w:rsidP="003E7ED2">
      <w:pPr>
        <w:ind w:right="-142"/>
        <w:rPr>
          <w:i/>
          <w:szCs w:val="24"/>
        </w:rPr>
      </w:pPr>
    </w:p>
    <w:p w:rsidR="003E7ED2" w:rsidRPr="003E7ED2" w:rsidRDefault="003E7ED2" w:rsidP="003E7ED2">
      <w:pPr>
        <w:ind w:right="34"/>
        <w:rPr>
          <w:szCs w:val="24"/>
        </w:rPr>
      </w:pPr>
    </w:p>
    <w:p w:rsidR="003E7ED2" w:rsidRPr="003E7ED2" w:rsidRDefault="003E7ED2" w:rsidP="003E7ED2">
      <w:pPr>
        <w:pStyle w:val="Szvegtrzs2"/>
        <w:ind w:right="34"/>
        <w:rPr>
          <w:b/>
          <w:szCs w:val="24"/>
        </w:rPr>
      </w:pPr>
    </w:p>
    <w:p w:rsidR="003E7ED2" w:rsidRPr="003E7ED2" w:rsidRDefault="003E7ED2" w:rsidP="003E7ED2">
      <w:pPr>
        <w:pStyle w:val="Szvegtrzs2"/>
        <w:tabs>
          <w:tab w:val="center" w:pos="6804"/>
        </w:tabs>
        <w:ind w:right="34"/>
      </w:pPr>
      <w:r w:rsidRPr="003E7ED2">
        <w:rPr>
          <w:b/>
        </w:rPr>
        <w:tab/>
      </w:r>
      <w:r w:rsidRPr="003E7ED2">
        <w:t>Krenner Róbert</w:t>
      </w:r>
    </w:p>
    <w:p w:rsidR="003E7ED2" w:rsidRDefault="003E7ED2" w:rsidP="003E7ED2">
      <w:pPr>
        <w:tabs>
          <w:tab w:val="center" w:pos="6804"/>
        </w:tabs>
        <w:ind w:right="34"/>
      </w:pPr>
      <w:r w:rsidRPr="003E7ED2">
        <w:rPr>
          <w:sz w:val="23"/>
        </w:rPr>
        <w:tab/>
        <w:t>vezérigazgató</w:t>
      </w:r>
    </w:p>
    <w:p w:rsidR="003E7ED2" w:rsidRDefault="003E7ED2" w:rsidP="003E7ED2"/>
    <w:p w:rsidR="003E7ED2" w:rsidRDefault="003E7ED2" w:rsidP="003E7ED2">
      <w:pPr>
        <w:tabs>
          <w:tab w:val="center" w:pos="6804"/>
        </w:tabs>
        <w:ind w:right="34"/>
      </w:pPr>
    </w:p>
    <w:p w:rsidR="00CE699B" w:rsidRDefault="00CE699B" w:rsidP="003E7ED2">
      <w:pPr>
        <w:ind w:right="-142"/>
      </w:pPr>
    </w:p>
    <w:sectPr w:rsidR="00CE699B" w:rsidSect="0091310C">
      <w:headerReference w:type="even" r:id="rId38"/>
      <w:headerReference w:type="default" r:id="rId39"/>
      <w:footerReference w:type="even" r:id="rId40"/>
      <w:footerReference w:type="default" r:id="rId41"/>
      <w:footnotePr>
        <w:numFmt w:val="chicago"/>
      </w:footnotePr>
      <w:type w:val="continuous"/>
      <w:pgSz w:w="11907" w:h="16840" w:code="9"/>
      <w:pgMar w:top="1134" w:right="992" w:bottom="993" w:left="1100" w:header="737" w:footer="503" w:gutter="0"/>
      <w:pgNumType w:start="0"/>
      <w:cols w:space="708"/>
      <w:noEndnote/>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54F90" w:rsidRDefault="00A54F90">
      <w:r>
        <w:separator/>
      </w:r>
    </w:p>
  </w:endnote>
  <w:endnote w:type="continuationSeparator" w:id="0">
    <w:p w:rsidR="00A54F90" w:rsidRDefault="00A54F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omic Sans MS">
    <w:panose1 w:val="030F0702030302020204"/>
    <w:charset w:val="EE"/>
    <w:family w:val="script"/>
    <w:pitch w:val="variable"/>
    <w:sig w:usb0="00000287" w:usb1="40000013" w:usb2="00000000" w:usb3="00000000" w:csb0="000000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Sans Serif">
    <w:altName w:val="Arial"/>
    <w:panose1 w:val="00000000000000000000"/>
    <w:charset w:val="00"/>
    <w:family w:val="swiss"/>
    <w:notTrueType/>
    <w:pitch w:val="variable"/>
    <w:sig w:usb0="00000003" w:usb1="00000000" w:usb2="00000000" w:usb3="00000000" w:csb0="00000001" w:csb1="00000000"/>
  </w:font>
  <w:font w:name="Cambria">
    <w:panose1 w:val="02040503050406030204"/>
    <w:charset w:val="EE"/>
    <w:family w:val="roman"/>
    <w:pitch w:val="variable"/>
    <w:sig w:usb0="E00002FF" w:usb1="400004FF" w:usb2="00000000" w:usb3="00000000" w:csb0="0000019F" w:csb1="00000000"/>
  </w:font>
  <w:font w:name="Lucida Sans Unicode">
    <w:panose1 w:val="020B0602030504020204"/>
    <w:charset w:val="EE"/>
    <w:family w:val="swiss"/>
    <w:pitch w:val="variable"/>
    <w:sig w:usb0="80000AFF" w:usb1="0000396B" w:usb2="00000000" w:usb3="00000000" w:csb0="000000BF" w:csb1="00000000"/>
  </w:font>
  <w:font w:name="Mangal">
    <w:panose1 w:val="02040503050203030202"/>
    <w:charset w:val="00"/>
    <w:family w:val="roman"/>
    <w:pitch w:val="variable"/>
    <w:sig w:usb0="00008003" w:usb1="00000000" w:usb2="00000000" w:usb3="00000000" w:csb0="00000001" w:csb1="00000000"/>
  </w:font>
  <w:font w:name="Calibri Light">
    <w:panose1 w:val="020F0302020204030204"/>
    <w:charset w:val="EE"/>
    <w:family w:val="swiss"/>
    <w:pitch w:val="variable"/>
    <w:sig w:usb0="A00002EF" w:usb1="4000207B" w:usb2="00000000" w:usb3="00000000" w:csb0="0000019F" w:csb1="00000000"/>
  </w:font>
  <w:font w:name="MyriadPro-Semibold">
    <w:panose1 w:val="00000000000000000000"/>
    <w:charset w:val="EE"/>
    <w:family w:val="swiss"/>
    <w:notTrueType/>
    <w:pitch w:val="default"/>
    <w:sig w:usb0="00000005" w:usb1="00000000" w:usb2="00000000" w:usb3="00000000" w:csb0="00000002" w:csb1="00000000"/>
  </w:font>
  <w:font w:name="Times New Roman CE">
    <w:panose1 w:val="02020603050405020304"/>
    <w:charset w:val="EE"/>
    <w:family w:val="roman"/>
    <w:pitch w:val="variable"/>
    <w:sig w:usb0="E0002E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54F90" w:rsidRDefault="00A54F90">
    <w:pPr>
      <w:pStyle w:val="llb"/>
      <w:framePr w:wrap="around" w:vAnchor="text" w:hAnchor="margin" w:xAlign="right" w:y="1"/>
      <w:rPr>
        <w:rStyle w:val="Oldalszm"/>
      </w:rPr>
    </w:pPr>
    <w:r>
      <w:rPr>
        <w:rStyle w:val="Oldalszm"/>
      </w:rPr>
      <w:fldChar w:fldCharType="begin"/>
    </w:r>
    <w:r>
      <w:rPr>
        <w:rStyle w:val="Oldalszm"/>
      </w:rPr>
      <w:instrText xml:space="preserve">PAGE  </w:instrText>
    </w:r>
    <w:r>
      <w:rPr>
        <w:rStyle w:val="Oldalszm"/>
      </w:rPr>
      <w:fldChar w:fldCharType="end"/>
    </w:r>
  </w:p>
  <w:p w:rsidR="00A54F90" w:rsidRDefault="00A54F90">
    <w:pPr>
      <w:pStyle w:val="llb"/>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54F90" w:rsidRDefault="00A54F90">
    <w:pPr>
      <w:pStyle w:val="llb"/>
      <w:pBdr>
        <w:top w:val="single" w:sz="4" w:space="1" w:color="auto"/>
      </w:pBdr>
      <w:ind w:right="360"/>
      <w:jc w:val="right"/>
    </w:pPr>
    <w:r>
      <w:rPr>
        <w:color w:val="0000FF"/>
      </w:rPr>
      <w:fldChar w:fldCharType="begin"/>
    </w:r>
    <w:r>
      <w:rPr>
        <w:color w:val="0000FF"/>
      </w:rPr>
      <w:instrText xml:space="preserve"> PAGE   \* MERGEFORMAT </w:instrText>
    </w:r>
    <w:r>
      <w:rPr>
        <w:color w:val="0000FF"/>
      </w:rPr>
      <w:fldChar w:fldCharType="separate"/>
    </w:r>
    <w:r w:rsidR="00B2372D">
      <w:rPr>
        <w:noProof/>
        <w:color w:val="0000FF"/>
      </w:rPr>
      <w:t>1</w:t>
    </w:r>
    <w:r>
      <w:rPr>
        <w:color w:val="0000F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54F90" w:rsidRDefault="00A54F90">
      <w:r>
        <w:separator/>
      </w:r>
    </w:p>
  </w:footnote>
  <w:footnote w:type="continuationSeparator" w:id="0">
    <w:p w:rsidR="00A54F90" w:rsidRDefault="00A54F9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54F90" w:rsidRDefault="00A54F90">
    <w:pPr>
      <w:pStyle w:val="lfej"/>
      <w:framePr w:wrap="around" w:vAnchor="text" w:hAnchor="margin" w:xAlign="center" w:y="1"/>
      <w:rPr>
        <w:rStyle w:val="Oldalszm"/>
      </w:rPr>
    </w:pPr>
    <w:r>
      <w:rPr>
        <w:rStyle w:val="Oldalszm"/>
      </w:rPr>
      <w:fldChar w:fldCharType="begin"/>
    </w:r>
    <w:r>
      <w:rPr>
        <w:rStyle w:val="Oldalszm"/>
      </w:rPr>
      <w:instrText xml:space="preserve">PAGE  </w:instrText>
    </w:r>
    <w:r>
      <w:rPr>
        <w:rStyle w:val="Oldalszm"/>
      </w:rPr>
      <w:fldChar w:fldCharType="end"/>
    </w:r>
  </w:p>
  <w:p w:rsidR="00A54F90" w:rsidRDefault="00A54F90">
    <w:pPr>
      <w:pStyle w:val="lfej"/>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54F90" w:rsidRDefault="00A54F90">
    <w:pPr>
      <w:pStyle w:val="lfej"/>
      <w:rPr>
        <w:rFonts w:ascii="Comic Sans MS" w:hAnsi="Comic Sans MS"/>
        <w:color w:val="0000FF"/>
        <w:u w:val="single"/>
      </w:rPr>
    </w:pPr>
    <w:r>
      <w:rPr>
        <w:rFonts w:ascii="Comic Sans MS" w:hAnsi="Comic Sans MS"/>
        <w:bCs/>
        <w:color w:val="0000FF"/>
        <w:u w:val="single"/>
      </w:rPr>
      <w:t>VASIVÍZ</w:t>
    </w:r>
    <w:r>
      <w:rPr>
        <w:rFonts w:ascii="Comic Sans MS" w:hAnsi="Comic Sans MS"/>
        <w:color w:val="0000FF"/>
        <w:u w:val="single"/>
      </w:rPr>
      <w:t xml:space="preserve"> ZRt.</w:t>
    </w:r>
    <w:r>
      <w:rPr>
        <w:rFonts w:ascii="Comic Sans MS" w:hAnsi="Comic Sans MS"/>
        <w:color w:val="0000FF"/>
        <w:u w:val="single"/>
      </w:rPr>
      <w:ptab w:relativeTo="margin" w:alignment="right" w:leader="none"/>
    </w:r>
    <w:r>
      <w:rPr>
        <w:rFonts w:ascii="Comic Sans MS" w:hAnsi="Comic Sans MS"/>
        <w:color w:val="0000FF"/>
        <w:u w:val="single"/>
      </w:rPr>
      <w:t>2022. évi üzleti jelentés</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2"/>
    <w:multiLevelType w:val="multilevel"/>
    <w:tmpl w:val="00000002"/>
    <w:name w:val="WW8Num1"/>
    <w:lvl w:ilvl="0">
      <w:start w:val="1"/>
      <w:numFmt w:val="bullet"/>
      <w:lvlText w:val="-"/>
      <w:lvlJc w:val="left"/>
      <w:pPr>
        <w:tabs>
          <w:tab w:val="num" w:pos="720"/>
        </w:tabs>
        <w:ind w:left="720" w:hanging="360"/>
      </w:pPr>
      <w:rPr>
        <w:rFonts w:ascii="Times New Roman" w:hAnsi="Times New Roman" w:cs="Times New Roman"/>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2" w15:restartNumberingAfterBreak="0">
    <w:nsid w:val="00000003"/>
    <w:multiLevelType w:val="multilevel"/>
    <w:tmpl w:val="00000003"/>
    <w:name w:val="WW8Num2"/>
    <w:lvl w:ilvl="0">
      <w:start w:val="1"/>
      <w:numFmt w:val="bullet"/>
      <w:lvlText w:val="-"/>
      <w:lvlJc w:val="left"/>
      <w:pPr>
        <w:tabs>
          <w:tab w:val="num" w:pos="720"/>
        </w:tabs>
        <w:ind w:left="720" w:hanging="360"/>
      </w:pPr>
      <w:rPr>
        <w:rFonts w:ascii="Times New Roman" w:hAnsi="Times New Roman" w:cs="Times New Roman"/>
        <w:sz w:val="23"/>
        <w:shd w:val="clear" w:color="auto" w:fill="C0C0C0"/>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3" w15:restartNumberingAfterBreak="0">
    <w:nsid w:val="00000005"/>
    <w:multiLevelType w:val="singleLevel"/>
    <w:tmpl w:val="00000005"/>
    <w:name w:val="WW8Num6"/>
    <w:lvl w:ilvl="0">
      <w:start w:val="1"/>
      <w:numFmt w:val="bullet"/>
      <w:lvlText w:val=""/>
      <w:lvlJc w:val="left"/>
      <w:pPr>
        <w:tabs>
          <w:tab w:val="num" w:pos="720"/>
        </w:tabs>
      </w:pPr>
      <w:rPr>
        <w:rFonts w:ascii="Symbol" w:hAnsi="Symbol"/>
        <w:sz w:val="20"/>
      </w:rPr>
    </w:lvl>
  </w:abstractNum>
  <w:abstractNum w:abstractNumId="4" w15:restartNumberingAfterBreak="0">
    <w:nsid w:val="04CE08F9"/>
    <w:multiLevelType w:val="hybridMultilevel"/>
    <w:tmpl w:val="DCC4D5DA"/>
    <w:lvl w:ilvl="0" w:tplc="069CFD30">
      <w:start w:val="7"/>
      <w:numFmt w:val="bullet"/>
      <w:lvlText w:val="-"/>
      <w:lvlJc w:val="left"/>
      <w:pPr>
        <w:tabs>
          <w:tab w:val="num" w:pos="1004"/>
        </w:tabs>
        <w:ind w:left="1004" w:hanging="360"/>
      </w:pPr>
      <w:rPr>
        <w:rFonts w:ascii="Times New Roman" w:eastAsia="Times New Roman" w:hAnsi="Times New Roman" w:cs="Times New Roman" w:hint="default"/>
      </w:rPr>
    </w:lvl>
    <w:lvl w:ilvl="1" w:tplc="040E0003" w:tentative="1">
      <w:start w:val="1"/>
      <w:numFmt w:val="bullet"/>
      <w:lvlText w:val="o"/>
      <w:lvlJc w:val="left"/>
      <w:pPr>
        <w:ind w:left="1724" w:hanging="360"/>
      </w:pPr>
      <w:rPr>
        <w:rFonts w:ascii="Courier New" w:hAnsi="Courier New" w:cs="Courier New" w:hint="default"/>
      </w:rPr>
    </w:lvl>
    <w:lvl w:ilvl="2" w:tplc="040E0005" w:tentative="1">
      <w:start w:val="1"/>
      <w:numFmt w:val="bullet"/>
      <w:lvlText w:val=""/>
      <w:lvlJc w:val="left"/>
      <w:pPr>
        <w:ind w:left="2444" w:hanging="360"/>
      </w:pPr>
      <w:rPr>
        <w:rFonts w:ascii="Wingdings" w:hAnsi="Wingdings" w:hint="default"/>
      </w:rPr>
    </w:lvl>
    <w:lvl w:ilvl="3" w:tplc="040E0001" w:tentative="1">
      <w:start w:val="1"/>
      <w:numFmt w:val="bullet"/>
      <w:lvlText w:val=""/>
      <w:lvlJc w:val="left"/>
      <w:pPr>
        <w:ind w:left="3164" w:hanging="360"/>
      </w:pPr>
      <w:rPr>
        <w:rFonts w:ascii="Symbol" w:hAnsi="Symbol" w:hint="default"/>
      </w:rPr>
    </w:lvl>
    <w:lvl w:ilvl="4" w:tplc="040E0003" w:tentative="1">
      <w:start w:val="1"/>
      <w:numFmt w:val="bullet"/>
      <w:lvlText w:val="o"/>
      <w:lvlJc w:val="left"/>
      <w:pPr>
        <w:ind w:left="3884" w:hanging="360"/>
      </w:pPr>
      <w:rPr>
        <w:rFonts w:ascii="Courier New" w:hAnsi="Courier New" w:cs="Courier New" w:hint="default"/>
      </w:rPr>
    </w:lvl>
    <w:lvl w:ilvl="5" w:tplc="040E0005" w:tentative="1">
      <w:start w:val="1"/>
      <w:numFmt w:val="bullet"/>
      <w:lvlText w:val=""/>
      <w:lvlJc w:val="left"/>
      <w:pPr>
        <w:ind w:left="4604" w:hanging="360"/>
      </w:pPr>
      <w:rPr>
        <w:rFonts w:ascii="Wingdings" w:hAnsi="Wingdings" w:hint="default"/>
      </w:rPr>
    </w:lvl>
    <w:lvl w:ilvl="6" w:tplc="040E0001" w:tentative="1">
      <w:start w:val="1"/>
      <w:numFmt w:val="bullet"/>
      <w:lvlText w:val=""/>
      <w:lvlJc w:val="left"/>
      <w:pPr>
        <w:ind w:left="5324" w:hanging="360"/>
      </w:pPr>
      <w:rPr>
        <w:rFonts w:ascii="Symbol" w:hAnsi="Symbol" w:hint="default"/>
      </w:rPr>
    </w:lvl>
    <w:lvl w:ilvl="7" w:tplc="040E0003" w:tentative="1">
      <w:start w:val="1"/>
      <w:numFmt w:val="bullet"/>
      <w:lvlText w:val="o"/>
      <w:lvlJc w:val="left"/>
      <w:pPr>
        <w:ind w:left="6044" w:hanging="360"/>
      </w:pPr>
      <w:rPr>
        <w:rFonts w:ascii="Courier New" w:hAnsi="Courier New" w:cs="Courier New" w:hint="default"/>
      </w:rPr>
    </w:lvl>
    <w:lvl w:ilvl="8" w:tplc="040E0005" w:tentative="1">
      <w:start w:val="1"/>
      <w:numFmt w:val="bullet"/>
      <w:lvlText w:val=""/>
      <w:lvlJc w:val="left"/>
      <w:pPr>
        <w:ind w:left="6764" w:hanging="360"/>
      </w:pPr>
      <w:rPr>
        <w:rFonts w:ascii="Wingdings" w:hAnsi="Wingdings" w:hint="default"/>
      </w:rPr>
    </w:lvl>
  </w:abstractNum>
  <w:abstractNum w:abstractNumId="5" w15:restartNumberingAfterBreak="0">
    <w:nsid w:val="091C1BB5"/>
    <w:multiLevelType w:val="hybridMultilevel"/>
    <w:tmpl w:val="6610036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6" w15:restartNumberingAfterBreak="0">
    <w:nsid w:val="0ABA3C8F"/>
    <w:multiLevelType w:val="hybridMultilevel"/>
    <w:tmpl w:val="F52E89D0"/>
    <w:lvl w:ilvl="0" w:tplc="57E2D754">
      <w:numFmt w:val="bullet"/>
      <w:lvlText w:val="-"/>
      <w:lvlJc w:val="left"/>
      <w:pPr>
        <w:ind w:left="720" w:hanging="360"/>
      </w:pPr>
      <w:rPr>
        <w:rFonts w:ascii="Times New Roman" w:eastAsia="Times New Roman" w:hAnsi="Times New Roman" w:cs="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7" w15:restartNumberingAfterBreak="0">
    <w:nsid w:val="0EAA54B6"/>
    <w:multiLevelType w:val="hybridMultilevel"/>
    <w:tmpl w:val="15EEAC8C"/>
    <w:lvl w:ilvl="0" w:tplc="5046E072">
      <w:start w:val="2006"/>
      <w:numFmt w:val="bullet"/>
      <w:lvlText w:val="-"/>
      <w:lvlJc w:val="left"/>
      <w:pPr>
        <w:tabs>
          <w:tab w:val="num" w:pos="460"/>
        </w:tabs>
        <w:ind w:left="460" w:hanging="360"/>
      </w:pPr>
      <w:rPr>
        <w:rFonts w:ascii="Times New Roman" w:eastAsia="Times New Roman" w:hAnsi="Times New Roman" w:cs="Times New Roman" w:hint="default"/>
      </w:rPr>
    </w:lvl>
    <w:lvl w:ilvl="1" w:tplc="040E0003" w:tentative="1">
      <w:start w:val="1"/>
      <w:numFmt w:val="bullet"/>
      <w:lvlText w:val="o"/>
      <w:lvlJc w:val="left"/>
      <w:pPr>
        <w:tabs>
          <w:tab w:val="num" w:pos="1180"/>
        </w:tabs>
        <w:ind w:left="1180" w:hanging="360"/>
      </w:pPr>
      <w:rPr>
        <w:rFonts w:ascii="Courier New" w:hAnsi="Courier New" w:hint="default"/>
      </w:rPr>
    </w:lvl>
    <w:lvl w:ilvl="2" w:tplc="040E0005" w:tentative="1">
      <w:start w:val="1"/>
      <w:numFmt w:val="bullet"/>
      <w:lvlText w:val=""/>
      <w:lvlJc w:val="left"/>
      <w:pPr>
        <w:tabs>
          <w:tab w:val="num" w:pos="1900"/>
        </w:tabs>
        <w:ind w:left="1900" w:hanging="360"/>
      </w:pPr>
      <w:rPr>
        <w:rFonts w:ascii="Wingdings" w:hAnsi="Wingdings" w:hint="default"/>
      </w:rPr>
    </w:lvl>
    <w:lvl w:ilvl="3" w:tplc="040E0001" w:tentative="1">
      <w:start w:val="1"/>
      <w:numFmt w:val="bullet"/>
      <w:lvlText w:val=""/>
      <w:lvlJc w:val="left"/>
      <w:pPr>
        <w:tabs>
          <w:tab w:val="num" w:pos="2620"/>
        </w:tabs>
        <w:ind w:left="2620" w:hanging="360"/>
      </w:pPr>
      <w:rPr>
        <w:rFonts w:ascii="Symbol" w:hAnsi="Symbol" w:hint="default"/>
      </w:rPr>
    </w:lvl>
    <w:lvl w:ilvl="4" w:tplc="040E0003" w:tentative="1">
      <w:start w:val="1"/>
      <w:numFmt w:val="bullet"/>
      <w:lvlText w:val="o"/>
      <w:lvlJc w:val="left"/>
      <w:pPr>
        <w:tabs>
          <w:tab w:val="num" w:pos="3340"/>
        </w:tabs>
        <w:ind w:left="3340" w:hanging="360"/>
      </w:pPr>
      <w:rPr>
        <w:rFonts w:ascii="Courier New" w:hAnsi="Courier New" w:hint="default"/>
      </w:rPr>
    </w:lvl>
    <w:lvl w:ilvl="5" w:tplc="040E0005" w:tentative="1">
      <w:start w:val="1"/>
      <w:numFmt w:val="bullet"/>
      <w:lvlText w:val=""/>
      <w:lvlJc w:val="left"/>
      <w:pPr>
        <w:tabs>
          <w:tab w:val="num" w:pos="4060"/>
        </w:tabs>
        <w:ind w:left="4060" w:hanging="360"/>
      </w:pPr>
      <w:rPr>
        <w:rFonts w:ascii="Wingdings" w:hAnsi="Wingdings" w:hint="default"/>
      </w:rPr>
    </w:lvl>
    <w:lvl w:ilvl="6" w:tplc="040E0001" w:tentative="1">
      <w:start w:val="1"/>
      <w:numFmt w:val="bullet"/>
      <w:lvlText w:val=""/>
      <w:lvlJc w:val="left"/>
      <w:pPr>
        <w:tabs>
          <w:tab w:val="num" w:pos="4780"/>
        </w:tabs>
        <w:ind w:left="4780" w:hanging="360"/>
      </w:pPr>
      <w:rPr>
        <w:rFonts w:ascii="Symbol" w:hAnsi="Symbol" w:hint="default"/>
      </w:rPr>
    </w:lvl>
    <w:lvl w:ilvl="7" w:tplc="040E0003" w:tentative="1">
      <w:start w:val="1"/>
      <w:numFmt w:val="bullet"/>
      <w:lvlText w:val="o"/>
      <w:lvlJc w:val="left"/>
      <w:pPr>
        <w:tabs>
          <w:tab w:val="num" w:pos="5500"/>
        </w:tabs>
        <w:ind w:left="5500" w:hanging="360"/>
      </w:pPr>
      <w:rPr>
        <w:rFonts w:ascii="Courier New" w:hAnsi="Courier New" w:hint="default"/>
      </w:rPr>
    </w:lvl>
    <w:lvl w:ilvl="8" w:tplc="040E0005" w:tentative="1">
      <w:start w:val="1"/>
      <w:numFmt w:val="bullet"/>
      <w:lvlText w:val=""/>
      <w:lvlJc w:val="left"/>
      <w:pPr>
        <w:tabs>
          <w:tab w:val="num" w:pos="6220"/>
        </w:tabs>
        <w:ind w:left="6220" w:hanging="360"/>
      </w:pPr>
      <w:rPr>
        <w:rFonts w:ascii="Wingdings" w:hAnsi="Wingdings" w:hint="default"/>
      </w:rPr>
    </w:lvl>
  </w:abstractNum>
  <w:abstractNum w:abstractNumId="8" w15:restartNumberingAfterBreak="0">
    <w:nsid w:val="118B25B9"/>
    <w:multiLevelType w:val="hybridMultilevel"/>
    <w:tmpl w:val="E09E950A"/>
    <w:lvl w:ilvl="0" w:tplc="076E605C">
      <w:numFmt w:val="bullet"/>
      <w:lvlText w:val="-"/>
      <w:lvlJc w:val="left"/>
      <w:pPr>
        <w:ind w:left="720" w:hanging="360"/>
      </w:pPr>
      <w:rPr>
        <w:rFonts w:ascii="Times New Roman" w:eastAsia="Times New Roman" w:hAnsi="Times New Roman" w:cs="Times New Roman" w:hint="default"/>
        <w:i/>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9" w15:restartNumberingAfterBreak="0">
    <w:nsid w:val="20DE1672"/>
    <w:multiLevelType w:val="hybridMultilevel"/>
    <w:tmpl w:val="A3EE4AF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0" w15:restartNumberingAfterBreak="0">
    <w:nsid w:val="29D911B6"/>
    <w:multiLevelType w:val="hybridMultilevel"/>
    <w:tmpl w:val="D5A4AD96"/>
    <w:lvl w:ilvl="0" w:tplc="069CFD30">
      <w:start w:val="7"/>
      <w:numFmt w:val="bullet"/>
      <w:lvlText w:val="-"/>
      <w:lvlJc w:val="left"/>
      <w:pPr>
        <w:tabs>
          <w:tab w:val="num" w:pos="720"/>
        </w:tabs>
        <w:ind w:left="720" w:hanging="360"/>
      </w:pPr>
      <w:rPr>
        <w:rFonts w:ascii="Times New Roman" w:eastAsia="Times New Roman" w:hAnsi="Times New Roman" w:cs="Times New Roman" w:hint="default"/>
      </w:rPr>
    </w:lvl>
    <w:lvl w:ilvl="1" w:tplc="040E0003" w:tentative="1">
      <w:start w:val="1"/>
      <w:numFmt w:val="bullet"/>
      <w:lvlText w:val="o"/>
      <w:lvlJc w:val="left"/>
      <w:pPr>
        <w:tabs>
          <w:tab w:val="num" w:pos="1440"/>
        </w:tabs>
        <w:ind w:left="1440" w:hanging="360"/>
      </w:pPr>
      <w:rPr>
        <w:rFonts w:ascii="Courier New" w:hAnsi="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C1D20FD"/>
    <w:multiLevelType w:val="hybridMultilevel"/>
    <w:tmpl w:val="F63A9E36"/>
    <w:lvl w:ilvl="0" w:tplc="7B98DB70">
      <w:start w:val="1"/>
      <w:numFmt w:val="decimal"/>
      <w:lvlText w:val="%1"/>
      <w:lvlJc w:val="left"/>
      <w:pPr>
        <w:ind w:left="2520" w:hanging="360"/>
      </w:pPr>
      <w:rPr>
        <w:rFonts w:hint="default"/>
      </w:rPr>
    </w:lvl>
    <w:lvl w:ilvl="1" w:tplc="040E0019" w:tentative="1">
      <w:start w:val="1"/>
      <w:numFmt w:val="lowerLetter"/>
      <w:lvlText w:val="%2."/>
      <w:lvlJc w:val="left"/>
      <w:pPr>
        <w:ind w:left="3240" w:hanging="360"/>
      </w:pPr>
    </w:lvl>
    <w:lvl w:ilvl="2" w:tplc="040E001B" w:tentative="1">
      <w:start w:val="1"/>
      <w:numFmt w:val="lowerRoman"/>
      <w:lvlText w:val="%3."/>
      <w:lvlJc w:val="right"/>
      <w:pPr>
        <w:ind w:left="3960" w:hanging="180"/>
      </w:pPr>
    </w:lvl>
    <w:lvl w:ilvl="3" w:tplc="040E000F" w:tentative="1">
      <w:start w:val="1"/>
      <w:numFmt w:val="decimal"/>
      <w:lvlText w:val="%4."/>
      <w:lvlJc w:val="left"/>
      <w:pPr>
        <w:ind w:left="4680" w:hanging="360"/>
      </w:pPr>
    </w:lvl>
    <w:lvl w:ilvl="4" w:tplc="040E0019" w:tentative="1">
      <w:start w:val="1"/>
      <w:numFmt w:val="lowerLetter"/>
      <w:lvlText w:val="%5."/>
      <w:lvlJc w:val="left"/>
      <w:pPr>
        <w:ind w:left="5400" w:hanging="360"/>
      </w:pPr>
    </w:lvl>
    <w:lvl w:ilvl="5" w:tplc="040E001B" w:tentative="1">
      <w:start w:val="1"/>
      <w:numFmt w:val="lowerRoman"/>
      <w:lvlText w:val="%6."/>
      <w:lvlJc w:val="right"/>
      <w:pPr>
        <w:ind w:left="6120" w:hanging="180"/>
      </w:pPr>
    </w:lvl>
    <w:lvl w:ilvl="6" w:tplc="040E000F" w:tentative="1">
      <w:start w:val="1"/>
      <w:numFmt w:val="decimal"/>
      <w:lvlText w:val="%7."/>
      <w:lvlJc w:val="left"/>
      <w:pPr>
        <w:ind w:left="6840" w:hanging="360"/>
      </w:pPr>
    </w:lvl>
    <w:lvl w:ilvl="7" w:tplc="040E0019" w:tentative="1">
      <w:start w:val="1"/>
      <w:numFmt w:val="lowerLetter"/>
      <w:lvlText w:val="%8."/>
      <w:lvlJc w:val="left"/>
      <w:pPr>
        <w:ind w:left="7560" w:hanging="360"/>
      </w:pPr>
    </w:lvl>
    <w:lvl w:ilvl="8" w:tplc="040E001B" w:tentative="1">
      <w:start w:val="1"/>
      <w:numFmt w:val="lowerRoman"/>
      <w:lvlText w:val="%9."/>
      <w:lvlJc w:val="right"/>
      <w:pPr>
        <w:ind w:left="8280" w:hanging="180"/>
      </w:pPr>
    </w:lvl>
  </w:abstractNum>
  <w:abstractNum w:abstractNumId="12" w15:restartNumberingAfterBreak="0">
    <w:nsid w:val="2D2636FB"/>
    <w:multiLevelType w:val="hybridMultilevel"/>
    <w:tmpl w:val="2982E994"/>
    <w:lvl w:ilvl="0" w:tplc="DA742C42">
      <w:start w:val="2019"/>
      <w:numFmt w:val="bullet"/>
      <w:lvlText w:val="-"/>
      <w:lvlJc w:val="left"/>
      <w:pPr>
        <w:ind w:left="360" w:hanging="360"/>
      </w:pPr>
      <w:rPr>
        <w:rFonts w:ascii="Calibri" w:eastAsia="Calibri" w:hAnsi="Calibri" w:cs="Calibri"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13" w15:restartNumberingAfterBreak="0">
    <w:nsid w:val="324238C5"/>
    <w:multiLevelType w:val="hybridMultilevel"/>
    <w:tmpl w:val="CB366D20"/>
    <w:lvl w:ilvl="0" w:tplc="040E0001">
      <w:start w:val="1"/>
      <w:numFmt w:val="bullet"/>
      <w:lvlText w:val=""/>
      <w:lvlJc w:val="left"/>
      <w:pPr>
        <w:ind w:left="1440" w:hanging="360"/>
      </w:pPr>
      <w:rPr>
        <w:rFonts w:ascii="Symbol" w:hAnsi="Symbol" w:hint="default"/>
      </w:rPr>
    </w:lvl>
    <w:lvl w:ilvl="1" w:tplc="040E0003" w:tentative="1">
      <w:start w:val="1"/>
      <w:numFmt w:val="bullet"/>
      <w:lvlText w:val="o"/>
      <w:lvlJc w:val="left"/>
      <w:pPr>
        <w:ind w:left="2160" w:hanging="360"/>
      </w:pPr>
      <w:rPr>
        <w:rFonts w:ascii="Courier New" w:hAnsi="Courier New" w:cs="Courier New" w:hint="default"/>
      </w:rPr>
    </w:lvl>
    <w:lvl w:ilvl="2" w:tplc="040E0005" w:tentative="1">
      <w:start w:val="1"/>
      <w:numFmt w:val="bullet"/>
      <w:lvlText w:val=""/>
      <w:lvlJc w:val="left"/>
      <w:pPr>
        <w:ind w:left="2880" w:hanging="360"/>
      </w:pPr>
      <w:rPr>
        <w:rFonts w:ascii="Wingdings" w:hAnsi="Wingdings" w:hint="default"/>
      </w:rPr>
    </w:lvl>
    <w:lvl w:ilvl="3" w:tplc="040E0001" w:tentative="1">
      <w:start w:val="1"/>
      <w:numFmt w:val="bullet"/>
      <w:lvlText w:val=""/>
      <w:lvlJc w:val="left"/>
      <w:pPr>
        <w:ind w:left="3600" w:hanging="360"/>
      </w:pPr>
      <w:rPr>
        <w:rFonts w:ascii="Symbol" w:hAnsi="Symbol" w:hint="default"/>
      </w:rPr>
    </w:lvl>
    <w:lvl w:ilvl="4" w:tplc="040E0003" w:tentative="1">
      <w:start w:val="1"/>
      <w:numFmt w:val="bullet"/>
      <w:lvlText w:val="o"/>
      <w:lvlJc w:val="left"/>
      <w:pPr>
        <w:ind w:left="4320" w:hanging="360"/>
      </w:pPr>
      <w:rPr>
        <w:rFonts w:ascii="Courier New" w:hAnsi="Courier New" w:cs="Courier New" w:hint="default"/>
      </w:rPr>
    </w:lvl>
    <w:lvl w:ilvl="5" w:tplc="040E0005" w:tentative="1">
      <w:start w:val="1"/>
      <w:numFmt w:val="bullet"/>
      <w:lvlText w:val=""/>
      <w:lvlJc w:val="left"/>
      <w:pPr>
        <w:ind w:left="5040" w:hanging="360"/>
      </w:pPr>
      <w:rPr>
        <w:rFonts w:ascii="Wingdings" w:hAnsi="Wingdings" w:hint="default"/>
      </w:rPr>
    </w:lvl>
    <w:lvl w:ilvl="6" w:tplc="040E0001" w:tentative="1">
      <w:start w:val="1"/>
      <w:numFmt w:val="bullet"/>
      <w:lvlText w:val=""/>
      <w:lvlJc w:val="left"/>
      <w:pPr>
        <w:ind w:left="5760" w:hanging="360"/>
      </w:pPr>
      <w:rPr>
        <w:rFonts w:ascii="Symbol" w:hAnsi="Symbol" w:hint="default"/>
      </w:rPr>
    </w:lvl>
    <w:lvl w:ilvl="7" w:tplc="040E0003" w:tentative="1">
      <w:start w:val="1"/>
      <w:numFmt w:val="bullet"/>
      <w:lvlText w:val="o"/>
      <w:lvlJc w:val="left"/>
      <w:pPr>
        <w:ind w:left="6480" w:hanging="360"/>
      </w:pPr>
      <w:rPr>
        <w:rFonts w:ascii="Courier New" w:hAnsi="Courier New" w:cs="Courier New" w:hint="default"/>
      </w:rPr>
    </w:lvl>
    <w:lvl w:ilvl="8" w:tplc="040E0005" w:tentative="1">
      <w:start w:val="1"/>
      <w:numFmt w:val="bullet"/>
      <w:lvlText w:val=""/>
      <w:lvlJc w:val="left"/>
      <w:pPr>
        <w:ind w:left="7200" w:hanging="360"/>
      </w:pPr>
      <w:rPr>
        <w:rFonts w:ascii="Wingdings" w:hAnsi="Wingdings" w:hint="default"/>
      </w:rPr>
    </w:lvl>
  </w:abstractNum>
  <w:abstractNum w:abstractNumId="14" w15:restartNumberingAfterBreak="0">
    <w:nsid w:val="350D77EB"/>
    <w:multiLevelType w:val="hybridMultilevel"/>
    <w:tmpl w:val="AE78DB6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5" w15:restartNumberingAfterBreak="0">
    <w:nsid w:val="371C6B8C"/>
    <w:multiLevelType w:val="hybridMultilevel"/>
    <w:tmpl w:val="6D724C62"/>
    <w:lvl w:ilvl="0" w:tplc="B55C096A">
      <w:start w:val="2014"/>
      <w:numFmt w:val="bullet"/>
      <w:lvlText w:val="-"/>
      <w:lvlJc w:val="left"/>
      <w:pPr>
        <w:tabs>
          <w:tab w:val="num" w:pos="720"/>
        </w:tabs>
        <w:ind w:left="720" w:hanging="360"/>
      </w:pPr>
      <w:rPr>
        <w:rFonts w:ascii="Times New Roman" w:eastAsia="Times New Roman" w:hAnsi="Times New Roman" w:cs="Times New Roman" w:hint="default"/>
      </w:rPr>
    </w:lvl>
    <w:lvl w:ilvl="1" w:tplc="040E0003">
      <w:start w:val="1"/>
      <w:numFmt w:val="bullet"/>
      <w:lvlText w:val="o"/>
      <w:lvlJc w:val="left"/>
      <w:pPr>
        <w:tabs>
          <w:tab w:val="num" w:pos="1440"/>
        </w:tabs>
        <w:ind w:left="1440" w:hanging="360"/>
      </w:pPr>
      <w:rPr>
        <w:rFonts w:ascii="Courier New" w:hAnsi="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80D178C"/>
    <w:multiLevelType w:val="hybridMultilevel"/>
    <w:tmpl w:val="7C429450"/>
    <w:lvl w:ilvl="0" w:tplc="26785566">
      <w:numFmt w:val="bullet"/>
      <w:lvlText w:val="-"/>
      <w:lvlJc w:val="left"/>
      <w:pPr>
        <w:tabs>
          <w:tab w:val="num" w:pos="720"/>
        </w:tabs>
        <w:ind w:left="720" w:hanging="360"/>
      </w:pPr>
      <w:rPr>
        <w:rFonts w:ascii="Times New Roman" w:eastAsia="Times New Roman" w:hAnsi="Times New Roman" w:cs="Times New Roman" w:hint="default"/>
      </w:rPr>
    </w:lvl>
    <w:lvl w:ilvl="1" w:tplc="57E2D754">
      <w:numFmt w:val="bullet"/>
      <w:lvlText w:val="-"/>
      <w:lvlJc w:val="left"/>
      <w:pPr>
        <w:tabs>
          <w:tab w:val="num" w:pos="1785"/>
        </w:tabs>
        <w:ind w:left="1785" w:hanging="705"/>
      </w:pPr>
      <w:rPr>
        <w:rFonts w:ascii="Times New Roman" w:eastAsia="Times New Roman" w:hAnsi="Times New Roman" w:cs="Times New Roman"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8F7244B"/>
    <w:multiLevelType w:val="hybridMultilevel"/>
    <w:tmpl w:val="6A107108"/>
    <w:lvl w:ilvl="0" w:tplc="57E2D754">
      <w:numFmt w:val="bullet"/>
      <w:lvlText w:val="-"/>
      <w:lvlJc w:val="left"/>
      <w:pPr>
        <w:ind w:left="1211" w:hanging="360"/>
      </w:pPr>
      <w:rPr>
        <w:rFonts w:ascii="Times New Roman" w:eastAsia="Times New Roman" w:hAnsi="Times New Roman" w:cs="Times New Roman" w:hint="default"/>
      </w:rPr>
    </w:lvl>
    <w:lvl w:ilvl="1" w:tplc="57E2D754">
      <w:numFmt w:val="bullet"/>
      <w:lvlText w:val="-"/>
      <w:lvlJc w:val="left"/>
      <w:pPr>
        <w:ind w:left="1931" w:hanging="360"/>
      </w:pPr>
      <w:rPr>
        <w:rFonts w:ascii="Times New Roman" w:eastAsia="Times New Roman" w:hAnsi="Times New Roman" w:cs="Times New Roman" w:hint="default"/>
      </w:rPr>
    </w:lvl>
    <w:lvl w:ilvl="2" w:tplc="040E0005" w:tentative="1">
      <w:start w:val="1"/>
      <w:numFmt w:val="bullet"/>
      <w:lvlText w:val=""/>
      <w:lvlJc w:val="left"/>
      <w:pPr>
        <w:ind w:left="2651" w:hanging="360"/>
      </w:pPr>
      <w:rPr>
        <w:rFonts w:ascii="Wingdings" w:hAnsi="Wingdings" w:hint="default"/>
      </w:rPr>
    </w:lvl>
    <w:lvl w:ilvl="3" w:tplc="040E0001" w:tentative="1">
      <w:start w:val="1"/>
      <w:numFmt w:val="bullet"/>
      <w:lvlText w:val=""/>
      <w:lvlJc w:val="left"/>
      <w:pPr>
        <w:ind w:left="3371" w:hanging="360"/>
      </w:pPr>
      <w:rPr>
        <w:rFonts w:ascii="Symbol" w:hAnsi="Symbol" w:hint="default"/>
      </w:rPr>
    </w:lvl>
    <w:lvl w:ilvl="4" w:tplc="040E0003" w:tentative="1">
      <w:start w:val="1"/>
      <w:numFmt w:val="bullet"/>
      <w:lvlText w:val="o"/>
      <w:lvlJc w:val="left"/>
      <w:pPr>
        <w:ind w:left="4091" w:hanging="360"/>
      </w:pPr>
      <w:rPr>
        <w:rFonts w:ascii="Courier New" w:hAnsi="Courier New" w:cs="Courier New" w:hint="default"/>
      </w:rPr>
    </w:lvl>
    <w:lvl w:ilvl="5" w:tplc="040E0005" w:tentative="1">
      <w:start w:val="1"/>
      <w:numFmt w:val="bullet"/>
      <w:lvlText w:val=""/>
      <w:lvlJc w:val="left"/>
      <w:pPr>
        <w:ind w:left="4811" w:hanging="360"/>
      </w:pPr>
      <w:rPr>
        <w:rFonts w:ascii="Wingdings" w:hAnsi="Wingdings" w:hint="default"/>
      </w:rPr>
    </w:lvl>
    <w:lvl w:ilvl="6" w:tplc="040E0001" w:tentative="1">
      <w:start w:val="1"/>
      <w:numFmt w:val="bullet"/>
      <w:lvlText w:val=""/>
      <w:lvlJc w:val="left"/>
      <w:pPr>
        <w:ind w:left="5531" w:hanging="360"/>
      </w:pPr>
      <w:rPr>
        <w:rFonts w:ascii="Symbol" w:hAnsi="Symbol" w:hint="default"/>
      </w:rPr>
    </w:lvl>
    <w:lvl w:ilvl="7" w:tplc="040E0003" w:tentative="1">
      <w:start w:val="1"/>
      <w:numFmt w:val="bullet"/>
      <w:lvlText w:val="o"/>
      <w:lvlJc w:val="left"/>
      <w:pPr>
        <w:ind w:left="6251" w:hanging="360"/>
      </w:pPr>
      <w:rPr>
        <w:rFonts w:ascii="Courier New" w:hAnsi="Courier New" w:cs="Courier New" w:hint="default"/>
      </w:rPr>
    </w:lvl>
    <w:lvl w:ilvl="8" w:tplc="040E0005" w:tentative="1">
      <w:start w:val="1"/>
      <w:numFmt w:val="bullet"/>
      <w:lvlText w:val=""/>
      <w:lvlJc w:val="left"/>
      <w:pPr>
        <w:ind w:left="6971" w:hanging="360"/>
      </w:pPr>
      <w:rPr>
        <w:rFonts w:ascii="Wingdings" w:hAnsi="Wingdings" w:hint="default"/>
      </w:rPr>
    </w:lvl>
  </w:abstractNum>
  <w:abstractNum w:abstractNumId="18" w15:restartNumberingAfterBreak="0">
    <w:nsid w:val="3F8F0296"/>
    <w:multiLevelType w:val="hybridMultilevel"/>
    <w:tmpl w:val="A33E0948"/>
    <w:lvl w:ilvl="0" w:tplc="076E605C">
      <w:numFmt w:val="bullet"/>
      <w:lvlText w:val="-"/>
      <w:lvlJc w:val="left"/>
      <w:pPr>
        <w:ind w:left="1080" w:hanging="360"/>
      </w:pPr>
      <w:rPr>
        <w:rFonts w:ascii="Times New Roman" w:eastAsia="Times New Roman" w:hAnsi="Times New Roman" w:cs="Times New Roman" w:hint="default"/>
        <w:i/>
      </w:rPr>
    </w:lvl>
    <w:lvl w:ilvl="1" w:tplc="040E0003" w:tentative="1">
      <w:start w:val="1"/>
      <w:numFmt w:val="bullet"/>
      <w:lvlText w:val="o"/>
      <w:lvlJc w:val="left"/>
      <w:pPr>
        <w:ind w:left="1800" w:hanging="360"/>
      </w:pPr>
      <w:rPr>
        <w:rFonts w:ascii="Courier New" w:hAnsi="Courier New" w:cs="Courier New" w:hint="default"/>
      </w:rPr>
    </w:lvl>
    <w:lvl w:ilvl="2" w:tplc="040E0005" w:tentative="1">
      <w:start w:val="1"/>
      <w:numFmt w:val="bullet"/>
      <w:lvlText w:val=""/>
      <w:lvlJc w:val="left"/>
      <w:pPr>
        <w:ind w:left="2520" w:hanging="360"/>
      </w:pPr>
      <w:rPr>
        <w:rFonts w:ascii="Wingdings" w:hAnsi="Wingdings" w:hint="default"/>
      </w:rPr>
    </w:lvl>
    <w:lvl w:ilvl="3" w:tplc="040E0001" w:tentative="1">
      <w:start w:val="1"/>
      <w:numFmt w:val="bullet"/>
      <w:lvlText w:val=""/>
      <w:lvlJc w:val="left"/>
      <w:pPr>
        <w:ind w:left="3240" w:hanging="360"/>
      </w:pPr>
      <w:rPr>
        <w:rFonts w:ascii="Symbol" w:hAnsi="Symbol" w:hint="default"/>
      </w:rPr>
    </w:lvl>
    <w:lvl w:ilvl="4" w:tplc="040E0003" w:tentative="1">
      <w:start w:val="1"/>
      <w:numFmt w:val="bullet"/>
      <w:lvlText w:val="o"/>
      <w:lvlJc w:val="left"/>
      <w:pPr>
        <w:ind w:left="3960" w:hanging="360"/>
      </w:pPr>
      <w:rPr>
        <w:rFonts w:ascii="Courier New" w:hAnsi="Courier New" w:cs="Courier New" w:hint="default"/>
      </w:rPr>
    </w:lvl>
    <w:lvl w:ilvl="5" w:tplc="040E0005" w:tentative="1">
      <w:start w:val="1"/>
      <w:numFmt w:val="bullet"/>
      <w:lvlText w:val=""/>
      <w:lvlJc w:val="left"/>
      <w:pPr>
        <w:ind w:left="4680" w:hanging="360"/>
      </w:pPr>
      <w:rPr>
        <w:rFonts w:ascii="Wingdings" w:hAnsi="Wingdings" w:hint="default"/>
      </w:rPr>
    </w:lvl>
    <w:lvl w:ilvl="6" w:tplc="040E0001" w:tentative="1">
      <w:start w:val="1"/>
      <w:numFmt w:val="bullet"/>
      <w:lvlText w:val=""/>
      <w:lvlJc w:val="left"/>
      <w:pPr>
        <w:ind w:left="5400" w:hanging="360"/>
      </w:pPr>
      <w:rPr>
        <w:rFonts w:ascii="Symbol" w:hAnsi="Symbol" w:hint="default"/>
      </w:rPr>
    </w:lvl>
    <w:lvl w:ilvl="7" w:tplc="040E0003" w:tentative="1">
      <w:start w:val="1"/>
      <w:numFmt w:val="bullet"/>
      <w:lvlText w:val="o"/>
      <w:lvlJc w:val="left"/>
      <w:pPr>
        <w:ind w:left="6120" w:hanging="360"/>
      </w:pPr>
      <w:rPr>
        <w:rFonts w:ascii="Courier New" w:hAnsi="Courier New" w:cs="Courier New" w:hint="default"/>
      </w:rPr>
    </w:lvl>
    <w:lvl w:ilvl="8" w:tplc="040E0005" w:tentative="1">
      <w:start w:val="1"/>
      <w:numFmt w:val="bullet"/>
      <w:lvlText w:val=""/>
      <w:lvlJc w:val="left"/>
      <w:pPr>
        <w:ind w:left="6840" w:hanging="360"/>
      </w:pPr>
      <w:rPr>
        <w:rFonts w:ascii="Wingdings" w:hAnsi="Wingdings" w:hint="default"/>
      </w:rPr>
    </w:lvl>
  </w:abstractNum>
  <w:abstractNum w:abstractNumId="19" w15:restartNumberingAfterBreak="0">
    <w:nsid w:val="41C1404E"/>
    <w:multiLevelType w:val="hybridMultilevel"/>
    <w:tmpl w:val="225C8098"/>
    <w:lvl w:ilvl="0" w:tplc="C9F8B542">
      <w:start w:val="2017"/>
      <w:numFmt w:val="bullet"/>
      <w:lvlText w:val="-"/>
      <w:lvlJc w:val="left"/>
      <w:pPr>
        <w:ind w:left="780" w:hanging="360"/>
      </w:pPr>
      <w:rPr>
        <w:rFonts w:ascii="Times New Roman" w:eastAsia="Times New Roman" w:hAnsi="Times New Roman" w:cs="Times New Roman" w:hint="default"/>
        <w:b w:val="0"/>
        <w:i w:val="0"/>
      </w:rPr>
    </w:lvl>
    <w:lvl w:ilvl="1" w:tplc="040E0003" w:tentative="1">
      <w:start w:val="1"/>
      <w:numFmt w:val="bullet"/>
      <w:lvlText w:val="o"/>
      <w:lvlJc w:val="left"/>
      <w:pPr>
        <w:ind w:left="1500" w:hanging="360"/>
      </w:pPr>
      <w:rPr>
        <w:rFonts w:ascii="Courier New" w:hAnsi="Courier New" w:cs="Courier New" w:hint="default"/>
      </w:rPr>
    </w:lvl>
    <w:lvl w:ilvl="2" w:tplc="040E0005" w:tentative="1">
      <w:start w:val="1"/>
      <w:numFmt w:val="bullet"/>
      <w:lvlText w:val=""/>
      <w:lvlJc w:val="left"/>
      <w:pPr>
        <w:ind w:left="2220" w:hanging="360"/>
      </w:pPr>
      <w:rPr>
        <w:rFonts w:ascii="Wingdings" w:hAnsi="Wingdings" w:hint="default"/>
      </w:rPr>
    </w:lvl>
    <w:lvl w:ilvl="3" w:tplc="040E0001" w:tentative="1">
      <w:start w:val="1"/>
      <w:numFmt w:val="bullet"/>
      <w:lvlText w:val=""/>
      <w:lvlJc w:val="left"/>
      <w:pPr>
        <w:ind w:left="2940" w:hanging="360"/>
      </w:pPr>
      <w:rPr>
        <w:rFonts w:ascii="Symbol" w:hAnsi="Symbol" w:hint="default"/>
      </w:rPr>
    </w:lvl>
    <w:lvl w:ilvl="4" w:tplc="040E0003" w:tentative="1">
      <w:start w:val="1"/>
      <w:numFmt w:val="bullet"/>
      <w:lvlText w:val="o"/>
      <w:lvlJc w:val="left"/>
      <w:pPr>
        <w:ind w:left="3660" w:hanging="360"/>
      </w:pPr>
      <w:rPr>
        <w:rFonts w:ascii="Courier New" w:hAnsi="Courier New" w:cs="Courier New" w:hint="default"/>
      </w:rPr>
    </w:lvl>
    <w:lvl w:ilvl="5" w:tplc="040E0005" w:tentative="1">
      <w:start w:val="1"/>
      <w:numFmt w:val="bullet"/>
      <w:lvlText w:val=""/>
      <w:lvlJc w:val="left"/>
      <w:pPr>
        <w:ind w:left="4380" w:hanging="360"/>
      </w:pPr>
      <w:rPr>
        <w:rFonts w:ascii="Wingdings" w:hAnsi="Wingdings" w:hint="default"/>
      </w:rPr>
    </w:lvl>
    <w:lvl w:ilvl="6" w:tplc="040E0001" w:tentative="1">
      <w:start w:val="1"/>
      <w:numFmt w:val="bullet"/>
      <w:lvlText w:val=""/>
      <w:lvlJc w:val="left"/>
      <w:pPr>
        <w:ind w:left="5100" w:hanging="360"/>
      </w:pPr>
      <w:rPr>
        <w:rFonts w:ascii="Symbol" w:hAnsi="Symbol" w:hint="default"/>
      </w:rPr>
    </w:lvl>
    <w:lvl w:ilvl="7" w:tplc="040E0003" w:tentative="1">
      <w:start w:val="1"/>
      <w:numFmt w:val="bullet"/>
      <w:lvlText w:val="o"/>
      <w:lvlJc w:val="left"/>
      <w:pPr>
        <w:ind w:left="5820" w:hanging="360"/>
      </w:pPr>
      <w:rPr>
        <w:rFonts w:ascii="Courier New" w:hAnsi="Courier New" w:cs="Courier New" w:hint="default"/>
      </w:rPr>
    </w:lvl>
    <w:lvl w:ilvl="8" w:tplc="040E0005" w:tentative="1">
      <w:start w:val="1"/>
      <w:numFmt w:val="bullet"/>
      <w:lvlText w:val=""/>
      <w:lvlJc w:val="left"/>
      <w:pPr>
        <w:ind w:left="6540" w:hanging="360"/>
      </w:pPr>
      <w:rPr>
        <w:rFonts w:ascii="Wingdings" w:hAnsi="Wingdings" w:hint="default"/>
      </w:rPr>
    </w:lvl>
  </w:abstractNum>
  <w:abstractNum w:abstractNumId="20" w15:restartNumberingAfterBreak="0">
    <w:nsid w:val="454409DB"/>
    <w:multiLevelType w:val="hybridMultilevel"/>
    <w:tmpl w:val="82683EF6"/>
    <w:lvl w:ilvl="0" w:tplc="076E605C">
      <w:numFmt w:val="bullet"/>
      <w:lvlText w:val="-"/>
      <w:lvlJc w:val="left"/>
      <w:pPr>
        <w:tabs>
          <w:tab w:val="num" w:pos="502"/>
        </w:tabs>
        <w:ind w:left="502" w:hanging="360"/>
      </w:pPr>
      <w:rPr>
        <w:rFonts w:ascii="Times New Roman" w:eastAsia="Times New Roman" w:hAnsi="Times New Roman" w:cs="Times New Roman" w:hint="default"/>
        <w:i/>
      </w:rPr>
    </w:lvl>
    <w:lvl w:ilvl="1" w:tplc="040E0003" w:tentative="1">
      <w:start w:val="1"/>
      <w:numFmt w:val="bullet"/>
      <w:lvlText w:val="o"/>
      <w:lvlJc w:val="left"/>
      <w:pPr>
        <w:tabs>
          <w:tab w:val="num" w:pos="1222"/>
        </w:tabs>
        <w:ind w:left="1222" w:hanging="360"/>
      </w:pPr>
      <w:rPr>
        <w:rFonts w:ascii="Courier New" w:hAnsi="Courier New" w:hint="default"/>
      </w:rPr>
    </w:lvl>
    <w:lvl w:ilvl="2" w:tplc="040E0005" w:tentative="1">
      <w:start w:val="1"/>
      <w:numFmt w:val="bullet"/>
      <w:lvlText w:val=""/>
      <w:lvlJc w:val="left"/>
      <w:pPr>
        <w:tabs>
          <w:tab w:val="num" w:pos="1942"/>
        </w:tabs>
        <w:ind w:left="1942" w:hanging="360"/>
      </w:pPr>
      <w:rPr>
        <w:rFonts w:ascii="Wingdings" w:hAnsi="Wingdings" w:hint="default"/>
      </w:rPr>
    </w:lvl>
    <w:lvl w:ilvl="3" w:tplc="040E0001" w:tentative="1">
      <w:start w:val="1"/>
      <w:numFmt w:val="bullet"/>
      <w:lvlText w:val=""/>
      <w:lvlJc w:val="left"/>
      <w:pPr>
        <w:tabs>
          <w:tab w:val="num" w:pos="2662"/>
        </w:tabs>
        <w:ind w:left="2662" w:hanging="360"/>
      </w:pPr>
      <w:rPr>
        <w:rFonts w:ascii="Symbol" w:hAnsi="Symbol" w:hint="default"/>
      </w:rPr>
    </w:lvl>
    <w:lvl w:ilvl="4" w:tplc="040E0003" w:tentative="1">
      <w:start w:val="1"/>
      <w:numFmt w:val="bullet"/>
      <w:lvlText w:val="o"/>
      <w:lvlJc w:val="left"/>
      <w:pPr>
        <w:tabs>
          <w:tab w:val="num" w:pos="3382"/>
        </w:tabs>
        <w:ind w:left="3382" w:hanging="360"/>
      </w:pPr>
      <w:rPr>
        <w:rFonts w:ascii="Courier New" w:hAnsi="Courier New" w:hint="default"/>
      </w:rPr>
    </w:lvl>
    <w:lvl w:ilvl="5" w:tplc="040E0005" w:tentative="1">
      <w:start w:val="1"/>
      <w:numFmt w:val="bullet"/>
      <w:lvlText w:val=""/>
      <w:lvlJc w:val="left"/>
      <w:pPr>
        <w:tabs>
          <w:tab w:val="num" w:pos="4102"/>
        </w:tabs>
        <w:ind w:left="4102" w:hanging="360"/>
      </w:pPr>
      <w:rPr>
        <w:rFonts w:ascii="Wingdings" w:hAnsi="Wingdings" w:hint="default"/>
      </w:rPr>
    </w:lvl>
    <w:lvl w:ilvl="6" w:tplc="040E0001" w:tentative="1">
      <w:start w:val="1"/>
      <w:numFmt w:val="bullet"/>
      <w:lvlText w:val=""/>
      <w:lvlJc w:val="left"/>
      <w:pPr>
        <w:tabs>
          <w:tab w:val="num" w:pos="4822"/>
        </w:tabs>
        <w:ind w:left="4822" w:hanging="360"/>
      </w:pPr>
      <w:rPr>
        <w:rFonts w:ascii="Symbol" w:hAnsi="Symbol" w:hint="default"/>
      </w:rPr>
    </w:lvl>
    <w:lvl w:ilvl="7" w:tplc="040E0003" w:tentative="1">
      <w:start w:val="1"/>
      <w:numFmt w:val="bullet"/>
      <w:lvlText w:val="o"/>
      <w:lvlJc w:val="left"/>
      <w:pPr>
        <w:tabs>
          <w:tab w:val="num" w:pos="5542"/>
        </w:tabs>
        <w:ind w:left="5542" w:hanging="360"/>
      </w:pPr>
      <w:rPr>
        <w:rFonts w:ascii="Courier New" w:hAnsi="Courier New" w:hint="default"/>
      </w:rPr>
    </w:lvl>
    <w:lvl w:ilvl="8" w:tplc="040E0005" w:tentative="1">
      <w:start w:val="1"/>
      <w:numFmt w:val="bullet"/>
      <w:lvlText w:val=""/>
      <w:lvlJc w:val="left"/>
      <w:pPr>
        <w:tabs>
          <w:tab w:val="num" w:pos="6262"/>
        </w:tabs>
        <w:ind w:left="6262" w:hanging="360"/>
      </w:pPr>
      <w:rPr>
        <w:rFonts w:ascii="Wingdings" w:hAnsi="Wingdings" w:hint="default"/>
      </w:rPr>
    </w:lvl>
  </w:abstractNum>
  <w:abstractNum w:abstractNumId="21" w15:restartNumberingAfterBreak="0">
    <w:nsid w:val="4BAA06F7"/>
    <w:multiLevelType w:val="hybridMultilevel"/>
    <w:tmpl w:val="E68C1CD0"/>
    <w:lvl w:ilvl="0" w:tplc="040E000F">
      <w:start w:val="1"/>
      <w:numFmt w:val="decimal"/>
      <w:lvlText w:val="%1."/>
      <w:lvlJc w:val="left"/>
      <w:pPr>
        <w:ind w:left="720" w:hanging="360"/>
      </w:p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2" w15:restartNumberingAfterBreak="0">
    <w:nsid w:val="4E857CE5"/>
    <w:multiLevelType w:val="hybridMultilevel"/>
    <w:tmpl w:val="613A644E"/>
    <w:lvl w:ilvl="0" w:tplc="CF78DB0E">
      <w:numFmt w:val="bullet"/>
      <w:lvlText w:val="-"/>
      <w:lvlJc w:val="left"/>
      <w:pPr>
        <w:ind w:left="1080" w:hanging="360"/>
      </w:pPr>
      <w:rPr>
        <w:rFonts w:ascii="Times New Roman" w:eastAsia="Times New Roman" w:hAnsi="Times New Roman" w:cs="Times New Roman" w:hint="default"/>
      </w:rPr>
    </w:lvl>
    <w:lvl w:ilvl="1" w:tplc="040E0003" w:tentative="1">
      <w:start w:val="1"/>
      <w:numFmt w:val="bullet"/>
      <w:lvlText w:val="o"/>
      <w:lvlJc w:val="left"/>
      <w:pPr>
        <w:ind w:left="1800" w:hanging="360"/>
      </w:pPr>
      <w:rPr>
        <w:rFonts w:ascii="Courier New" w:hAnsi="Courier New" w:cs="Courier New" w:hint="default"/>
      </w:rPr>
    </w:lvl>
    <w:lvl w:ilvl="2" w:tplc="040E0005" w:tentative="1">
      <w:start w:val="1"/>
      <w:numFmt w:val="bullet"/>
      <w:lvlText w:val=""/>
      <w:lvlJc w:val="left"/>
      <w:pPr>
        <w:ind w:left="2520" w:hanging="360"/>
      </w:pPr>
      <w:rPr>
        <w:rFonts w:ascii="Wingdings" w:hAnsi="Wingdings" w:hint="default"/>
      </w:rPr>
    </w:lvl>
    <w:lvl w:ilvl="3" w:tplc="040E0001" w:tentative="1">
      <w:start w:val="1"/>
      <w:numFmt w:val="bullet"/>
      <w:lvlText w:val=""/>
      <w:lvlJc w:val="left"/>
      <w:pPr>
        <w:ind w:left="3240" w:hanging="360"/>
      </w:pPr>
      <w:rPr>
        <w:rFonts w:ascii="Symbol" w:hAnsi="Symbol" w:hint="default"/>
      </w:rPr>
    </w:lvl>
    <w:lvl w:ilvl="4" w:tplc="040E0003" w:tentative="1">
      <w:start w:val="1"/>
      <w:numFmt w:val="bullet"/>
      <w:lvlText w:val="o"/>
      <w:lvlJc w:val="left"/>
      <w:pPr>
        <w:ind w:left="3960" w:hanging="360"/>
      </w:pPr>
      <w:rPr>
        <w:rFonts w:ascii="Courier New" w:hAnsi="Courier New" w:cs="Courier New" w:hint="default"/>
      </w:rPr>
    </w:lvl>
    <w:lvl w:ilvl="5" w:tplc="040E0005" w:tentative="1">
      <w:start w:val="1"/>
      <w:numFmt w:val="bullet"/>
      <w:lvlText w:val=""/>
      <w:lvlJc w:val="left"/>
      <w:pPr>
        <w:ind w:left="4680" w:hanging="360"/>
      </w:pPr>
      <w:rPr>
        <w:rFonts w:ascii="Wingdings" w:hAnsi="Wingdings" w:hint="default"/>
      </w:rPr>
    </w:lvl>
    <w:lvl w:ilvl="6" w:tplc="040E0001" w:tentative="1">
      <w:start w:val="1"/>
      <w:numFmt w:val="bullet"/>
      <w:lvlText w:val=""/>
      <w:lvlJc w:val="left"/>
      <w:pPr>
        <w:ind w:left="5400" w:hanging="360"/>
      </w:pPr>
      <w:rPr>
        <w:rFonts w:ascii="Symbol" w:hAnsi="Symbol" w:hint="default"/>
      </w:rPr>
    </w:lvl>
    <w:lvl w:ilvl="7" w:tplc="040E0003" w:tentative="1">
      <w:start w:val="1"/>
      <w:numFmt w:val="bullet"/>
      <w:lvlText w:val="o"/>
      <w:lvlJc w:val="left"/>
      <w:pPr>
        <w:ind w:left="6120" w:hanging="360"/>
      </w:pPr>
      <w:rPr>
        <w:rFonts w:ascii="Courier New" w:hAnsi="Courier New" w:cs="Courier New" w:hint="default"/>
      </w:rPr>
    </w:lvl>
    <w:lvl w:ilvl="8" w:tplc="040E0005" w:tentative="1">
      <w:start w:val="1"/>
      <w:numFmt w:val="bullet"/>
      <w:lvlText w:val=""/>
      <w:lvlJc w:val="left"/>
      <w:pPr>
        <w:ind w:left="6840" w:hanging="360"/>
      </w:pPr>
      <w:rPr>
        <w:rFonts w:ascii="Wingdings" w:hAnsi="Wingdings" w:hint="default"/>
      </w:rPr>
    </w:lvl>
  </w:abstractNum>
  <w:abstractNum w:abstractNumId="23" w15:restartNumberingAfterBreak="0">
    <w:nsid w:val="4F302E3E"/>
    <w:multiLevelType w:val="hybridMultilevel"/>
    <w:tmpl w:val="189A42C0"/>
    <w:lvl w:ilvl="0" w:tplc="5CC0BE0A">
      <w:numFmt w:val="bullet"/>
      <w:lvlText w:val="-"/>
      <w:lvlJc w:val="left"/>
      <w:pPr>
        <w:ind w:left="720" w:hanging="360"/>
      </w:pPr>
      <w:rPr>
        <w:rFonts w:ascii="Times New Roman" w:eastAsia="Times New Roman" w:hAnsi="Times New Roman" w:cs="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4" w15:restartNumberingAfterBreak="0">
    <w:nsid w:val="506F73E8"/>
    <w:multiLevelType w:val="hybridMultilevel"/>
    <w:tmpl w:val="C0EE1F7E"/>
    <w:lvl w:ilvl="0" w:tplc="B2B8BD98">
      <w:numFmt w:val="bullet"/>
      <w:lvlText w:val="-"/>
      <w:lvlJc w:val="left"/>
      <w:pPr>
        <w:ind w:left="720" w:hanging="360"/>
      </w:pPr>
      <w:rPr>
        <w:rFonts w:ascii="Calibri" w:eastAsia="Calibri" w:hAnsi="Calibri" w:cs="Calibri"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5" w15:restartNumberingAfterBreak="0">
    <w:nsid w:val="51C83D1F"/>
    <w:multiLevelType w:val="hybridMultilevel"/>
    <w:tmpl w:val="00005A6E"/>
    <w:lvl w:ilvl="0" w:tplc="040E0005">
      <w:start w:val="1"/>
      <w:numFmt w:val="bullet"/>
      <w:lvlText w:val=""/>
      <w:lvlJc w:val="left"/>
      <w:pPr>
        <w:tabs>
          <w:tab w:val="num" w:pos="720"/>
        </w:tabs>
        <w:ind w:left="720" w:hanging="360"/>
      </w:pPr>
      <w:rPr>
        <w:rFonts w:ascii="Wingdings" w:hAnsi="Wingdings" w:hint="default"/>
      </w:rPr>
    </w:lvl>
    <w:lvl w:ilvl="1" w:tplc="040E0003" w:tentative="1">
      <w:start w:val="1"/>
      <w:numFmt w:val="bullet"/>
      <w:lvlText w:val="o"/>
      <w:lvlJc w:val="left"/>
      <w:pPr>
        <w:tabs>
          <w:tab w:val="num" w:pos="1440"/>
        </w:tabs>
        <w:ind w:left="1440" w:hanging="360"/>
      </w:pPr>
      <w:rPr>
        <w:rFonts w:ascii="Courier New" w:hAnsi="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24607CF"/>
    <w:multiLevelType w:val="hybridMultilevel"/>
    <w:tmpl w:val="96F4949E"/>
    <w:lvl w:ilvl="0" w:tplc="E3D6181A">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start w:val="1"/>
      <w:numFmt w:val="bullet"/>
      <w:lvlText w:val=""/>
      <w:lvlJc w:val="left"/>
      <w:pPr>
        <w:ind w:left="2160" w:hanging="360"/>
      </w:pPr>
      <w:rPr>
        <w:rFonts w:ascii="Wingdings" w:hAnsi="Wingdings" w:hint="default"/>
      </w:rPr>
    </w:lvl>
    <w:lvl w:ilvl="3" w:tplc="040E0001">
      <w:start w:val="1"/>
      <w:numFmt w:val="bullet"/>
      <w:lvlText w:val=""/>
      <w:lvlJc w:val="left"/>
      <w:pPr>
        <w:ind w:left="2880" w:hanging="360"/>
      </w:pPr>
      <w:rPr>
        <w:rFonts w:ascii="Symbol" w:hAnsi="Symbol" w:hint="default"/>
      </w:rPr>
    </w:lvl>
    <w:lvl w:ilvl="4" w:tplc="040E0003">
      <w:start w:val="1"/>
      <w:numFmt w:val="bullet"/>
      <w:lvlText w:val="o"/>
      <w:lvlJc w:val="left"/>
      <w:pPr>
        <w:ind w:left="3600" w:hanging="360"/>
      </w:pPr>
      <w:rPr>
        <w:rFonts w:ascii="Courier New" w:hAnsi="Courier New" w:cs="Courier New" w:hint="default"/>
      </w:rPr>
    </w:lvl>
    <w:lvl w:ilvl="5" w:tplc="040E0005">
      <w:start w:val="1"/>
      <w:numFmt w:val="bullet"/>
      <w:lvlText w:val=""/>
      <w:lvlJc w:val="left"/>
      <w:pPr>
        <w:ind w:left="4320" w:hanging="360"/>
      </w:pPr>
      <w:rPr>
        <w:rFonts w:ascii="Wingdings" w:hAnsi="Wingdings" w:hint="default"/>
      </w:rPr>
    </w:lvl>
    <w:lvl w:ilvl="6" w:tplc="040E0001">
      <w:start w:val="1"/>
      <w:numFmt w:val="bullet"/>
      <w:lvlText w:val=""/>
      <w:lvlJc w:val="left"/>
      <w:pPr>
        <w:ind w:left="5040" w:hanging="360"/>
      </w:pPr>
      <w:rPr>
        <w:rFonts w:ascii="Symbol" w:hAnsi="Symbol" w:hint="default"/>
      </w:rPr>
    </w:lvl>
    <w:lvl w:ilvl="7" w:tplc="040E0003">
      <w:start w:val="1"/>
      <w:numFmt w:val="bullet"/>
      <w:lvlText w:val="o"/>
      <w:lvlJc w:val="left"/>
      <w:pPr>
        <w:ind w:left="5760" w:hanging="360"/>
      </w:pPr>
      <w:rPr>
        <w:rFonts w:ascii="Courier New" w:hAnsi="Courier New" w:cs="Courier New" w:hint="default"/>
      </w:rPr>
    </w:lvl>
    <w:lvl w:ilvl="8" w:tplc="040E0005">
      <w:start w:val="1"/>
      <w:numFmt w:val="bullet"/>
      <w:lvlText w:val=""/>
      <w:lvlJc w:val="left"/>
      <w:pPr>
        <w:ind w:left="6480" w:hanging="360"/>
      </w:pPr>
      <w:rPr>
        <w:rFonts w:ascii="Wingdings" w:hAnsi="Wingdings" w:hint="default"/>
      </w:rPr>
    </w:lvl>
  </w:abstractNum>
  <w:abstractNum w:abstractNumId="27" w15:restartNumberingAfterBreak="0">
    <w:nsid w:val="598F7A9A"/>
    <w:multiLevelType w:val="hybridMultilevel"/>
    <w:tmpl w:val="6CF6AE22"/>
    <w:lvl w:ilvl="0" w:tplc="57E2D754">
      <w:numFmt w:val="bullet"/>
      <w:lvlText w:val="-"/>
      <w:lvlJc w:val="left"/>
      <w:pPr>
        <w:tabs>
          <w:tab w:val="num" w:pos="1065"/>
        </w:tabs>
        <w:ind w:left="1065" w:hanging="705"/>
      </w:pPr>
      <w:rPr>
        <w:rFonts w:ascii="Times New Roman" w:eastAsia="Times New Roman" w:hAnsi="Times New Roman" w:cs="Times New Roman" w:hint="default"/>
      </w:rPr>
    </w:lvl>
    <w:lvl w:ilvl="1" w:tplc="040E0003" w:tentative="1">
      <w:start w:val="1"/>
      <w:numFmt w:val="bullet"/>
      <w:lvlText w:val="o"/>
      <w:lvlJc w:val="left"/>
      <w:pPr>
        <w:tabs>
          <w:tab w:val="num" w:pos="1440"/>
        </w:tabs>
        <w:ind w:left="1440" w:hanging="360"/>
      </w:pPr>
      <w:rPr>
        <w:rFonts w:ascii="Courier New" w:hAnsi="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9903EED"/>
    <w:multiLevelType w:val="hybridMultilevel"/>
    <w:tmpl w:val="FED848B6"/>
    <w:lvl w:ilvl="0" w:tplc="F1D4DB20">
      <w:start w:val="1"/>
      <w:numFmt w:val="upperRoman"/>
      <w:lvlText w:val="%1."/>
      <w:lvlJc w:val="left"/>
      <w:pPr>
        <w:ind w:left="1429" w:hanging="720"/>
      </w:pPr>
      <w:rPr>
        <w:rFonts w:hint="default"/>
      </w:rPr>
    </w:lvl>
    <w:lvl w:ilvl="1" w:tplc="040E0019" w:tentative="1">
      <w:start w:val="1"/>
      <w:numFmt w:val="lowerLetter"/>
      <w:lvlText w:val="%2."/>
      <w:lvlJc w:val="left"/>
      <w:pPr>
        <w:ind w:left="1789" w:hanging="360"/>
      </w:pPr>
    </w:lvl>
    <w:lvl w:ilvl="2" w:tplc="040E001B" w:tentative="1">
      <w:start w:val="1"/>
      <w:numFmt w:val="lowerRoman"/>
      <w:lvlText w:val="%3."/>
      <w:lvlJc w:val="right"/>
      <w:pPr>
        <w:ind w:left="2509" w:hanging="180"/>
      </w:pPr>
    </w:lvl>
    <w:lvl w:ilvl="3" w:tplc="040E000F" w:tentative="1">
      <w:start w:val="1"/>
      <w:numFmt w:val="decimal"/>
      <w:lvlText w:val="%4."/>
      <w:lvlJc w:val="left"/>
      <w:pPr>
        <w:ind w:left="3229" w:hanging="360"/>
      </w:pPr>
    </w:lvl>
    <w:lvl w:ilvl="4" w:tplc="040E0019" w:tentative="1">
      <w:start w:val="1"/>
      <w:numFmt w:val="lowerLetter"/>
      <w:lvlText w:val="%5."/>
      <w:lvlJc w:val="left"/>
      <w:pPr>
        <w:ind w:left="3949" w:hanging="360"/>
      </w:pPr>
    </w:lvl>
    <w:lvl w:ilvl="5" w:tplc="040E001B" w:tentative="1">
      <w:start w:val="1"/>
      <w:numFmt w:val="lowerRoman"/>
      <w:lvlText w:val="%6."/>
      <w:lvlJc w:val="right"/>
      <w:pPr>
        <w:ind w:left="4669" w:hanging="180"/>
      </w:pPr>
    </w:lvl>
    <w:lvl w:ilvl="6" w:tplc="040E000F" w:tentative="1">
      <w:start w:val="1"/>
      <w:numFmt w:val="decimal"/>
      <w:lvlText w:val="%7."/>
      <w:lvlJc w:val="left"/>
      <w:pPr>
        <w:ind w:left="5389" w:hanging="360"/>
      </w:pPr>
    </w:lvl>
    <w:lvl w:ilvl="7" w:tplc="040E0019" w:tentative="1">
      <w:start w:val="1"/>
      <w:numFmt w:val="lowerLetter"/>
      <w:lvlText w:val="%8."/>
      <w:lvlJc w:val="left"/>
      <w:pPr>
        <w:ind w:left="6109" w:hanging="360"/>
      </w:pPr>
    </w:lvl>
    <w:lvl w:ilvl="8" w:tplc="040E001B" w:tentative="1">
      <w:start w:val="1"/>
      <w:numFmt w:val="lowerRoman"/>
      <w:lvlText w:val="%9."/>
      <w:lvlJc w:val="right"/>
      <w:pPr>
        <w:ind w:left="6829" w:hanging="180"/>
      </w:pPr>
    </w:lvl>
  </w:abstractNum>
  <w:abstractNum w:abstractNumId="29" w15:restartNumberingAfterBreak="0">
    <w:nsid w:val="5B87153D"/>
    <w:multiLevelType w:val="hybridMultilevel"/>
    <w:tmpl w:val="B53ADF42"/>
    <w:lvl w:ilvl="0" w:tplc="F65E376C">
      <w:numFmt w:val="bullet"/>
      <w:lvlText w:val="-"/>
      <w:lvlJc w:val="left"/>
      <w:pPr>
        <w:ind w:left="1065" w:hanging="360"/>
      </w:pPr>
      <w:rPr>
        <w:rFonts w:ascii="Times New Roman" w:eastAsia="Times New Roman" w:hAnsi="Times New Roman" w:cs="Times New Roman" w:hint="default"/>
      </w:rPr>
    </w:lvl>
    <w:lvl w:ilvl="1" w:tplc="040E0003" w:tentative="1">
      <w:start w:val="1"/>
      <w:numFmt w:val="bullet"/>
      <w:lvlText w:val="o"/>
      <w:lvlJc w:val="left"/>
      <w:pPr>
        <w:ind w:left="1785" w:hanging="360"/>
      </w:pPr>
      <w:rPr>
        <w:rFonts w:ascii="Courier New" w:hAnsi="Courier New" w:cs="Courier New" w:hint="default"/>
      </w:rPr>
    </w:lvl>
    <w:lvl w:ilvl="2" w:tplc="040E0005" w:tentative="1">
      <w:start w:val="1"/>
      <w:numFmt w:val="bullet"/>
      <w:lvlText w:val=""/>
      <w:lvlJc w:val="left"/>
      <w:pPr>
        <w:ind w:left="2505" w:hanging="360"/>
      </w:pPr>
      <w:rPr>
        <w:rFonts w:ascii="Wingdings" w:hAnsi="Wingdings" w:hint="default"/>
      </w:rPr>
    </w:lvl>
    <w:lvl w:ilvl="3" w:tplc="040E0001" w:tentative="1">
      <w:start w:val="1"/>
      <w:numFmt w:val="bullet"/>
      <w:lvlText w:val=""/>
      <w:lvlJc w:val="left"/>
      <w:pPr>
        <w:ind w:left="3225" w:hanging="360"/>
      </w:pPr>
      <w:rPr>
        <w:rFonts w:ascii="Symbol" w:hAnsi="Symbol" w:hint="default"/>
      </w:rPr>
    </w:lvl>
    <w:lvl w:ilvl="4" w:tplc="040E0003" w:tentative="1">
      <w:start w:val="1"/>
      <w:numFmt w:val="bullet"/>
      <w:lvlText w:val="o"/>
      <w:lvlJc w:val="left"/>
      <w:pPr>
        <w:ind w:left="3945" w:hanging="360"/>
      </w:pPr>
      <w:rPr>
        <w:rFonts w:ascii="Courier New" w:hAnsi="Courier New" w:cs="Courier New" w:hint="default"/>
      </w:rPr>
    </w:lvl>
    <w:lvl w:ilvl="5" w:tplc="040E0005" w:tentative="1">
      <w:start w:val="1"/>
      <w:numFmt w:val="bullet"/>
      <w:lvlText w:val=""/>
      <w:lvlJc w:val="left"/>
      <w:pPr>
        <w:ind w:left="4665" w:hanging="360"/>
      </w:pPr>
      <w:rPr>
        <w:rFonts w:ascii="Wingdings" w:hAnsi="Wingdings" w:hint="default"/>
      </w:rPr>
    </w:lvl>
    <w:lvl w:ilvl="6" w:tplc="040E0001" w:tentative="1">
      <w:start w:val="1"/>
      <w:numFmt w:val="bullet"/>
      <w:lvlText w:val=""/>
      <w:lvlJc w:val="left"/>
      <w:pPr>
        <w:ind w:left="5385" w:hanging="360"/>
      </w:pPr>
      <w:rPr>
        <w:rFonts w:ascii="Symbol" w:hAnsi="Symbol" w:hint="default"/>
      </w:rPr>
    </w:lvl>
    <w:lvl w:ilvl="7" w:tplc="040E0003" w:tentative="1">
      <w:start w:val="1"/>
      <w:numFmt w:val="bullet"/>
      <w:lvlText w:val="o"/>
      <w:lvlJc w:val="left"/>
      <w:pPr>
        <w:ind w:left="6105" w:hanging="360"/>
      </w:pPr>
      <w:rPr>
        <w:rFonts w:ascii="Courier New" w:hAnsi="Courier New" w:cs="Courier New" w:hint="default"/>
      </w:rPr>
    </w:lvl>
    <w:lvl w:ilvl="8" w:tplc="040E0005" w:tentative="1">
      <w:start w:val="1"/>
      <w:numFmt w:val="bullet"/>
      <w:lvlText w:val=""/>
      <w:lvlJc w:val="left"/>
      <w:pPr>
        <w:ind w:left="6825" w:hanging="360"/>
      </w:pPr>
      <w:rPr>
        <w:rFonts w:ascii="Wingdings" w:hAnsi="Wingdings" w:hint="default"/>
      </w:rPr>
    </w:lvl>
  </w:abstractNum>
  <w:abstractNum w:abstractNumId="30" w15:restartNumberingAfterBreak="0">
    <w:nsid w:val="5C101AC1"/>
    <w:multiLevelType w:val="hybridMultilevel"/>
    <w:tmpl w:val="81D0AD14"/>
    <w:lvl w:ilvl="0" w:tplc="49AE26DA">
      <w:start w:val="1"/>
      <w:numFmt w:val="bullet"/>
      <w:lvlText w:val="-"/>
      <w:lvlJc w:val="left"/>
      <w:pPr>
        <w:ind w:left="720" w:hanging="360"/>
      </w:pPr>
      <w:rPr>
        <w:rFonts w:ascii="Times New Roman" w:hAnsi="Times New Roman" w:cs="Times New Roman" w:hint="default"/>
        <w:b w:val="0"/>
        <w:i w:val="0"/>
      </w:rPr>
    </w:lvl>
    <w:lvl w:ilvl="1" w:tplc="040E0003">
      <w:start w:val="1"/>
      <w:numFmt w:val="bullet"/>
      <w:lvlText w:val="o"/>
      <w:lvlJc w:val="left"/>
      <w:pPr>
        <w:ind w:left="1440" w:hanging="360"/>
      </w:pPr>
      <w:rPr>
        <w:rFonts w:ascii="Courier New" w:hAnsi="Courier New" w:cs="Courier New" w:hint="default"/>
      </w:rPr>
    </w:lvl>
    <w:lvl w:ilvl="2" w:tplc="040E0005">
      <w:start w:val="1"/>
      <w:numFmt w:val="bullet"/>
      <w:lvlText w:val=""/>
      <w:lvlJc w:val="left"/>
      <w:pPr>
        <w:ind w:left="2160" w:hanging="360"/>
      </w:pPr>
      <w:rPr>
        <w:rFonts w:ascii="Wingdings" w:hAnsi="Wingdings" w:hint="default"/>
      </w:rPr>
    </w:lvl>
    <w:lvl w:ilvl="3" w:tplc="040E0001">
      <w:start w:val="1"/>
      <w:numFmt w:val="bullet"/>
      <w:lvlText w:val=""/>
      <w:lvlJc w:val="left"/>
      <w:pPr>
        <w:ind w:left="2880" w:hanging="360"/>
      </w:pPr>
      <w:rPr>
        <w:rFonts w:ascii="Symbol" w:hAnsi="Symbol" w:hint="default"/>
      </w:rPr>
    </w:lvl>
    <w:lvl w:ilvl="4" w:tplc="040E0003">
      <w:start w:val="1"/>
      <w:numFmt w:val="bullet"/>
      <w:lvlText w:val="o"/>
      <w:lvlJc w:val="left"/>
      <w:pPr>
        <w:ind w:left="3600" w:hanging="360"/>
      </w:pPr>
      <w:rPr>
        <w:rFonts w:ascii="Courier New" w:hAnsi="Courier New" w:cs="Courier New" w:hint="default"/>
      </w:rPr>
    </w:lvl>
    <w:lvl w:ilvl="5" w:tplc="040E0005">
      <w:start w:val="1"/>
      <w:numFmt w:val="bullet"/>
      <w:lvlText w:val=""/>
      <w:lvlJc w:val="left"/>
      <w:pPr>
        <w:ind w:left="4320" w:hanging="360"/>
      </w:pPr>
      <w:rPr>
        <w:rFonts w:ascii="Wingdings" w:hAnsi="Wingdings" w:hint="default"/>
      </w:rPr>
    </w:lvl>
    <w:lvl w:ilvl="6" w:tplc="040E0001">
      <w:start w:val="1"/>
      <w:numFmt w:val="bullet"/>
      <w:lvlText w:val=""/>
      <w:lvlJc w:val="left"/>
      <w:pPr>
        <w:ind w:left="5040" w:hanging="360"/>
      </w:pPr>
      <w:rPr>
        <w:rFonts w:ascii="Symbol" w:hAnsi="Symbol" w:hint="default"/>
      </w:rPr>
    </w:lvl>
    <w:lvl w:ilvl="7" w:tplc="040E0003">
      <w:start w:val="1"/>
      <w:numFmt w:val="bullet"/>
      <w:lvlText w:val="o"/>
      <w:lvlJc w:val="left"/>
      <w:pPr>
        <w:ind w:left="5760" w:hanging="360"/>
      </w:pPr>
      <w:rPr>
        <w:rFonts w:ascii="Courier New" w:hAnsi="Courier New" w:cs="Courier New" w:hint="default"/>
      </w:rPr>
    </w:lvl>
    <w:lvl w:ilvl="8" w:tplc="040E0005">
      <w:start w:val="1"/>
      <w:numFmt w:val="bullet"/>
      <w:lvlText w:val=""/>
      <w:lvlJc w:val="left"/>
      <w:pPr>
        <w:ind w:left="6480" w:hanging="360"/>
      </w:pPr>
      <w:rPr>
        <w:rFonts w:ascii="Wingdings" w:hAnsi="Wingdings" w:hint="default"/>
      </w:rPr>
    </w:lvl>
  </w:abstractNum>
  <w:abstractNum w:abstractNumId="31" w15:restartNumberingAfterBreak="0">
    <w:nsid w:val="5E860B54"/>
    <w:multiLevelType w:val="hybridMultilevel"/>
    <w:tmpl w:val="9850DFD8"/>
    <w:lvl w:ilvl="0" w:tplc="F4F4CA12">
      <w:start w:val="2018"/>
      <w:numFmt w:val="bullet"/>
      <w:lvlText w:val="-"/>
      <w:lvlJc w:val="left"/>
      <w:pPr>
        <w:ind w:left="720" w:hanging="360"/>
      </w:pPr>
      <w:rPr>
        <w:rFonts w:ascii="Times New Roman" w:eastAsia="Times New Roman" w:hAnsi="Times New Roman" w:cs="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2" w15:restartNumberingAfterBreak="0">
    <w:nsid w:val="5F243510"/>
    <w:multiLevelType w:val="hybridMultilevel"/>
    <w:tmpl w:val="C5B4321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3" w15:restartNumberingAfterBreak="0">
    <w:nsid w:val="6AB97CAC"/>
    <w:multiLevelType w:val="hybridMultilevel"/>
    <w:tmpl w:val="54548FAE"/>
    <w:lvl w:ilvl="0" w:tplc="B2B8BD98">
      <w:numFmt w:val="bullet"/>
      <w:lvlText w:val="-"/>
      <w:lvlJc w:val="left"/>
      <w:pPr>
        <w:ind w:left="360" w:hanging="360"/>
      </w:pPr>
      <w:rPr>
        <w:rFonts w:ascii="Calibri" w:eastAsia="Calibri" w:hAnsi="Calibri" w:cs="Calibri"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34" w15:restartNumberingAfterBreak="0">
    <w:nsid w:val="6B6F55E9"/>
    <w:multiLevelType w:val="hybridMultilevel"/>
    <w:tmpl w:val="5B8EEFD0"/>
    <w:lvl w:ilvl="0" w:tplc="FC84F7FA">
      <w:start w:val="1979"/>
      <w:numFmt w:val="bullet"/>
      <w:lvlText w:val=""/>
      <w:lvlJc w:val="left"/>
      <w:pPr>
        <w:tabs>
          <w:tab w:val="num" w:pos="1622"/>
        </w:tabs>
        <w:ind w:left="1622" w:hanging="360"/>
      </w:pPr>
      <w:rPr>
        <w:rFonts w:ascii="Symbol" w:eastAsia="Times New Roman" w:hAnsi="Symbol" w:hint="default"/>
        <w:color w:val="auto"/>
      </w:rPr>
    </w:lvl>
    <w:lvl w:ilvl="1" w:tplc="040E0003">
      <w:start w:val="1"/>
      <w:numFmt w:val="bullet"/>
      <w:lvlText w:val="o"/>
      <w:lvlJc w:val="left"/>
      <w:pPr>
        <w:tabs>
          <w:tab w:val="num" w:pos="1442"/>
        </w:tabs>
        <w:ind w:left="1442" w:hanging="360"/>
      </w:pPr>
      <w:rPr>
        <w:rFonts w:ascii="Courier New" w:hAnsi="Courier New" w:cs="Courier New" w:hint="default"/>
      </w:rPr>
    </w:lvl>
    <w:lvl w:ilvl="2" w:tplc="87207C48">
      <w:start w:val="11"/>
      <w:numFmt w:val="bullet"/>
      <w:lvlText w:val=""/>
      <w:lvlJc w:val="left"/>
      <w:pPr>
        <w:tabs>
          <w:tab w:val="num" w:pos="2162"/>
        </w:tabs>
        <w:ind w:left="2162" w:hanging="360"/>
      </w:pPr>
      <w:rPr>
        <w:rFonts w:ascii="Wingdings" w:eastAsia="Times New Roman" w:hAnsi="Wingdings" w:hint="default"/>
      </w:rPr>
    </w:lvl>
    <w:lvl w:ilvl="3" w:tplc="040E0001">
      <w:start w:val="1"/>
      <w:numFmt w:val="bullet"/>
      <w:lvlText w:val=""/>
      <w:lvlJc w:val="left"/>
      <w:pPr>
        <w:tabs>
          <w:tab w:val="num" w:pos="2882"/>
        </w:tabs>
        <w:ind w:left="2882" w:hanging="360"/>
      </w:pPr>
      <w:rPr>
        <w:rFonts w:ascii="Symbol" w:hAnsi="Symbol" w:cs="Times New Roman" w:hint="default"/>
      </w:rPr>
    </w:lvl>
    <w:lvl w:ilvl="4" w:tplc="040E0003">
      <w:start w:val="1"/>
      <w:numFmt w:val="bullet"/>
      <w:lvlText w:val="o"/>
      <w:lvlJc w:val="left"/>
      <w:pPr>
        <w:tabs>
          <w:tab w:val="num" w:pos="3602"/>
        </w:tabs>
        <w:ind w:left="3602" w:hanging="360"/>
      </w:pPr>
      <w:rPr>
        <w:rFonts w:ascii="Courier New" w:hAnsi="Courier New" w:cs="Courier New" w:hint="default"/>
      </w:rPr>
    </w:lvl>
    <w:lvl w:ilvl="5" w:tplc="040E0005">
      <w:start w:val="1"/>
      <w:numFmt w:val="bullet"/>
      <w:lvlText w:val=""/>
      <w:lvlJc w:val="left"/>
      <w:pPr>
        <w:tabs>
          <w:tab w:val="num" w:pos="4322"/>
        </w:tabs>
        <w:ind w:left="4322" w:hanging="360"/>
      </w:pPr>
      <w:rPr>
        <w:rFonts w:ascii="Wingdings" w:hAnsi="Wingdings" w:cs="Times New Roman" w:hint="default"/>
      </w:rPr>
    </w:lvl>
    <w:lvl w:ilvl="6" w:tplc="040E0001">
      <w:start w:val="1"/>
      <w:numFmt w:val="bullet"/>
      <w:lvlText w:val=""/>
      <w:lvlJc w:val="left"/>
      <w:pPr>
        <w:tabs>
          <w:tab w:val="num" w:pos="5042"/>
        </w:tabs>
        <w:ind w:left="5042" w:hanging="360"/>
      </w:pPr>
      <w:rPr>
        <w:rFonts w:ascii="Symbol" w:hAnsi="Symbol" w:cs="Times New Roman" w:hint="default"/>
      </w:rPr>
    </w:lvl>
    <w:lvl w:ilvl="7" w:tplc="040E0003">
      <w:start w:val="1"/>
      <w:numFmt w:val="bullet"/>
      <w:lvlText w:val="o"/>
      <w:lvlJc w:val="left"/>
      <w:pPr>
        <w:tabs>
          <w:tab w:val="num" w:pos="5762"/>
        </w:tabs>
        <w:ind w:left="5762" w:hanging="360"/>
      </w:pPr>
      <w:rPr>
        <w:rFonts w:ascii="Courier New" w:hAnsi="Courier New" w:cs="Courier New" w:hint="default"/>
      </w:rPr>
    </w:lvl>
    <w:lvl w:ilvl="8" w:tplc="040E0005">
      <w:start w:val="1"/>
      <w:numFmt w:val="bullet"/>
      <w:lvlText w:val=""/>
      <w:lvlJc w:val="left"/>
      <w:pPr>
        <w:tabs>
          <w:tab w:val="num" w:pos="6482"/>
        </w:tabs>
        <w:ind w:left="6482" w:hanging="360"/>
      </w:pPr>
      <w:rPr>
        <w:rFonts w:ascii="Wingdings" w:hAnsi="Wingdings" w:cs="Times New Roman" w:hint="default"/>
      </w:rPr>
    </w:lvl>
  </w:abstractNum>
  <w:abstractNum w:abstractNumId="35" w15:restartNumberingAfterBreak="0">
    <w:nsid w:val="715C25EA"/>
    <w:multiLevelType w:val="hybridMultilevel"/>
    <w:tmpl w:val="9280BC44"/>
    <w:lvl w:ilvl="0" w:tplc="076E605C">
      <w:numFmt w:val="bullet"/>
      <w:lvlText w:val="-"/>
      <w:lvlJc w:val="left"/>
      <w:pPr>
        <w:ind w:left="720" w:hanging="360"/>
      </w:pPr>
      <w:rPr>
        <w:rFonts w:ascii="Times New Roman" w:eastAsia="Times New Roman" w:hAnsi="Times New Roman" w:cs="Times New Roman" w:hint="default"/>
        <w:i/>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6" w15:restartNumberingAfterBreak="0">
    <w:nsid w:val="722C5F2B"/>
    <w:multiLevelType w:val="multilevel"/>
    <w:tmpl w:val="5D2E1D18"/>
    <w:styleLink w:val="WW8Num3"/>
    <w:lvl w:ilvl="0">
      <w:numFmt w:val="bullet"/>
      <w:lvlText w:val=""/>
      <w:lvlJc w:val="left"/>
      <w:pPr>
        <w:ind w:left="1020" w:hanging="226"/>
      </w:pPr>
      <w:rPr>
        <w:rFonts w:ascii="Symbol" w:hAnsi="Symbol" w:cs="Symbol"/>
        <w:color w:val="000000"/>
        <w:sz w:val="24"/>
        <w:szCs w:val="24"/>
        <w:shd w:val="clear" w:color="auto" w:fill="auto"/>
      </w:rPr>
    </w:lvl>
    <w:lvl w:ilvl="1">
      <w:numFmt w:val="bullet"/>
      <w:lvlText w:val=""/>
      <w:lvlJc w:val="left"/>
      <w:pPr>
        <w:ind w:left="1814" w:hanging="227"/>
      </w:pPr>
      <w:rPr>
        <w:rFonts w:ascii="Symbol" w:hAnsi="Symbol" w:cs="Symbol"/>
        <w:color w:val="000000"/>
        <w:sz w:val="24"/>
        <w:szCs w:val="24"/>
        <w:shd w:val="clear" w:color="auto" w:fill="auto"/>
      </w:rPr>
    </w:lvl>
    <w:lvl w:ilvl="2">
      <w:numFmt w:val="bullet"/>
      <w:lvlText w:val=""/>
      <w:lvlJc w:val="left"/>
      <w:pPr>
        <w:ind w:left="2041" w:hanging="227"/>
      </w:pPr>
      <w:rPr>
        <w:rFonts w:ascii="Symbol" w:hAnsi="Symbol" w:cs="Symbol"/>
        <w:color w:val="000000"/>
        <w:sz w:val="24"/>
        <w:szCs w:val="24"/>
        <w:shd w:val="clear" w:color="auto" w:fill="auto"/>
      </w:rPr>
    </w:lvl>
    <w:lvl w:ilvl="3">
      <w:numFmt w:val="bullet"/>
      <w:lvlText w:val=""/>
      <w:lvlJc w:val="left"/>
      <w:pPr>
        <w:ind w:left="907" w:hanging="227"/>
      </w:pPr>
      <w:rPr>
        <w:rFonts w:ascii="Symbol" w:hAnsi="Symbol" w:cs="Symbol"/>
        <w:color w:val="000000"/>
        <w:sz w:val="24"/>
        <w:szCs w:val="24"/>
        <w:shd w:val="clear" w:color="auto" w:fill="auto"/>
      </w:rPr>
    </w:lvl>
    <w:lvl w:ilvl="4">
      <w:numFmt w:val="bullet"/>
      <w:lvlText w:val=""/>
      <w:lvlJc w:val="left"/>
      <w:pPr>
        <w:ind w:left="1134" w:hanging="227"/>
      </w:pPr>
      <w:rPr>
        <w:rFonts w:ascii="Symbol" w:hAnsi="Symbol" w:cs="Symbol"/>
        <w:color w:val="000000"/>
        <w:sz w:val="24"/>
        <w:szCs w:val="24"/>
        <w:shd w:val="clear" w:color="auto" w:fill="auto"/>
      </w:rPr>
    </w:lvl>
    <w:lvl w:ilvl="5">
      <w:numFmt w:val="bullet"/>
      <w:lvlText w:val=""/>
      <w:lvlJc w:val="left"/>
      <w:pPr>
        <w:ind w:left="1361" w:hanging="227"/>
      </w:pPr>
      <w:rPr>
        <w:rFonts w:ascii="Symbol" w:hAnsi="Symbol" w:cs="Symbol"/>
        <w:color w:val="000000"/>
        <w:sz w:val="24"/>
        <w:szCs w:val="24"/>
        <w:shd w:val="clear" w:color="auto" w:fill="auto"/>
      </w:rPr>
    </w:lvl>
    <w:lvl w:ilvl="6">
      <w:numFmt w:val="bullet"/>
      <w:lvlText w:val=""/>
      <w:lvlJc w:val="left"/>
      <w:pPr>
        <w:ind w:left="1587" w:hanging="227"/>
      </w:pPr>
      <w:rPr>
        <w:rFonts w:ascii="Symbol" w:hAnsi="Symbol" w:cs="Symbol"/>
        <w:color w:val="000000"/>
        <w:sz w:val="24"/>
        <w:szCs w:val="24"/>
        <w:shd w:val="clear" w:color="auto" w:fill="auto"/>
      </w:rPr>
    </w:lvl>
    <w:lvl w:ilvl="7">
      <w:numFmt w:val="bullet"/>
      <w:lvlText w:val=""/>
      <w:lvlJc w:val="left"/>
      <w:pPr>
        <w:ind w:left="1814" w:hanging="227"/>
      </w:pPr>
      <w:rPr>
        <w:rFonts w:ascii="Symbol" w:hAnsi="Symbol" w:cs="Symbol"/>
        <w:color w:val="000000"/>
        <w:sz w:val="24"/>
        <w:szCs w:val="24"/>
        <w:shd w:val="clear" w:color="auto" w:fill="auto"/>
      </w:rPr>
    </w:lvl>
    <w:lvl w:ilvl="8">
      <w:numFmt w:val="bullet"/>
      <w:lvlText w:val=""/>
      <w:lvlJc w:val="left"/>
      <w:pPr>
        <w:ind w:left="2041" w:hanging="227"/>
      </w:pPr>
      <w:rPr>
        <w:rFonts w:ascii="Symbol" w:hAnsi="Symbol" w:cs="Symbol"/>
        <w:color w:val="000000"/>
        <w:sz w:val="24"/>
        <w:szCs w:val="24"/>
        <w:shd w:val="clear" w:color="auto" w:fill="auto"/>
      </w:rPr>
    </w:lvl>
  </w:abstractNum>
  <w:abstractNum w:abstractNumId="37" w15:restartNumberingAfterBreak="0">
    <w:nsid w:val="72D05397"/>
    <w:multiLevelType w:val="hybridMultilevel"/>
    <w:tmpl w:val="246EEA5E"/>
    <w:lvl w:ilvl="0" w:tplc="78EA26E0">
      <w:start w:val="2006"/>
      <w:numFmt w:val="bullet"/>
      <w:lvlText w:val="-"/>
      <w:lvlJc w:val="left"/>
      <w:pPr>
        <w:tabs>
          <w:tab w:val="num" w:pos="460"/>
        </w:tabs>
        <w:ind w:left="460" w:hanging="360"/>
      </w:pPr>
      <w:rPr>
        <w:rFonts w:ascii="Times New Roman" w:eastAsia="Times New Roman" w:hAnsi="Times New Roman" w:cs="Times New Roman" w:hint="default"/>
      </w:rPr>
    </w:lvl>
    <w:lvl w:ilvl="1" w:tplc="D294F5A6">
      <w:start w:val="2013"/>
      <w:numFmt w:val="bullet"/>
      <w:lvlText w:val=""/>
      <w:lvlJc w:val="left"/>
      <w:pPr>
        <w:tabs>
          <w:tab w:val="num" w:pos="1180"/>
        </w:tabs>
        <w:ind w:left="1180" w:hanging="360"/>
      </w:pPr>
      <w:rPr>
        <w:rFonts w:ascii="Symbol" w:eastAsia="Times New Roman" w:hAnsi="Symbol" w:cs="Times New Roman" w:hint="default"/>
      </w:rPr>
    </w:lvl>
    <w:lvl w:ilvl="2" w:tplc="040E0005" w:tentative="1">
      <w:start w:val="1"/>
      <w:numFmt w:val="bullet"/>
      <w:lvlText w:val=""/>
      <w:lvlJc w:val="left"/>
      <w:pPr>
        <w:tabs>
          <w:tab w:val="num" w:pos="1900"/>
        </w:tabs>
        <w:ind w:left="1900" w:hanging="360"/>
      </w:pPr>
      <w:rPr>
        <w:rFonts w:ascii="Wingdings" w:hAnsi="Wingdings" w:hint="default"/>
      </w:rPr>
    </w:lvl>
    <w:lvl w:ilvl="3" w:tplc="040E0001" w:tentative="1">
      <w:start w:val="1"/>
      <w:numFmt w:val="bullet"/>
      <w:lvlText w:val=""/>
      <w:lvlJc w:val="left"/>
      <w:pPr>
        <w:tabs>
          <w:tab w:val="num" w:pos="2620"/>
        </w:tabs>
        <w:ind w:left="2620" w:hanging="360"/>
      </w:pPr>
      <w:rPr>
        <w:rFonts w:ascii="Symbol" w:hAnsi="Symbol" w:hint="default"/>
      </w:rPr>
    </w:lvl>
    <w:lvl w:ilvl="4" w:tplc="040E0003" w:tentative="1">
      <w:start w:val="1"/>
      <w:numFmt w:val="bullet"/>
      <w:lvlText w:val="o"/>
      <w:lvlJc w:val="left"/>
      <w:pPr>
        <w:tabs>
          <w:tab w:val="num" w:pos="3340"/>
        </w:tabs>
        <w:ind w:left="3340" w:hanging="360"/>
      </w:pPr>
      <w:rPr>
        <w:rFonts w:ascii="Courier New" w:hAnsi="Courier New" w:hint="default"/>
      </w:rPr>
    </w:lvl>
    <w:lvl w:ilvl="5" w:tplc="040E0005" w:tentative="1">
      <w:start w:val="1"/>
      <w:numFmt w:val="bullet"/>
      <w:lvlText w:val=""/>
      <w:lvlJc w:val="left"/>
      <w:pPr>
        <w:tabs>
          <w:tab w:val="num" w:pos="4060"/>
        </w:tabs>
        <w:ind w:left="4060" w:hanging="360"/>
      </w:pPr>
      <w:rPr>
        <w:rFonts w:ascii="Wingdings" w:hAnsi="Wingdings" w:hint="default"/>
      </w:rPr>
    </w:lvl>
    <w:lvl w:ilvl="6" w:tplc="040E0001" w:tentative="1">
      <w:start w:val="1"/>
      <w:numFmt w:val="bullet"/>
      <w:lvlText w:val=""/>
      <w:lvlJc w:val="left"/>
      <w:pPr>
        <w:tabs>
          <w:tab w:val="num" w:pos="4780"/>
        </w:tabs>
        <w:ind w:left="4780" w:hanging="360"/>
      </w:pPr>
      <w:rPr>
        <w:rFonts w:ascii="Symbol" w:hAnsi="Symbol" w:hint="default"/>
      </w:rPr>
    </w:lvl>
    <w:lvl w:ilvl="7" w:tplc="040E0003" w:tentative="1">
      <w:start w:val="1"/>
      <w:numFmt w:val="bullet"/>
      <w:lvlText w:val="o"/>
      <w:lvlJc w:val="left"/>
      <w:pPr>
        <w:tabs>
          <w:tab w:val="num" w:pos="5500"/>
        </w:tabs>
        <w:ind w:left="5500" w:hanging="360"/>
      </w:pPr>
      <w:rPr>
        <w:rFonts w:ascii="Courier New" w:hAnsi="Courier New" w:hint="default"/>
      </w:rPr>
    </w:lvl>
    <w:lvl w:ilvl="8" w:tplc="040E0005" w:tentative="1">
      <w:start w:val="1"/>
      <w:numFmt w:val="bullet"/>
      <w:lvlText w:val=""/>
      <w:lvlJc w:val="left"/>
      <w:pPr>
        <w:tabs>
          <w:tab w:val="num" w:pos="6220"/>
        </w:tabs>
        <w:ind w:left="6220" w:hanging="360"/>
      </w:pPr>
      <w:rPr>
        <w:rFonts w:ascii="Wingdings" w:hAnsi="Wingdings" w:hint="default"/>
      </w:rPr>
    </w:lvl>
  </w:abstractNum>
  <w:abstractNum w:abstractNumId="38" w15:restartNumberingAfterBreak="0">
    <w:nsid w:val="79AC1147"/>
    <w:multiLevelType w:val="hybridMultilevel"/>
    <w:tmpl w:val="0D02809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9" w15:restartNumberingAfterBreak="0">
    <w:nsid w:val="7C3F47E8"/>
    <w:multiLevelType w:val="hybridMultilevel"/>
    <w:tmpl w:val="C12C3FD0"/>
    <w:lvl w:ilvl="0" w:tplc="076E605C">
      <w:numFmt w:val="bullet"/>
      <w:lvlText w:val="-"/>
      <w:lvlJc w:val="left"/>
      <w:pPr>
        <w:ind w:left="1080" w:hanging="360"/>
      </w:pPr>
      <w:rPr>
        <w:rFonts w:ascii="Times New Roman" w:eastAsia="Times New Roman" w:hAnsi="Times New Roman" w:cs="Times New Roman" w:hint="default"/>
        <w:i/>
      </w:rPr>
    </w:lvl>
    <w:lvl w:ilvl="1" w:tplc="040E0003" w:tentative="1">
      <w:start w:val="1"/>
      <w:numFmt w:val="bullet"/>
      <w:lvlText w:val="o"/>
      <w:lvlJc w:val="left"/>
      <w:pPr>
        <w:ind w:left="1800" w:hanging="360"/>
      </w:pPr>
      <w:rPr>
        <w:rFonts w:ascii="Courier New" w:hAnsi="Courier New" w:cs="Courier New" w:hint="default"/>
      </w:rPr>
    </w:lvl>
    <w:lvl w:ilvl="2" w:tplc="040E0005" w:tentative="1">
      <w:start w:val="1"/>
      <w:numFmt w:val="bullet"/>
      <w:lvlText w:val=""/>
      <w:lvlJc w:val="left"/>
      <w:pPr>
        <w:ind w:left="2520" w:hanging="360"/>
      </w:pPr>
      <w:rPr>
        <w:rFonts w:ascii="Wingdings" w:hAnsi="Wingdings" w:hint="default"/>
      </w:rPr>
    </w:lvl>
    <w:lvl w:ilvl="3" w:tplc="040E0001" w:tentative="1">
      <w:start w:val="1"/>
      <w:numFmt w:val="bullet"/>
      <w:lvlText w:val=""/>
      <w:lvlJc w:val="left"/>
      <w:pPr>
        <w:ind w:left="3240" w:hanging="360"/>
      </w:pPr>
      <w:rPr>
        <w:rFonts w:ascii="Symbol" w:hAnsi="Symbol" w:hint="default"/>
      </w:rPr>
    </w:lvl>
    <w:lvl w:ilvl="4" w:tplc="040E0003" w:tentative="1">
      <w:start w:val="1"/>
      <w:numFmt w:val="bullet"/>
      <w:lvlText w:val="o"/>
      <w:lvlJc w:val="left"/>
      <w:pPr>
        <w:ind w:left="3960" w:hanging="360"/>
      </w:pPr>
      <w:rPr>
        <w:rFonts w:ascii="Courier New" w:hAnsi="Courier New" w:cs="Courier New" w:hint="default"/>
      </w:rPr>
    </w:lvl>
    <w:lvl w:ilvl="5" w:tplc="040E0005" w:tentative="1">
      <w:start w:val="1"/>
      <w:numFmt w:val="bullet"/>
      <w:lvlText w:val=""/>
      <w:lvlJc w:val="left"/>
      <w:pPr>
        <w:ind w:left="4680" w:hanging="360"/>
      </w:pPr>
      <w:rPr>
        <w:rFonts w:ascii="Wingdings" w:hAnsi="Wingdings" w:hint="default"/>
      </w:rPr>
    </w:lvl>
    <w:lvl w:ilvl="6" w:tplc="040E0001" w:tentative="1">
      <w:start w:val="1"/>
      <w:numFmt w:val="bullet"/>
      <w:lvlText w:val=""/>
      <w:lvlJc w:val="left"/>
      <w:pPr>
        <w:ind w:left="5400" w:hanging="360"/>
      </w:pPr>
      <w:rPr>
        <w:rFonts w:ascii="Symbol" w:hAnsi="Symbol" w:hint="default"/>
      </w:rPr>
    </w:lvl>
    <w:lvl w:ilvl="7" w:tplc="040E0003" w:tentative="1">
      <w:start w:val="1"/>
      <w:numFmt w:val="bullet"/>
      <w:lvlText w:val="o"/>
      <w:lvlJc w:val="left"/>
      <w:pPr>
        <w:ind w:left="6120" w:hanging="360"/>
      </w:pPr>
      <w:rPr>
        <w:rFonts w:ascii="Courier New" w:hAnsi="Courier New" w:cs="Courier New" w:hint="default"/>
      </w:rPr>
    </w:lvl>
    <w:lvl w:ilvl="8" w:tplc="040E0005" w:tentative="1">
      <w:start w:val="1"/>
      <w:numFmt w:val="bullet"/>
      <w:lvlText w:val=""/>
      <w:lvlJc w:val="left"/>
      <w:pPr>
        <w:ind w:left="6840" w:hanging="360"/>
      </w:pPr>
      <w:rPr>
        <w:rFonts w:ascii="Wingdings" w:hAnsi="Wingdings" w:hint="default"/>
      </w:rPr>
    </w:lvl>
  </w:abstractNum>
  <w:abstractNum w:abstractNumId="40" w15:restartNumberingAfterBreak="0">
    <w:nsid w:val="7CF7602E"/>
    <w:multiLevelType w:val="hybridMultilevel"/>
    <w:tmpl w:val="0630D658"/>
    <w:lvl w:ilvl="0" w:tplc="83FCEB42">
      <w:numFmt w:val="bullet"/>
      <w:lvlText w:val="-"/>
      <w:lvlJc w:val="left"/>
      <w:pPr>
        <w:ind w:left="720" w:hanging="360"/>
      </w:pPr>
      <w:rPr>
        <w:rFonts w:ascii="Times New Roman" w:eastAsia="Times New Roman" w:hAnsi="Times New Roman" w:cs="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283"/>
        <w:lvlJc w:val="left"/>
        <w:pPr>
          <w:ind w:left="963" w:hanging="283"/>
        </w:pPr>
        <w:rPr>
          <w:rFonts w:ascii="Symbol" w:hAnsi="Symbol" w:hint="default"/>
        </w:rPr>
      </w:lvl>
    </w:lvlOverride>
  </w:num>
  <w:num w:numId="2">
    <w:abstractNumId w:val="16"/>
  </w:num>
  <w:num w:numId="3">
    <w:abstractNumId w:val="7"/>
  </w:num>
  <w:num w:numId="4">
    <w:abstractNumId w:val="37"/>
  </w:num>
  <w:num w:numId="5">
    <w:abstractNumId w:val="27"/>
  </w:num>
  <w:num w:numId="6">
    <w:abstractNumId w:val="10"/>
  </w:num>
  <w:num w:numId="7">
    <w:abstractNumId w:val="15"/>
  </w:num>
  <w:num w:numId="8">
    <w:abstractNumId w:val="36"/>
  </w:num>
  <w:num w:numId="9">
    <w:abstractNumId w:val="20"/>
  </w:num>
  <w:num w:numId="10">
    <w:abstractNumId w:val="27"/>
  </w:num>
  <w:num w:numId="11">
    <w:abstractNumId w:val="22"/>
  </w:num>
  <w:num w:numId="12">
    <w:abstractNumId w:val="19"/>
  </w:num>
  <w:num w:numId="13">
    <w:abstractNumId w:val="28"/>
  </w:num>
  <w:num w:numId="14">
    <w:abstractNumId w:val="30"/>
  </w:num>
  <w:num w:numId="15">
    <w:abstractNumId w:val="17"/>
  </w:num>
  <w:num w:numId="16">
    <w:abstractNumId w:val="36"/>
  </w:num>
  <w:num w:numId="17">
    <w:abstractNumId w:val="36"/>
  </w:num>
  <w:num w:numId="18">
    <w:abstractNumId w:val="27"/>
  </w:num>
  <w:num w:numId="19">
    <w:abstractNumId w:val="26"/>
  </w:num>
  <w:num w:numId="20">
    <w:abstractNumId w:val="18"/>
  </w:num>
  <w:num w:numId="21">
    <w:abstractNumId w:val="4"/>
  </w:num>
  <w:num w:numId="22">
    <w:abstractNumId w:val="5"/>
  </w:num>
  <w:num w:numId="23">
    <w:abstractNumId w:val="32"/>
  </w:num>
  <w:num w:numId="24">
    <w:abstractNumId w:val="35"/>
  </w:num>
  <w:num w:numId="25">
    <w:abstractNumId w:val="12"/>
  </w:num>
  <w:num w:numId="26">
    <w:abstractNumId w:val="39"/>
  </w:num>
  <w:num w:numId="27">
    <w:abstractNumId w:val="11"/>
  </w:num>
  <w:num w:numId="28">
    <w:abstractNumId w:val="21"/>
  </w:num>
  <w:num w:numId="29">
    <w:abstractNumId w:val="31"/>
  </w:num>
  <w:num w:numId="30">
    <w:abstractNumId w:val="40"/>
  </w:num>
  <w:num w:numId="31">
    <w:abstractNumId w:val="25"/>
  </w:num>
  <w:num w:numId="32">
    <w:abstractNumId w:val="8"/>
  </w:num>
  <w:num w:numId="33">
    <w:abstractNumId w:val="14"/>
  </w:num>
  <w:num w:numId="3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5">
    <w:abstractNumId w:val="6"/>
  </w:num>
  <w:num w:numId="36">
    <w:abstractNumId w:val="20"/>
  </w:num>
  <w:num w:numId="37">
    <w:abstractNumId w:val="29"/>
  </w:num>
  <w:num w:numId="38">
    <w:abstractNumId w:val="23"/>
  </w:num>
  <w:num w:numId="39">
    <w:abstractNumId w:val="25"/>
  </w:num>
  <w:num w:numId="40">
    <w:abstractNumId w:val="13"/>
  </w:num>
  <w:num w:numId="41">
    <w:abstractNumId w:val="24"/>
  </w:num>
  <w:num w:numId="42">
    <w:abstractNumId w:val="20"/>
  </w:num>
  <w:num w:numId="43">
    <w:abstractNumId w:val="1"/>
  </w:num>
  <w:num w:numId="44">
    <w:abstractNumId w:val="33"/>
  </w:num>
  <w:num w:numId="45">
    <w:abstractNumId w:val="34"/>
  </w:num>
  <w:num w:numId="46">
    <w:abstractNumId w:val="38"/>
  </w:num>
  <w:num w:numId="47">
    <w:abstractNumId w:val="9"/>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displayBackgroundShape/>
  <w:hideSpellingErrors/>
  <w:hideGrammaticalErrors/>
  <w:defaultTabStop w:val="720"/>
  <w:autoHyphenation/>
  <w:hyphenationZone w:val="425"/>
  <w:drawingGridHorizontalSpacing w:val="100"/>
  <w:displayHorizontalDrawingGridEvery w:val="0"/>
  <w:displayVerticalDrawingGridEvery w:val="0"/>
  <w:doNotShadeFormData/>
  <w:noPunctuationKerning/>
  <w:characterSpacingControl w:val="doNotCompress"/>
  <w:hdrShapeDefaults>
    <o:shapedefaults v:ext="edit" spidmax="63489">
      <o:colormru v:ext="edit" colors="#ccecff"/>
    </o:shapedefaults>
  </w:hdrShapeDefaults>
  <w:footnotePr>
    <w:numFmt w:val="chicago"/>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D3D01"/>
    <w:rsid w:val="0000012A"/>
    <w:rsid w:val="00000D6E"/>
    <w:rsid w:val="00000E7B"/>
    <w:rsid w:val="00001AED"/>
    <w:rsid w:val="00001BEE"/>
    <w:rsid w:val="00002079"/>
    <w:rsid w:val="00002A28"/>
    <w:rsid w:val="00003604"/>
    <w:rsid w:val="00003683"/>
    <w:rsid w:val="00003978"/>
    <w:rsid w:val="00003D3E"/>
    <w:rsid w:val="00003F31"/>
    <w:rsid w:val="00004203"/>
    <w:rsid w:val="00004875"/>
    <w:rsid w:val="00011802"/>
    <w:rsid w:val="0001259C"/>
    <w:rsid w:val="00012D85"/>
    <w:rsid w:val="000133A6"/>
    <w:rsid w:val="00013B04"/>
    <w:rsid w:val="00013B32"/>
    <w:rsid w:val="00013DAD"/>
    <w:rsid w:val="0001426A"/>
    <w:rsid w:val="000144C1"/>
    <w:rsid w:val="00015CA3"/>
    <w:rsid w:val="00015FC8"/>
    <w:rsid w:val="0001618E"/>
    <w:rsid w:val="0001770D"/>
    <w:rsid w:val="00017DBF"/>
    <w:rsid w:val="000210D9"/>
    <w:rsid w:val="00021546"/>
    <w:rsid w:val="00021594"/>
    <w:rsid w:val="00022DFF"/>
    <w:rsid w:val="000230D7"/>
    <w:rsid w:val="000231EA"/>
    <w:rsid w:val="00023862"/>
    <w:rsid w:val="00023920"/>
    <w:rsid w:val="00023C18"/>
    <w:rsid w:val="000246C0"/>
    <w:rsid w:val="000248C7"/>
    <w:rsid w:val="00025408"/>
    <w:rsid w:val="0002709B"/>
    <w:rsid w:val="0002737E"/>
    <w:rsid w:val="000278EC"/>
    <w:rsid w:val="00030DB9"/>
    <w:rsid w:val="0003141D"/>
    <w:rsid w:val="00031840"/>
    <w:rsid w:val="000327AE"/>
    <w:rsid w:val="00034457"/>
    <w:rsid w:val="000364C6"/>
    <w:rsid w:val="00041330"/>
    <w:rsid w:val="00041C31"/>
    <w:rsid w:val="000420C0"/>
    <w:rsid w:val="00044B82"/>
    <w:rsid w:val="00045339"/>
    <w:rsid w:val="00045F67"/>
    <w:rsid w:val="0004730D"/>
    <w:rsid w:val="00050155"/>
    <w:rsid w:val="000501E2"/>
    <w:rsid w:val="0005038A"/>
    <w:rsid w:val="00051440"/>
    <w:rsid w:val="0005198A"/>
    <w:rsid w:val="00052060"/>
    <w:rsid w:val="0005489B"/>
    <w:rsid w:val="00055464"/>
    <w:rsid w:val="00057667"/>
    <w:rsid w:val="00057D2F"/>
    <w:rsid w:val="00060531"/>
    <w:rsid w:val="00060883"/>
    <w:rsid w:val="000618B2"/>
    <w:rsid w:val="000618DB"/>
    <w:rsid w:val="00063956"/>
    <w:rsid w:val="00064201"/>
    <w:rsid w:val="00064C7B"/>
    <w:rsid w:val="00065246"/>
    <w:rsid w:val="00065394"/>
    <w:rsid w:val="00065A1C"/>
    <w:rsid w:val="00066248"/>
    <w:rsid w:val="000666B2"/>
    <w:rsid w:val="00066AFE"/>
    <w:rsid w:val="0006735D"/>
    <w:rsid w:val="000707F1"/>
    <w:rsid w:val="00070B1F"/>
    <w:rsid w:val="00070E43"/>
    <w:rsid w:val="00071A49"/>
    <w:rsid w:val="000720B3"/>
    <w:rsid w:val="000728B5"/>
    <w:rsid w:val="00072C6D"/>
    <w:rsid w:val="00074598"/>
    <w:rsid w:val="0007511F"/>
    <w:rsid w:val="00075A95"/>
    <w:rsid w:val="0007616D"/>
    <w:rsid w:val="00077022"/>
    <w:rsid w:val="000776A1"/>
    <w:rsid w:val="00077AE3"/>
    <w:rsid w:val="00080098"/>
    <w:rsid w:val="00080DEC"/>
    <w:rsid w:val="00081045"/>
    <w:rsid w:val="00081D0E"/>
    <w:rsid w:val="0008203B"/>
    <w:rsid w:val="0008225F"/>
    <w:rsid w:val="00082D96"/>
    <w:rsid w:val="0008501E"/>
    <w:rsid w:val="00085EA1"/>
    <w:rsid w:val="0008615D"/>
    <w:rsid w:val="00086543"/>
    <w:rsid w:val="00086BA3"/>
    <w:rsid w:val="0008779D"/>
    <w:rsid w:val="00090D28"/>
    <w:rsid w:val="00090F1C"/>
    <w:rsid w:val="000911F4"/>
    <w:rsid w:val="00091B03"/>
    <w:rsid w:val="00092257"/>
    <w:rsid w:val="00093019"/>
    <w:rsid w:val="00093E13"/>
    <w:rsid w:val="00094721"/>
    <w:rsid w:val="00094E03"/>
    <w:rsid w:val="00094E09"/>
    <w:rsid w:val="00095359"/>
    <w:rsid w:val="00096B32"/>
    <w:rsid w:val="0009738B"/>
    <w:rsid w:val="000A01CC"/>
    <w:rsid w:val="000A0A11"/>
    <w:rsid w:val="000A1C4E"/>
    <w:rsid w:val="000A293C"/>
    <w:rsid w:val="000A32DC"/>
    <w:rsid w:val="000A3496"/>
    <w:rsid w:val="000A400D"/>
    <w:rsid w:val="000A48F6"/>
    <w:rsid w:val="000A5037"/>
    <w:rsid w:val="000A5685"/>
    <w:rsid w:val="000A5892"/>
    <w:rsid w:val="000A59DF"/>
    <w:rsid w:val="000A5B3D"/>
    <w:rsid w:val="000A5D02"/>
    <w:rsid w:val="000A6B3A"/>
    <w:rsid w:val="000A701E"/>
    <w:rsid w:val="000A7D39"/>
    <w:rsid w:val="000B015B"/>
    <w:rsid w:val="000B0AF0"/>
    <w:rsid w:val="000B16D1"/>
    <w:rsid w:val="000B23B7"/>
    <w:rsid w:val="000B302C"/>
    <w:rsid w:val="000B33CF"/>
    <w:rsid w:val="000B4085"/>
    <w:rsid w:val="000B4296"/>
    <w:rsid w:val="000B5F24"/>
    <w:rsid w:val="000B6B7C"/>
    <w:rsid w:val="000C051B"/>
    <w:rsid w:val="000C18FF"/>
    <w:rsid w:val="000C1A0A"/>
    <w:rsid w:val="000C2079"/>
    <w:rsid w:val="000C2729"/>
    <w:rsid w:val="000C293A"/>
    <w:rsid w:val="000C2DFE"/>
    <w:rsid w:val="000C43B2"/>
    <w:rsid w:val="000C5EE9"/>
    <w:rsid w:val="000D02C7"/>
    <w:rsid w:val="000D0BF8"/>
    <w:rsid w:val="000D15DA"/>
    <w:rsid w:val="000D1CD6"/>
    <w:rsid w:val="000D453A"/>
    <w:rsid w:val="000D5DFE"/>
    <w:rsid w:val="000D680D"/>
    <w:rsid w:val="000D6D89"/>
    <w:rsid w:val="000D6DFA"/>
    <w:rsid w:val="000E0844"/>
    <w:rsid w:val="000E0948"/>
    <w:rsid w:val="000E1DE0"/>
    <w:rsid w:val="000E2DFE"/>
    <w:rsid w:val="000E34CB"/>
    <w:rsid w:val="000E519D"/>
    <w:rsid w:val="000E55D6"/>
    <w:rsid w:val="000E55F9"/>
    <w:rsid w:val="000E5C3D"/>
    <w:rsid w:val="000E64F8"/>
    <w:rsid w:val="000E658F"/>
    <w:rsid w:val="000E71B7"/>
    <w:rsid w:val="000E722C"/>
    <w:rsid w:val="000E76B4"/>
    <w:rsid w:val="000E796B"/>
    <w:rsid w:val="000F0359"/>
    <w:rsid w:val="000F0670"/>
    <w:rsid w:val="000F0935"/>
    <w:rsid w:val="000F2335"/>
    <w:rsid w:val="000F2C47"/>
    <w:rsid w:val="000F5372"/>
    <w:rsid w:val="000F548B"/>
    <w:rsid w:val="000F59CC"/>
    <w:rsid w:val="000F5FDE"/>
    <w:rsid w:val="000F7374"/>
    <w:rsid w:val="000F7E95"/>
    <w:rsid w:val="00102C72"/>
    <w:rsid w:val="001033AB"/>
    <w:rsid w:val="00103429"/>
    <w:rsid w:val="00103A84"/>
    <w:rsid w:val="00103FDC"/>
    <w:rsid w:val="00104061"/>
    <w:rsid w:val="00104C9C"/>
    <w:rsid w:val="001065D4"/>
    <w:rsid w:val="00106D94"/>
    <w:rsid w:val="001102D1"/>
    <w:rsid w:val="00110CFD"/>
    <w:rsid w:val="00111EA5"/>
    <w:rsid w:val="00112109"/>
    <w:rsid w:val="00112123"/>
    <w:rsid w:val="0011251E"/>
    <w:rsid w:val="00115755"/>
    <w:rsid w:val="001163D5"/>
    <w:rsid w:val="001165FC"/>
    <w:rsid w:val="00116A0D"/>
    <w:rsid w:val="00116FC1"/>
    <w:rsid w:val="00117BD0"/>
    <w:rsid w:val="00117D38"/>
    <w:rsid w:val="001202F1"/>
    <w:rsid w:val="00120577"/>
    <w:rsid w:val="00121191"/>
    <w:rsid w:val="00122B1C"/>
    <w:rsid w:val="0012421C"/>
    <w:rsid w:val="00124401"/>
    <w:rsid w:val="0012487A"/>
    <w:rsid w:val="00125E21"/>
    <w:rsid w:val="00127741"/>
    <w:rsid w:val="0012781E"/>
    <w:rsid w:val="00127903"/>
    <w:rsid w:val="00127FAD"/>
    <w:rsid w:val="0013052C"/>
    <w:rsid w:val="00130BBE"/>
    <w:rsid w:val="0013111A"/>
    <w:rsid w:val="0013180D"/>
    <w:rsid w:val="00131ED6"/>
    <w:rsid w:val="001343BF"/>
    <w:rsid w:val="00134E0C"/>
    <w:rsid w:val="00135CE0"/>
    <w:rsid w:val="00135D2A"/>
    <w:rsid w:val="001366D9"/>
    <w:rsid w:val="00136C1A"/>
    <w:rsid w:val="00136C8D"/>
    <w:rsid w:val="001371D3"/>
    <w:rsid w:val="00140F46"/>
    <w:rsid w:val="00141527"/>
    <w:rsid w:val="0014217B"/>
    <w:rsid w:val="001424AE"/>
    <w:rsid w:val="00142B94"/>
    <w:rsid w:val="00143278"/>
    <w:rsid w:val="0014387A"/>
    <w:rsid w:val="0014429D"/>
    <w:rsid w:val="001448A5"/>
    <w:rsid w:val="00144BD7"/>
    <w:rsid w:val="0014751A"/>
    <w:rsid w:val="0015001B"/>
    <w:rsid w:val="0015058E"/>
    <w:rsid w:val="00150970"/>
    <w:rsid w:val="001523BB"/>
    <w:rsid w:val="001538B4"/>
    <w:rsid w:val="00154504"/>
    <w:rsid w:val="00154F3D"/>
    <w:rsid w:val="001557A9"/>
    <w:rsid w:val="00155AD9"/>
    <w:rsid w:val="00155F80"/>
    <w:rsid w:val="00156E98"/>
    <w:rsid w:val="001574F3"/>
    <w:rsid w:val="001604CE"/>
    <w:rsid w:val="0016085B"/>
    <w:rsid w:val="00161B2A"/>
    <w:rsid w:val="00163A37"/>
    <w:rsid w:val="00163B02"/>
    <w:rsid w:val="00163E49"/>
    <w:rsid w:val="001642A1"/>
    <w:rsid w:val="001652D7"/>
    <w:rsid w:val="0016588B"/>
    <w:rsid w:val="001661FA"/>
    <w:rsid w:val="00166C6D"/>
    <w:rsid w:val="00167170"/>
    <w:rsid w:val="00167B74"/>
    <w:rsid w:val="00170699"/>
    <w:rsid w:val="00171654"/>
    <w:rsid w:val="0017174C"/>
    <w:rsid w:val="0017345C"/>
    <w:rsid w:val="00174DC2"/>
    <w:rsid w:val="00175929"/>
    <w:rsid w:val="00175F09"/>
    <w:rsid w:val="00176306"/>
    <w:rsid w:val="00176912"/>
    <w:rsid w:val="001807EA"/>
    <w:rsid w:val="001824F4"/>
    <w:rsid w:val="001831C4"/>
    <w:rsid w:val="00184303"/>
    <w:rsid w:val="001846AC"/>
    <w:rsid w:val="001857B2"/>
    <w:rsid w:val="00185FD9"/>
    <w:rsid w:val="0018716D"/>
    <w:rsid w:val="001877AE"/>
    <w:rsid w:val="00187BFF"/>
    <w:rsid w:val="00190510"/>
    <w:rsid w:val="0019076A"/>
    <w:rsid w:val="0019229F"/>
    <w:rsid w:val="00192ED1"/>
    <w:rsid w:val="00193392"/>
    <w:rsid w:val="001933C8"/>
    <w:rsid w:val="00193D1D"/>
    <w:rsid w:val="001950EE"/>
    <w:rsid w:val="001962A0"/>
    <w:rsid w:val="00196456"/>
    <w:rsid w:val="0019653C"/>
    <w:rsid w:val="00197711"/>
    <w:rsid w:val="0019797C"/>
    <w:rsid w:val="001A0AF2"/>
    <w:rsid w:val="001A18E1"/>
    <w:rsid w:val="001A1BE8"/>
    <w:rsid w:val="001A2776"/>
    <w:rsid w:val="001A3741"/>
    <w:rsid w:val="001A3B33"/>
    <w:rsid w:val="001A4528"/>
    <w:rsid w:val="001A47D9"/>
    <w:rsid w:val="001A5D9F"/>
    <w:rsid w:val="001A6B7C"/>
    <w:rsid w:val="001B03AE"/>
    <w:rsid w:val="001B0C72"/>
    <w:rsid w:val="001B0EC9"/>
    <w:rsid w:val="001B2340"/>
    <w:rsid w:val="001B25FF"/>
    <w:rsid w:val="001B26D1"/>
    <w:rsid w:val="001B37B4"/>
    <w:rsid w:val="001B3F9A"/>
    <w:rsid w:val="001B46FE"/>
    <w:rsid w:val="001B47F2"/>
    <w:rsid w:val="001B4C2D"/>
    <w:rsid w:val="001B5BD1"/>
    <w:rsid w:val="001B6438"/>
    <w:rsid w:val="001B7B82"/>
    <w:rsid w:val="001C0013"/>
    <w:rsid w:val="001C0361"/>
    <w:rsid w:val="001C037A"/>
    <w:rsid w:val="001C0AE1"/>
    <w:rsid w:val="001C0CA1"/>
    <w:rsid w:val="001C0D81"/>
    <w:rsid w:val="001C0E5A"/>
    <w:rsid w:val="001C1404"/>
    <w:rsid w:val="001C1932"/>
    <w:rsid w:val="001C2B65"/>
    <w:rsid w:val="001C357F"/>
    <w:rsid w:val="001C428B"/>
    <w:rsid w:val="001D1AE3"/>
    <w:rsid w:val="001D21C6"/>
    <w:rsid w:val="001D23F7"/>
    <w:rsid w:val="001D2D5D"/>
    <w:rsid w:val="001D2DE0"/>
    <w:rsid w:val="001D2F7F"/>
    <w:rsid w:val="001D3ECA"/>
    <w:rsid w:val="001D3FAA"/>
    <w:rsid w:val="001D646B"/>
    <w:rsid w:val="001D6987"/>
    <w:rsid w:val="001D6EC1"/>
    <w:rsid w:val="001E0D29"/>
    <w:rsid w:val="001E1ABB"/>
    <w:rsid w:val="001E2250"/>
    <w:rsid w:val="001E2A98"/>
    <w:rsid w:val="001E3927"/>
    <w:rsid w:val="001E3A0D"/>
    <w:rsid w:val="001E4677"/>
    <w:rsid w:val="001E46E3"/>
    <w:rsid w:val="001E4985"/>
    <w:rsid w:val="001E5DC9"/>
    <w:rsid w:val="001E68CA"/>
    <w:rsid w:val="001E70D7"/>
    <w:rsid w:val="001F03E5"/>
    <w:rsid w:val="001F0781"/>
    <w:rsid w:val="001F0B2F"/>
    <w:rsid w:val="001F3B9A"/>
    <w:rsid w:val="001F410B"/>
    <w:rsid w:val="001F44D3"/>
    <w:rsid w:val="001F54E1"/>
    <w:rsid w:val="001F581C"/>
    <w:rsid w:val="001F6BF5"/>
    <w:rsid w:val="001F7AEE"/>
    <w:rsid w:val="00201F8A"/>
    <w:rsid w:val="00202CF1"/>
    <w:rsid w:val="00202EA2"/>
    <w:rsid w:val="00203DBF"/>
    <w:rsid w:val="002049BD"/>
    <w:rsid w:val="0020506B"/>
    <w:rsid w:val="0020623D"/>
    <w:rsid w:val="00206CF3"/>
    <w:rsid w:val="002076AF"/>
    <w:rsid w:val="00211344"/>
    <w:rsid w:val="00211768"/>
    <w:rsid w:val="002129A4"/>
    <w:rsid w:val="00213796"/>
    <w:rsid w:val="00216AB4"/>
    <w:rsid w:val="002172B2"/>
    <w:rsid w:val="00217961"/>
    <w:rsid w:val="00220848"/>
    <w:rsid w:val="00220C02"/>
    <w:rsid w:val="0022111D"/>
    <w:rsid w:val="002217D0"/>
    <w:rsid w:val="00221F97"/>
    <w:rsid w:val="0022292A"/>
    <w:rsid w:val="002229A1"/>
    <w:rsid w:val="00222B79"/>
    <w:rsid w:val="0022304C"/>
    <w:rsid w:val="00223657"/>
    <w:rsid w:val="00224A74"/>
    <w:rsid w:val="002266F2"/>
    <w:rsid w:val="0023017E"/>
    <w:rsid w:val="00233DD1"/>
    <w:rsid w:val="00234E6F"/>
    <w:rsid w:val="00235862"/>
    <w:rsid w:val="00236A54"/>
    <w:rsid w:val="00240235"/>
    <w:rsid w:val="00241470"/>
    <w:rsid w:val="0024155F"/>
    <w:rsid w:val="002417C0"/>
    <w:rsid w:val="00241FB5"/>
    <w:rsid w:val="0024462B"/>
    <w:rsid w:val="002446BB"/>
    <w:rsid w:val="00244DB9"/>
    <w:rsid w:val="00246580"/>
    <w:rsid w:val="00246A04"/>
    <w:rsid w:val="00246D0E"/>
    <w:rsid w:val="00247A07"/>
    <w:rsid w:val="00247A14"/>
    <w:rsid w:val="00250CF9"/>
    <w:rsid w:val="00251B01"/>
    <w:rsid w:val="002560B6"/>
    <w:rsid w:val="0025623F"/>
    <w:rsid w:val="00256255"/>
    <w:rsid w:val="002573DC"/>
    <w:rsid w:val="002577B9"/>
    <w:rsid w:val="00257C7C"/>
    <w:rsid w:val="00261257"/>
    <w:rsid w:val="002624AC"/>
    <w:rsid w:val="00262F11"/>
    <w:rsid w:val="002639C0"/>
    <w:rsid w:val="00263BA8"/>
    <w:rsid w:val="00263C5D"/>
    <w:rsid w:val="00265BC8"/>
    <w:rsid w:val="002663CC"/>
    <w:rsid w:val="00267B03"/>
    <w:rsid w:val="00267D93"/>
    <w:rsid w:val="0027116A"/>
    <w:rsid w:val="00272128"/>
    <w:rsid w:val="002722EE"/>
    <w:rsid w:val="00272F47"/>
    <w:rsid w:val="002745EE"/>
    <w:rsid w:val="0027556E"/>
    <w:rsid w:val="00275A97"/>
    <w:rsid w:val="00275DBE"/>
    <w:rsid w:val="00276CFA"/>
    <w:rsid w:val="0027718F"/>
    <w:rsid w:val="00281397"/>
    <w:rsid w:val="0028170F"/>
    <w:rsid w:val="002828EB"/>
    <w:rsid w:val="00282906"/>
    <w:rsid w:val="00284396"/>
    <w:rsid w:val="002866CA"/>
    <w:rsid w:val="0028725B"/>
    <w:rsid w:val="002877F9"/>
    <w:rsid w:val="00292035"/>
    <w:rsid w:val="0029230D"/>
    <w:rsid w:val="00293AA4"/>
    <w:rsid w:val="002958F0"/>
    <w:rsid w:val="00297062"/>
    <w:rsid w:val="00297E4F"/>
    <w:rsid w:val="002A07F9"/>
    <w:rsid w:val="002A128E"/>
    <w:rsid w:val="002A22BC"/>
    <w:rsid w:val="002A2AF8"/>
    <w:rsid w:val="002A371A"/>
    <w:rsid w:val="002A3CFE"/>
    <w:rsid w:val="002A4D69"/>
    <w:rsid w:val="002A63E3"/>
    <w:rsid w:val="002A7FA0"/>
    <w:rsid w:val="002B033B"/>
    <w:rsid w:val="002B12EB"/>
    <w:rsid w:val="002B169B"/>
    <w:rsid w:val="002B3A2D"/>
    <w:rsid w:val="002B46F3"/>
    <w:rsid w:val="002B4C28"/>
    <w:rsid w:val="002B648C"/>
    <w:rsid w:val="002B70F6"/>
    <w:rsid w:val="002B71F1"/>
    <w:rsid w:val="002B7280"/>
    <w:rsid w:val="002B782A"/>
    <w:rsid w:val="002B79F4"/>
    <w:rsid w:val="002C015D"/>
    <w:rsid w:val="002C044C"/>
    <w:rsid w:val="002C10A6"/>
    <w:rsid w:val="002C143C"/>
    <w:rsid w:val="002C29B0"/>
    <w:rsid w:val="002C2CBD"/>
    <w:rsid w:val="002C2FEA"/>
    <w:rsid w:val="002C41A6"/>
    <w:rsid w:val="002C6D60"/>
    <w:rsid w:val="002C6FE5"/>
    <w:rsid w:val="002C7454"/>
    <w:rsid w:val="002C76DD"/>
    <w:rsid w:val="002C7AA7"/>
    <w:rsid w:val="002C7D1F"/>
    <w:rsid w:val="002C7FBF"/>
    <w:rsid w:val="002D0359"/>
    <w:rsid w:val="002D156A"/>
    <w:rsid w:val="002D17C8"/>
    <w:rsid w:val="002D1B32"/>
    <w:rsid w:val="002D28AB"/>
    <w:rsid w:val="002D2C46"/>
    <w:rsid w:val="002D2FAE"/>
    <w:rsid w:val="002D416E"/>
    <w:rsid w:val="002D5268"/>
    <w:rsid w:val="002D5852"/>
    <w:rsid w:val="002D69CC"/>
    <w:rsid w:val="002D760F"/>
    <w:rsid w:val="002E0375"/>
    <w:rsid w:val="002E2279"/>
    <w:rsid w:val="002E27D9"/>
    <w:rsid w:val="002E46F9"/>
    <w:rsid w:val="002E5374"/>
    <w:rsid w:val="002E53A0"/>
    <w:rsid w:val="002E62B9"/>
    <w:rsid w:val="002E66EA"/>
    <w:rsid w:val="002E692E"/>
    <w:rsid w:val="002E6B14"/>
    <w:rsid w:val="002E7395"/>
    <w:rsid w:val="002F0DB7"/>
    <w:rsid w:val="002F1339"/>
    <w:rsid w:val="002F17E8"/>
    <w:rsid w:val="002F278B"/>
    <w:rsid w:val="002F29CE"/>
    <w:rsid w:val="002F390E"/>
    <w:rsid w:val="002F5BDB"/>
    <w:rsid w:val="002F64EB"/>
    <w:rsid w:val="002F6AAB"/>
    <w:rsid w:val="002F7B0D"/>
    <w:rsid w:val="003009FD"/>
    <w:rsid w:val="00300FB0"/>
    <w:rsid w:val="00301213"/>
    <w:rsid w:val="003015A2"/>
    <w:rsid w:val="00301ABD"/>
    <w:rsid w:val="00301EB3"/>
    <w:rsid w:val="00302680"/>
    <w:rsid w:val="0030290A"/>
    <w:rsid w:val="003036EF"/>
    <w:rsid w:val="00303CF1"/>
    <w:rsid w:val="00304307"/>
    <w:rsid w:val="0030469D"/>
    <w:rsid w:val="0030474B"/>
    <w:rsid w:val="00304775"/>
    <w:rsid w:val="0030585B"/>
    <w:rsid w:val="00305AC4"/>
    <w:rsid w:val="0030673B"/>
    <w:rsid w:val="00310A97"/>
    <w:rsid w:val="003116F8"/>
    <w:rsid w:val="003122D2"/>
    <w:rsid w:val="003125FE"/>
    <w:rsid w:val="003127D8"/>
    <w:rsid w:val="003132E3"/>
    <w:rsid w:val="0031371F"/>
    <w:rsid w:val="00314DB0"/>
    <w:rsid w:val="00314EC7"/>
    <w:rsid w:val="00315233"/>
    <w:rsid w:val="00317F18"/>
    <w:rsid w:val="003217B1"/>
    <w:rsid w:val="00321B29"/>
    <w:rsid w:val="00321C7E"/>
    <w:rsid w:val="00322746"/>
    <w:rsid w:val="00322769"/>
    <w:rsid w:val="00322B51"/>
    <w:rsid w:val="003234B9"/>
    <w:rsid w:val="0032357C"/>
    <w:rsid w:val="0032431C"/>
    <w:rsid w:val="003244C3"/>
    <w:rsid w:val="003253CB"/>
    <w:rsid w:val="00325AE6"/>
    <w:rsid w:val="00325FEF"/>
    <w:rsid w:val="0032624E"/>
    <w:rsid w:val="00327C87"/>
    <w:rsid w:val="00332001"/>
    <w:rsid w:val="0033207A"/>
    <w:rsid w:val="0033370E"/>
    <w:rsid w:val="00333893"/>
    <w:rsid w:val="00335760"/>
    <w:rsid w:val="00336225"/>
    <w:rsid w:val="00336270"/>
    <w:rsid w:val="003362B2"/>
    <w:rsid w:val="0033632B"/>
    <w:rsid w:val="00337233"/>
    <w:rsid w:val="00340579"/>
    <w:rsid w:val="00340828"/>
    <w:rsid w:val="003424C6"/>
    <w:rsid w:val="0034262E"/>
    <w:rsid w:val="00343F12"/>
    <w:rsid w:val="00344620"/>
    <w:rsid w:val="00345522"/>
    <w:rsid w:val="00346221"/>
    <w:rsid w:val="003475B9"/>
    <w:rsid w:val="003478CC"/>
    <w:rsid w:val="003479CF"/>
    <w:rsid w:val="003508DA"/>
    <w:rsid w:val="00351B81"/>
    <w:rsid w:val="003525D3"/>
    <w:rsid w:val="00354D63"/>
    <w:rsid w:val="003555C2"/>
    <w:rsid w:val="003558E7"/>
    <w:rsid w:val="003559EF"/>
    <w:rsid w:val="00360A0A"/>
    <w:rsid w:val="00360DEF"/>
    <w:rsid w:val="00361086"/>
    <w:rsid w:val="00361907"/>
    <w:rsid w:val="00362E56"/>
    <w:rsid w:val="00363006"/>
    <w:rsid w:val="00364B7F"/>
    <w:rsid w:val="003656FF"/>
    <w:rsid w:val="00365C2A"/>
    <w:rsid w:val="00366D6C"/>
    <w:rsid w:val="00370403"/>
    <w:rsid w:val="003710E8"/>
    <w:rsid w:val="003724BD"/>
    <w:rsid w:val="00372BE9"/>
    <w:rsid w:val="003738A4"/>
    <w:rsid w:val="00373900"/>
    <w:rsid w:val="0037396C"/>
    <w:rsid w:val="00375371"/>
    <w:rsid w:val="00375739"/>
    <w:rsid w:val="00375A16"/>
    <w:rsid w:val="00375E2C"/>
    <w:rsid w:val="00375E7B"/>
    <w:rsid w:val="003768DB"/>
    <w:rsid w:val="00376C78"/>
    <w:rsid w:val="00376C90"/>
    <w:rsid w:val="00376D45"/>
    <w:rsid w:val="00376E88"/>
    <w:rsid w:val="0038132A"/>
    <w:rsid w:val="00381C05"/>
    <w:rsid w:val="00381C92"/>
    <w:rsid w:val="00381D2B"/>
    <w:rsid w:val="00381E68"/>
    <w:rsid w:val="00382783"/>
    <w:rsid w:val="003837C6"/>
    <w:rsid w:val="00384AF2"/>
    <w:rsid w:val="00386A71"/>
    <w:rsid w:val="00390950"/>
    <w:rsid w:val="003911B5"/>
    <w:rsid w:val="00391C00"/>
    <w:rsid w:val="003927BB"/>
    <w:rsid w:val="00394B81"/>
    <w:rsid w:val="00395690"/>
    <w:rsid w:val="00395B2F"/>
    <w:rsid w:val="00396501"/>
    <w:rsid w:val="00397AEB"/>
    <w:rsid w:val="00397E80"/>
    <w:rsid w:val="003A07D9"/>
    <w:rsid w:val="003A07EC"/>
    <w:rsid w:val="003A0A88"/>
    <w:rsid w:val="003A1B41"/>
    <w:rsid w:val="003A27E1"/>
    <w:rsid w:val="003A2FBA"/>
    <w:rsid w:val="003A337A"/>
    <w:rsid w:val="003A3EAC"/>
    <w:rsid w:val="003A4C0A"/>
    <w:rsid w:val="003A514D"/>
    <w:rsid w:val="003A643F"/>
    <w:rsid w:val="003A72D9"/>
    <w:rsid w:val="003A7E91"/>
    <w:rsid w:val="003B13E8"/>
    <w:rsid w:val="003B1C39"/>
    <w:rsid w:val="003B24C9"/>
    <w:rsid w:val="003B2706"/>
    <w:rsid w:val="003B3063"/>
    <w:rsid w:val="003B3A47"/>
    <w:rsid w:val="003B3E5E"/>
    <w:rsid w:val="003B4651"/>
    <w:rsid w:val="003B5350"/>
    <w:rsid w:val="003B56C3"/>
    <w:rsid w:val="003B684D"/>
    <w:rsid w:val="003B6ED3"/>
    <w:rsid w:val="003B7B8A"/>
    <w:rsid w:val="003C0EFB"/>
    <w:rsid w:val="003C1650"/>
    <w:rsid w:val="003C19C9"/>
    <w:rsid w:val="003C1FAF"/>
    <w:rsid w:val="003C2133"/>
    <w:rsid w:val="003C271B"/>
    <w:rsid w:val="003C29D5"/>
    <w:rsid w:val="003C2CD5"/>
    <w:rsid w:val="003C336D"/>
    <w:rsid w:val="003C50F1"/>
    <w:rsid w:val="003C6CC3"/>
    <w:rsid w:val="003D01ED"/>
    <w:rsid w:val="003D1026"/>
    <w:rsid w:val="003D157D"/>
    <w:rsid w:val="003D2E69"/>
    <w:rsid w:val="003D57A5"/>
    <w:rsid w:val="003D70D5"/>
    <w:rsid w:val="003E09A9"/>
    <w:rsid w:val="003E0E1A"/>
    <w:rsid w:val="003E106E"/>
    <w:rsid w:val="003E2F8E"/>
    <w:rsid w:val="003E3585"/>
    <w:rsid w:val="003E5148"/>
    <w:rsid w:val="003E5193"/>
    <w:rsid w:val="003E73F5"/>
    <w:rsid w:val="003E760B"/>
    <w:rsid w:val="003E7629"/>
    <w:rsid w:val="003E7ED2"/>
    <w:rsid w:val="003E7FE9"/>
    <w:rsid w:val="003F0D15"/>
    <w:rsid w:val="003F1176"/>
    <w:rsid w:val="003F364A"/>
    <w:rsid w:val="003F48A6"/>
    <w:rsid w:val="003F4AB2"/>
    <w:rsid w:val="003F4C53"/>
    <w:rsid w:val="003F4F60"/>
    <w:rsid w:val="003F4F9A"/>
    <w:rsid w:val="003F504F"/>
    <w:rsid w:val="003F555B"/>
    <w:rsid w:val="003F5883"/>
    <w:rsid w:val="003F5A9B"/>
    <w:rsid w:val="003F6805"/>
    <w:rsid w:val="003F6ABE"/>
    <w:rsid w:val="004000C6"/>
    <w:rsid w:val="004008A1"/>
    <w:rsid w:val="00401B35"/>
    <w:rsid w:val="00401DA0"/>
    <w:rsid w:val="0040315A"/>
    <w:rsid w:val="00403B37"/>
    <w:rsid w:val="00403DE0"/>
    <w:rsid w:val="00403E6A"/>
    <w:rsid w:val="00404BF5"/>
    <w:rsid w:val="00405F09"/>
    <w:rsid w:val="004069E4"/>
    <w:rsid w:val="00407859"/>
    <w:rsid w:val="00410E52"/>
    <w:rsid w:val="004113BC"/>
    <w:rsid w:val="00412014"/>
    <w:rsid w:val="00413B50"/>
    <w:rsid w:val="00414B36"/>
    <w:rsid w:val="004151AA"/>
    <w:rsid w:val="0041540D"/>
    <w:rsid w:val="00415B75"/>
    <w:rsid w:val="00415C7B"/>
    <w:rsid w:val="00415FB4"/>
    <w:rsid w:val="00417C50"/>
    <w:rsid w:val="004214C3"/>
    <w:rsid w:val="00421964"/>
    <w:rsid w:val="00421A49"/>
    <w:rsid w:val="00421FD6"/>
    <w:rsid w:val="004231C5"/>
    <w:rsid w:val="004241C8"/>
    <w:rsid w:val="00425098"/>
    <w:rsid w:val="004251C6"/>
    <w:rsid w:val="00425381"/>
    <w:rsid w:val="00425C1A"/>
    <w:rsid w:val="004273F3"/>
    <w:rsid w:val="004328AF"/>
    <w:rsid w:val="00432B40"/>
    <w:rsid w:val="004330F6"/>
    <w:rsid w:val="0043348B"/>
    <w:rsid w:val="0043373B"/>
    <w:rsid w:val="004339FD"/>
    <w:rsid w:val="00433A14"/>
    <w:rsid w:val="004341CD"/>
    <w:rsid w:val="004346AD"/>
    <w:rsid w:val="00435009"/>
    <w:rsid w:val="0043584C"/>
    <w:rsid w:val="0043650A"/>
    <w:rsid w:val="00437114"/>
    <w:rsid w:val="004378DC"/>
    <w:rsid w:val="00442A2B"/>
    <w:rsid w:val="00443D8B"/>
    <w:rsid w:val="00445CDA"/>
    <w:rsid w:val="00445D1B"/>
    <w:rsid w:val="00446D99"/>
    <w:rsid w:val="00447F88"/>
    <w:rsid w:val="00450AAC"/>
    <w:rsid w:val="00450E1A"/>
    <w:rsid w:val="004526B7"/>
    <w:rsid w:val="004528B6"/>
    <w:rsid w:val="00452B81"/>
    <w:rsid w:val="00453032"/>
    <w:rsid w:val="00453206"/>
    <w:rsid w:val="004533EA"/>
    <w:rsid w:val="00453C07"/>
    <w:rsid w:val="00454571"/>
    <w:rsid w:val="00454947"/>
    <w:rsid w:val="004549F2"/>
    <w:rsid w:val="00455442"/>
    <w:rsid w:val="00455B3F"/>
    <w:rsid w:val="0045658E"/>
    <w:rsid w:val="004566AC"/>
    <w:rsid w:val="00456849"/>
    <w:rsid w:val="00456BD5"/>
    <w:rsid w:val="004573C0"/>
    <w:rsid w:val="00460519"/>
    <w:rsid w:val="00460BE7"/>
    <w:rsid w:val="00460F88"/>
    <w:rsid w:val="00461E19"/>
    <w:rsid w:val="004635AB"/>
    <w:rsid w:val="00463DF1"/>
    <w:rsid w:val="00464A24"/>
    <w:rsid w:val="00464A27"/>
    <w:rsid w:val="00464C9A"/>
    <w:rsid w:val="00466033"/>
    <w:rsid w:val="004666E6"/>
    <w:rsid w:val="00466E7E"/>
    <w:rsid w:val="00470242"/>
    <w:rsid w:val="00471BCB"/>
    <w:rsid w:val="00471CF0"/>
    <w:rsid w:val="00474233"/>
    <w:rsid w:val="00475123"/>
    <w:rsid w:val="00476E61"/>
    <w:rsid w:val="0047732E"/>
    <w:rsid w:val="00477FE3"/>
    <w:rsid w:val="00480149"/>
    <w:rsid w:val="00480B39"/>
    <w:rsid w:val="0048414F"/>
    <w:rsid w:val="00485481"/>
    <w:rsid w:val="0048548A"/>
    <w:rsid w:val="004869D8"/>
    <w:rsid w:val="0049106D"/>
    <w:rsid w:val="0049164B"/>
    <w:rsid w:val="0049201C"/>
    <w:rsid w:val="00492512"/>
    <w:rsid w:val="00492996"/>
    <w:rsid w:val="0049323E"/>
    <w:rsid w:val="00493296"/>
    <w:rsid w:val="00494B30"/>
    <w:rsid w:val="0049510C"/>
    <w:rsid w:val="00497A68"/>
    <w:rsid w:val="004A0F51"/>
    <w:rsid w:val="004A21BB"/>
    <w:rsid w:val="004A29DD"/>
    <w:rsid w:val="004A3D57"/>
    <w:rsid w:val="004A479F"/>
    <w:rsid w:val="004A4985"/>
    <w:rsid w:val="004A6A89"/>
    <w:rsid w:val="004A7320"/>
    <w:rsid w:val="004B06DF"/>
    <w:rsid w:val="004B07B5"/>
    <w:rsid w:val="004B2AA0"/>
    <w:rsid w:val="004B2E7E"/>
    <w:rsid w:val="004B37E6"/>
    <w:rsid w:val="004B41A8"/>
    <w:rsid w:val="004B5092"/>
    <w:rsid w:val="004B530B"/>
    <w:rsid w:val="004B5FFC"/>
    <w:rsid w:val="004B6FB3"/>
    <w:rsid w:val="004C0555"/>
    <w:rsid w:val="004C159E"/>
    <w:rsid w:val="004C3690"/>
    <w:rsid w:val="004C39C0"/>
    <w:rsid w:val="004C41E1"/>
    <w:rsid w:val="004C508F"/>
    <w:rsid w:val="004C606E"/>
    <w:rsid w:val="004C6AAF"/>
    <w:rsid w:val="004C7AC3"/>
    <w:rsid w:val="004C7FB0"/>
    <w:rsid w:val="004D007E"/>
    <w:rsid w:val="004D06CB"/>
    <w:rsid w:val="004D0760"/>
    <w:rsid w:val="004D0ACE"/>
    <w:rsid w:val="004D0E6C"/>
    <w:rsid w:val="004D116C"/>
    <w:rsid w:val="004D154F"/>
    <w:rsid w:val="004D3B7F"/>
    <w:rsid w:val="004D546E"/>
    <w:rsid w:val="004D577D"/>
    <w:rsid w:val="004D6D17"/>
    <w:rsid w:val="004D6F06"/>
    <w:rsid w:val="004D7D70"/>
    <w:rsid w:val="004E2263"/>
    <w:rsid w:val="004E285C"/>
    <w:rsid w:val="004E2CF8"/>
    <w:rsid w:val="004E3505"/>
    <w:rsid w:val="004E38D5"/>
    <w:rsid w:val="004E3D99"/>
    <w:rsid w:val="004E423F"/>
    <w:rsid w:val="004E491E"/>
    <w:rsid w:val="004E5C3D"/>
    <w:rsid w:val="004E6378"/>
    <w:rsid w:val="004F0956"/>
    <w:rsid w:val="004F0ED5"/>
    <w:rsid w:val="004F15D7"/>
    <w:rsid w:val="004F19E5"/>
    <w:rsid w:val="004F2128"/>
    <w:rsid w:val="004F24E7"/>
    <w:rsid w:val="004F290B"/>
    <w:rsid w:val="004F2FD2"/>
    <w:rsid w:val="004F312E"/>
    <w:rsid w:val="004F33F2"/>
    <w:rsid w:val="004F3716"/>
    <w:rsid w:val="004F372F"/>
    <w:rsid w:val="004F3A7A"/>
    <w:rsid w:val="004F56D6"/>
    <w:rsid w:val="004F68FF"/>
    <w:rsid w:val="004F793C"/>
    <w:rsid w:val="004F7E90"/>
    <w:rsid w:val="00500D79"/>
    <w:rsid w:val="00500E7E"/>
    <w:rsid w:val="005011BE"/>
    <w:rsid w:val="00502275"/>
    <w:rsid w:val="0050362A"/>
    <w:rsid w:val="00504136"/>
    <w:rsid w:val="00504403"/>
    <w:rsid w:val="00504604"/>
    <w:rsid w:val="00504CD1"/>
    <w:rsid w:val="00506379"/>
    <w:rsid w:val="00510315"/>
    <w:rsid w:val="00511E30"/>
    <w:rsid w:val="00512ED6"/>
    <w:rsid w:val="005131EC"/>
    <w:rsid w:val="0051352B"/>
    <w:rsid w:val="00513EFF"/>
    <w:rsid w:val="005148C6"/>
    <w:rsid w:val="0051575B"/>
    <w:rsid w:val="00515A3E"/>
    <w:rsid w:val="00516354"/>
    <w:rsid w:val="00516623"/>
    <w:rsid w:val="00516632"/>
    <w:rsid w:val="00516AEC"/>
    <w:rsid w:val="0052065B"/>
    <w:rsid w:val="00521B2C"/>
    <w:rsid w:val="005223C0"/>
    <w:rsid w:val="00523A2E"/>
    <w:rsid w:val="00524D0B"/>
    <w:rsid w:val="00526C5D"/>
    <w:rsid w:val="00527248"/>
    <w:rsid w:val="005307D9"/>
    <w:rsid w:val="005312F7"/>
    <w:rsid w:val="00531304"/>
    <w:rsid w:val="005316F3"/>
    <w:rsid w:val="0053196B"/>
    <w:rsid w:val="00531E51"/>
    <w:rsid w:val="00533527"/>
    <w:rsid w:val="00533824"/>
    <w:rsid w:val="00533C61"/>
    <w:rsid w:val="00534277"/>
    <w:rsid w:val="00534409"/>
    <w:rsid w:val="00534CD9"/>
    <w:rsid w:val="00535693"/>
    <w:rsid w:val="005362B9"/>
    <w:rsid w:val="00537498"/>
    <w:rsid w:val="00541B63"/>
    <w:rsid w:val="00541E8E"/>
    <w:rsid w:val="005432CA"/>
    <w:rsid w:val="00544350"/>
    <w:rsid w:val="0054509D"/>
    <w:rsid w:val="005457CB"/>
    <w:rsid w:val="005460EA"/>
    <w:rsid w:val="0054632B"/>
    <w:rsid w:val="00550020"/>
    <w:rsid w:val="00551462"/>
    <w:rsid w:val="00551655"/>
    <w:rsid w:val="00552415"/>
    <w:rsid w:val="005528EB"/>
    <w:rsid w:val="00554E7C"/>
    <w:rsid w:val="00556E9C"/>
    <w:rsid w:val="0055792C"/>
    <w:rsid w:val="00557E5C"/>
    <w:rsid w:val="00557E96"/>
    <w:rsid w:val="0056167E"/>
    <w:rsid w:val="0056324D"/>
    <w:rsid w:val="0056362C"/>
    <w:rsid w:val="0056536B"/>
    <w:rsid w:val="005657BB"/>
    <w:rsid w:val="00565816"/>
    <w:rsid w:val="00567688"/>
    <w:rsid w:val="00567A7B"/>
    <w:rsid w:val="00567FCD"/>
    <w:rsid w:val="005703AD"/>
    <w:rsid w:val="00570DA5"/>
    <w:rsid w:val="005711EC"/>
    <w:rsid w:val="00572083"/>
    <w:rsid w:val="00572BEE"/>
    <w:rsid w:val="00572FB8"/>
    <w:rsid w:val="00573CC2"/>
    <w:rsid w:val="0057414B"/>
    <w:rsid w:val="0057453D"/>
    <w:rsid w:val="00576E55"/>
    <w:rsid w:val="0057745B"/>
    <w:rsid w:val="00577700"/>
    <w:rsid w:val="00577850"/>
    <w:rsid w:val="0058027C"/>
    <w:rsid w:val="0058028B"/>
    <w:rsid w:val="00580FCA"/>
    <w:rsid w:val="00581021"/>
    <w:rsid w:val="00582241"/>
    <w:rsid w:val="00583B6E"/>
    <w:rsid w:val="005845EC"/>
    <w:rsid w:val="00585ED3"/>
    <w:rsid w:val="00587759"/>
    <w:rsid w:val="00587A4A"/>
    <w:rsid w:val="00587A67"/>
    <w:rsid w:val="00587AD9"/>
    <w:rsid w:val="00587B6F"/>
    <w:rsid w:val="00590803"/>
    <w:rsid w:val="00590859"/>
    <w:rsid w:val="00591105"/>
    <w:rsid w:val="00592ECE"/>
    <w:rsid w:val="00596938"/>
    <w:rsid w:val="005A0681"/>
    <w:rsid w:val="005A1993"/>
    <w:rsid w:val="005A1CB0"/>
    <w:rsid w:val="005A1FD6"/>
    <w:rsid w:val="005A2912"/>
    <w:rsid w:val="005A323C"/>
    <w:rsid w:val="005A42F1"/>
    <w:rsid w:val="005A46DA"/>
    <w:rsid w:val="005A4793"/>
    <w:rsid w:val="005A4F9B"/>
    <w:rsid w:val="005A5184"/>
    <w:rsid w:val="005A5B6D"/>
    <w:rsid w:val="005A7C14"/>
    <w:rsid w:val="005B0413"/>
    <w:rsid w:val="005B11B9"/>
    <w:rsid w:val="005B15AA"/>
    <w:rsid w:val="005B2D5E"/>
    <w:rsid w:val="005B382E"/>
    <w:rsid w:val="005B3954"/>
    <w:rsid w:val="005B4A00"/>
    <w:rsid w:val="005C037A"/>
    <w:rsid w:val="005C0874"/>
    <w:rsid w:val="005C14C2"/>
    <w:rsid w:val="005C1900"/>
    <w:rsid w:val="005C220D"/>
    <w:rsid w:val="005C53C6"/>
    <w:rsid w:val="005C53DE"/>
    <w:rsid w:val="005C578D"/>
    <w:rsid w:val="005C65C0"/>
    <w:rsid w:val="005C724D"/>
    <w:rsid w:val="005C7465"/>
    <w:rsid w:val="005D0447"/>
    <w:rsid w:val="005D0AC9"/>
    <w:rsid w:val="005D1752"/>
    <w:rsid w:val="005D1CFA"/>
    <w:rsid w:val="005D1FFE"/>
    <w:rsid w:val="005D2AA3"/>
    <w:rsid w:val="005D3830"/>
    <w:rsid w:val="005D385B"/>
    <w:rsid w:val="005D3B91"/>
    <w:rsid w:val="005D4CE3"/>
    <w:rsid w:val="005D4FBF"/>
    <w:rsid w:val="005D550F"/>
    <w:rsid w:val="005D607E"/>
    <w:rsid w:val="005E084B"/>
    <w:rsid w:val="005E0CBD"/>
    <w:rsid w:val="005E1965"/>
    <w:rsid w:val="005E21D3"/>
    <w:rsid w:val="005E23CD"/>
    <w:rsid w:val="005E2E38"/>
    <w:rsid w:val="005E312F"/>
    <w:rsid w:val="005E3342"/>
    <w:rsid w:val="005E4133"/>
    <w:rsid w:val="005E4767"/>
    <w:rsid w:val="005E52D7"/>
    <w:rsid w:val="005E56C1"/>
    <w:rsid w:val="005E5892"/>
    <w:rsid w:val="005E6A24"/>
    <w:rsid w:val="005E7444"/>
    <w:rsid w:val="005F04C3"/>
    <w:rsid w:val="005F061E"/>
    <w:rsid w:val="005F0746"/>
    <w:rsid w:val="005F1C15"/>
    <w:rsid w:val="005F1D24"/>
    <w:rsid w:val="005F2029"/>
    <w:rsid w:val="005F61F7"/>
    <w:rsid w:val="005F6463"/>
    <w:rsid w:val="005F7E77"/>
    <w:rsid w:val="00600F53"/>
    <w:rsid w:val="00601C06"/>
    <w:rsid w:val="006021D0"/>
    <w:rsid w:val="00602DEF"/>
    <w:rsid w:val="006033CE"/>
    <w:rsid w:val="00603590"/>
    <w:rsid w:val="006037E9"/>
    <w:rsid w:val="00604FBC"/>
    <w:rsid w:val="00605D41"/>
    <w:rsid w:val="00606D7C"/>
    <w:rsid w:val="006077D1"/>
    <w:rsid w:val="00610258"/>
    <w:rsid w:val="006103CD"/>
    <w:rsid w:val="006107EE"/>
    <w:rsid w:val="00611121"/>
    <w:rsid w:val="00611ECA"/>
    <w:rsid w:val="00612756"/>
    <w:rsid w:val="006132B5"/>
    <w:rsid w:val="00613697"/>
    <w:rsid w:val="006141A1"/>
    <w:rsid w:val="006147AF"/>
    <w:rsid w:val="006151ED"/>
    <w:rsid w:val="0061553D"/>
    <w:rsid w:val="00615E71"/>
    <w:rsid w:val="00617372"/>
    <w:rsid w:val="00617415"/>
    <w:rsid w:val="00622C17"/>
    <w:rsid w:val="00624762"/>
    <w:rsid w:val="0062606E"/>
    <w:rsid w:val="006275F6"/>
    <w:rsid w:val="00627CB6"/>
    <w:rsid w:val="006316A8"/>
    <w:rsid w:val="006321AF"/>
    <w:rsid w:val="00632215"/>
    <w:rsid w:val="006324BE"/>
    <w:rsid w:val="00634797"/>
    <w:rsid w:val="00634E16"/>
    <w:rsid w:val="0063577A"/>
    <w:rsid w:val="00635F8F"/>
    <w:rsid w:val="00637038"/>
    <w:rsid w:val="00637908"/>
    <w:rsid w:val="0064042C"/>
    <w:rsid w:val="00640543"/>
    <w:rsid w:val="00640AFB"/>
    <w:rsid w:val="006418FD"/>
    <w:rsid w:val="00641CFC"/>
    <w:rsid w:val="00642654"/>
    <w:rsid w:val="006434DC"/>
    <w:rsid w:val="006441A6"/>
    <w:rsid w:val="00644C4E"/>
    <w:rsid w:val="006450B9"/>
    <w:rsid w:val="00646D84"/>
    <w:rsid w:val="00647A87"/>
    <w:rsid w:val="00650AF4"/>
    <w:rsid w:val="006512BA"/>
    <w:rsid w:val="00651B41"/>
    <w:rsid w:val="00651DB3"/>
    <w:rsid w:val="0065275B"/>
    <w:rsid w:val="006536A0"/>
    <w:rsid w:val="0065382A"/>
    <w:rsid w:val="0065440E"/>
    <w:rsid w:val="00654C6E"/>
    <w:rsid w:val="006550FC"/>
    <w:rsid w:val="00655BD2"/>
    <w:rsid w:val="00656F7A"/>
    <w:rsid w:val="00657BDF"/>
    <w:rsid w:val="00657E24"/>
    <w:rsid w:val="00660671"/>
    <w:rsid w:val="006608B5"/>
    <w:rsid w:val="00660D60"/>
    <w:rsid w:val="00662217"/>
    <w:rsid w:val="00662E32"/>
    <w:rsid w:val="00663028"/>
    <w:rsid w:val="00663CBE"/>
    <w:rsid w:val="006640F2"/>
    <w:rsid w:val="00665105"/>
    <w:rsid w:val="00666E60"/>
    <w:rsid w:val="0067089E"/>
    <w:rsid w:val="0067186E"/>
    <w:rsid w:val="00672549"/>
    <w:rsid w:val="006727F8"/>
    <w:rsid w:val="00673CAA"/>
    <w:rsid w:val="0067498B"/>
    <w:rsid w:val="00674B8F"/>
    <w:rsid w:val="00675631"/>
    <w:rsid w:val="00675EC7"/>
    <w:rsid w:val="00676767"/>
    <w:rsid w:val="00676911"/>
    <w:rsid w:val="00677320"/>
    <w:rsid w:val="00677A22"/>
    <w:rsid w:val="00677AC7"/>
    <w:rsid w:val="00680CAA"/>
    <w:rsid w:val="00683C8E"/>
    <w:rsid w:val="006841E2"/>
    <w:rsid w:val="006848F7"/>
    <w:rsid w:val="006855AA"/>
    <w:rsid w:val="0068561B"/>
    <w:rsid w:val="006857C6"/>
    <w:rsid w:val="00685B5D"/>
    <w:rsid w:val="00686238"/>
    <w:rsid w:val="00686531"/>
    <w:rsid w:val="006901D7"/>
    <w:rsid w:val="006912BE"/>
    <w:rsid w:val="00691A06"/>
    <w:rsid w:val="00691D02"/>
    <w:rsid w:val="00691F95"/>
    <w:rsid w:val="00692950"/>
    <w:rsid w:val="00692D37"/>
    <w:rsid w:val="006937BA"/>
    <w:rsid w:val="006945E1"/>
    <w:rsid w:val="00695D38"/>
    <w:rsid w:val="0069724E"/>
    <w:rsid w:val="006974F3"/>
    <w:rsid w:val="00697667"/>
    <w:rsid w:val="006977D6"/>
    <w:rsid w:val="006A0125"/>
    <w:rsid w:val="006A0540"/>
    <w:rsid w:val="006A1159"/>
    <w:rsid w:val="006A198E"/>
    <w:rsid w:val="006A1F5A"/>
    <w:rsid w:val="006A2A44"/>
    <w:rsid w:val="006A2B54"/>
    <w:rsid w:val="006A3785"/>
    <w:rsid w:val="006A3988"/>
    <w:rsid w:val="006A4347"/>
    <w:rsid w:val="006A4736"/>
    <w:rsid w:val="006A5EA7"/>
    <w:rsid w:val="006A7AD7"/>
    <w:rsid w:val="006A7D7A"/>
    <w:rsid w:val="006B02E3"/>
    <w:rsid w:val="006B0B8B"/>
    <w:rsid w:val="006B113B"/>
    <w:rsid w:val="006B161B"/>
    <w:rsid w:val="006B361A"/>
    <w:rsid w:val="006B3FDE"/>
    <w:rsid w:val="006B493A"/>
    <w:rsid w:val="006B4945"/>
    <w:rsid w:val="006B4C18"/>
    <w:rsid w:val="006B5866"/>
    <w:rsid w:val="006B5B5D"/>
    <w:rsid w:val="006B644D"/>
    <w:rsid w:val="006B6F31"/>
    <w:rsid w:val="006B7A1C"/>
    <w:rsid w:val="006C09E3"/>
    <w:rsid w:val="006C54EF"/>
    <w:rsid w:val="006C6356"/>
    <w:rsid w:val="006D0137"/>
    <w:rsid w:val="006D07ED"/>
    <w:rsid w:val="006D1625"/>
    <w:rsid w:val="006D2059"/>
    <w:rsid w:val="006D424A"/>
    <w:rsid w:val="006D47C7"/>
    <w:rsid w:val="006D4E5D"/>
    <w:rsid w:val="006D6B4E"/>
    <w:rsid w:val="006D6C16"/>
    <w:rsid w:val="006D6D87"/>
    <w:rsid w:val="006D711F"/>
    <w:rsid w:val="006D79C6"/>
    <w:rsid w:val="006D7EC6"/>
    <w:rsid w:val="006E1B1A"/>
    <w:rsid w:val="006E1FF1"/>
    <w:rsid w:val="006E2A53"/>
    <w:rsid w:val="006E2BD3"/>
    <w:rsid w:val="006E32E4"/>
    <w:rsid w:val="006E3DC1"/>
    <w:rsid w:val="006E466E"/>
    <w:rsid w:val="006E502B"/>
    <w:rsid w:val="006E5A29"/>
    <w:rsid w:val="006E5D32"/>
    <w:rsid w:val="006E7458"/>
    <w:rsid w:val="006F0743"/>
    <w:rsid w:val="006F0770"/>
    <w:rsid w:val="006F0D47"/>
    <w:rsid w:val="006F0F13"/>
    <w:rsid w:val="006F1592"/>
    <w:rsid w:val="006F1824"/>
    <w:rsid w:val="006F20B9"/>
    <w:rsid w:val="006F4021"/>
    <w:rsid w:val="006F4D52"/>
    <w:rsid w:val="00700518"/>
    <w:rsid w:val="00700E05"/>
    <w:rsid w:val="007024CA"/>
    <w:rsid w:val="00702CF8"/>
    <w:rsid w:val="0070356E"/>
    <w:rsid w:val="007037C8"/>
    <w:rsid w:val="00705885"/>
    <w:rsid w:val="007106F7"/>
    <w:rsid w:val="00712038"/>
    <w:rsid w:val="007121B9"/>
    <w:rsid w:val="00712291"/>
    <w:rsid w:val="00712F61"/>
    <w:rsid w:val="00713871"/>
    <w:rsid w:val="0071525B"/>
    <w:rsid w:val="00715CAD"/>
    <w:rsid w:val="007170CB"/>
    <w:rsid w:val="00717EF7"/>
    <w:rsid w:val="00717F43"/>
    <w:rsid w:val="00722016"/>
    <w:rsid w:val="00722EB3"/>
    <w:rsid w:val="00722F7A"/>
    <w:rsid w:val="007231BC"/>
    <w:rsid w:val="007257AE"/>
    <w:rsid w:val="007258AB"/>
    <w:rsid w:val="00726450"/>
    <w:rsid w:val="0072744C"/>
    <w:rsid w:val="00727D0A"/>
    <w:rsid w:val="0073019A"/>
    <w:rsid w:val="007305CF"/>
    <w:rsid w:val="007309F0"/>
    <w:rsid w:val="00730D09"/>
    <w:rsid w:val="007315CA"/>
    <w:rsid w:val="00733C0D"/>
    <w:rsid w:val="00733FAF"/>
    <w:rsid w:val="0073595F"/>
    <w:rsid w:val="00735E3B"/>
    <w:rsid w:val="00736783"/>
    <w:rsid w:val="00737A19"/>
    <w:rsid w:val="00737C04"/>
    <w:rsid w:val="00737E35"/>
    <w:rsid w:val="007401A7"/>
    <w:rsid w:val="00740EC5"/>
    <w:rsid w:val="007430F7"/>
    <w:rsid w:val="00743908"/>
    <w:rsid w:val="00743FF7"/>
    <w:rsid w:val="007442C7"/>
    <w:rsid w:val="0074545A"/>
    <w:rsid w:val="00745FF6"/>
    <w:rsid w:val="0074603F"/>
    <w:rsid w:val="007462F0"/>
    <w:rsid w:val="00746AFA"/>
    <w:rsid w:val="00747188"/>
    <w:rsid w:val="00750DB2"/>
    <w:rsid w:val="00751DFF"/>
    <w:rsid w:val="007529B5"/>
    <w:rsid w:val="00753872"/>
    <w:rsid w:val="00756534"/>
    <w:rsid w:val="00756F65"/>
    <w:rsid w:val="00760412"/>
    <w:rsid w:val="0076103B"/>
    <w:rsid w:val="0076232E"/>
    <w:rsid w:val="007640ED"/>
    <w:rsid w:val="0076493D"/>
    <w:rsid w:val="00765A14"/>
    <w:rsid w:val="00765AE7"/>
    <w:rsid w:val="00765E28"/>
    <w:rsid w:val="0077067B"/>
    <w:rsid w:val="007713C6"/>
    <w:rsid w:val="00771A44"/>
    <w:rsid w:val="00773186"/>
    <w:rsid w:val="007737DE"/>
    <w:rsid w:val="00773EA5"/>
    <w:rsid w:val="007740D6"/>
    <w:rsid w:val="0077473E"/>
    <w:rsid w:val="00777187"/>
    <w:rsid w:val="007778B4"/>
    <w:rsid w:val="00777BEF"/>
    <w:rsid w:val="00777EC8"/>
    <w:rsid w:val="0078096E"/>
    <w:rsid w:val="007816B8"/>
    <w:rsid w:val="00781795"/>
    <w:rsid w:val="00782075"/>
    <w:rsid w:val="0078262D"/>
    <w:rsid w:val="007841D3"/>
    <w:rsid w:val="007846A3"/>
    <w:rsid w:val="00786328"/>
    <w:rsid w:val="00787834"/>
    <w:rsid w:val="00791F39"/>
    <w:rsid w:val="007928DC"/>
    <w:rsid w:val="00792C66"/>
    <w:rsid w:val="0079575D"/>
    <w:rsid w:val="007958E9"/>
    <w:rsid w:val="00795EC1"/>
    <w:rsid w:val="00797F1D"/>
    <w:rsid w:val="007A0B99"/>
    <w:rsid w:val="007A0E70"/>
    <w:rsid w:val="007A15CF"/>
    <w:rsid w:val="007A16A8"/>
    <w:rsid w:val="007A17F3"/>
    <w:rsid w:val="007A3388"/>
    <w:rsid w:val="007A3439"/>
    <w:rsid w:val="007A36BE"/>
    <w:rsid w:val="007A42FD"/>
    <w:rsid w:val="007A59BE"/>
    <w:rsid w:val="007A5A70"/>
    <w:rsid w:val="007A5D63"/>
    <w:rsid w:val="007A63DF"/>
    <w:rsid w:val="007A6740"/>
    <w:rsid w:val="007A6923"/>
    <w:rsid w:val="007A6C19"/>
    <w:rsid w:val="007A6E2E"/>
    <w:rsid w:val="007A6E33"/>
    <w:rsid w:val="007B0058"/>
    <w:rsid w:val="007B0D86"/>
    <w:rsid w:val="007B11CE"/>
    <w:rsid w:val="007B22F7"/>
    <w:rsid w:val="007B2414"/>
    <w:rsid w:val="007B296F"/>
    <w:rsid w:val="007B3689"/>
    <w:rsid w:val="007B4058"/>
    <w:rsid w:val="007B5285"/>
    <w:rsid w:val="007B5963"/>
    <w:rsid w:val="007B5994"/>
    <w:rsid w:val="007B59F3"/>
    <w:rsid w:val="007B5C36"/>
    <w:rsid w:val="007B765F"/>
    <w:rsid w:val="007C1A3E"/>
    <w:rsid w:val="007C26EB"/>
    <w:rsid w:val="007C2DC8"/>
    <w:rsid w:val="007C4AA5"/>
    <w:rsid w:val="007C53D6"/>
    <w:rsid w:val="007C558D"/>
    <w:rsid w:val="007C7045"/>
    <w:rsid w:val="007C711D"/>
    <w:rsid w:val="007C758E"/>
    <w:rsid w:val="007D287B"/>
    <w:rsid w:val="007D2B3B"/>
    <w:rsid w:val="007D33B0"/>
    <w:rsid w:val="007D40B0"/>
    <w:rsid w:val="007D41E2"/>
    <w:rsid w:val="007D45CB"/>
    <w:rsid w:val="007D4735"/>
    <w:rsid w:val="007D49BC"/>
    <w:rsid w:val="007D5A78"/>
    <w:rsid w:val="007D6127"/>
    <w:rsid w:val="007D62B0"/>
    <w:rsid w:val="007D6EF7"/>
    <w:rsid w:val="007E00DC"/>
    <w:rsid w:val="007E0A2E"/>
    <w:rsid w:val="007E21C8"/>
    <w:rsid w:val="007E2306"/>
    <w:rsid w:val="007E33ED"/>
    <w:rsid w:val="007E3709"/>
    <w:rsid w:val="007E4E7F"/>
    <w:rsid w:val="007E541B"/>
    <w:rsid w:val="007E67CB"/>
    <w:rsid w:val="007E6A36"/>
    <w:rsid w:val="007E6BB8"/>
    <w:rsid w:val="007E7584"/>
    <w:rsid w:val="007F15C1"/>
    <w:rsid w:val="007F1B44"/>
    <w:rsid w:val="007F27D1"/>
    <w:rsid w:val="007F4DC4"/>
    <w:rsid w:val="007F5B78"/>
    <w:rsid w:val="007F6165"/>
    <w:rsid w:val="007F6934"/>
    <w:rsid w:val="007F6F2A"/>
    <w:rsid w:val="007F7655"/>
    <w:rsid w:val="007F7891"/>
    <w:rsid w:val="007F7A6C"/>
    <w:rsid w:val="007F7FFD"/>
    <w:rsid w:val="0080085B"/>
    <w:rsid w:val="0080088E"/>
    <w:rsid w:val="008016EB"/>
    <w:rsid w:val="00801E68"/>
    <w:rsid w:val="00802255"/>
    <w:rsid w:val="00802998"/>
    <w:rsid w:val="00803066"/>
    <w:rsid w:val="00803773"/>
    <w:rsid w:val="00804CC6"/>
    <w:rsid w:val="00804CFC"/>
    <w:rsid w:val="00805AAB"/>
    <w:rsid w:val="00806B17"/>
    <w:rsid w:val="00806D47"/>
    <w:rsid w:val="00806E40"/>
    <w:rsid w:val="0081035E"/>
    <w:rsid w:val="0081051F"/>
    <w:rsid w:val="00811760"/>
    <w:rsid w:val="00811CEF"/>
    <w:rsid w:val="008131DD"/>
    <w:rsid w:val="008142AE"/>
    <w:rsid w:val="008143C9"/>
    <w:rsid w:val="008148A8"/>
    <w:rsid w:val="00814D1E"/>
    <w:rsid w:val="00814F8E"/>
    <w:rsid w:val="008164D3"/>
    <w:rsid w:val="008166EC"/>
    <w:rsid w:val="008172CC"/>
    <w:rsid w:val="0081752A"/>
    <w:rsid w:val="008178E8"/>
    <w:rsid w:val="008207CE"/>
    <w:rsid w:val="00820FB2"/>
    <w:rsid w:val="00821F27"/>
    <w:rsid w:val="00823ACB"/>
    <w:rsid w:val="00824613"/>
    <w:rsid w:val="00824C5E"/>
    <w:rsid w:val="00825641"/>
    <w:rsid w:val="0082599C"/>
    <w:rsid w:val="00827104"/>
    <w:rsid w:val="00827165"/>
    <w:rsid w:val="0082745E"/>
    <w:rsid w:val="00827E3F"/>
    <w:rsid w:val="00830D86"/>
    <w:rsid w:val="008310AD"/>
    <w:rsid w:val="00831770"/>
    <w:rsid w:val="008321E0"/>
    <w:rsid w:val="00832284"/>
    <w:rsid w:val="0083236D"/>
    <w:rsid w:val="00832585"/>
    <w:rsid w:val="0083280B"/>
    <w:rsid w:val="008339B2"/>
    <w:rsid w:val="00833C8F"/>
    <w:rsid w:val="008341A6"/>
    <w:rsid w:val="00834B61"/>
    <w:rsid w:val="00835F9F"/>
    <w:rsid w:val="00835FEA"/>
    <w:rsid w:val="00837073"/>
    <w:rsid w:val="008373DC"/>
    <w:rsid w:val="00837B82"/>
    <w:rsid w:val="00837C9B"/>
    <w:rsid w:val="00840291"/>
    <w:rsid w:val="00840D09"/>
    <w:rsid w:val="00842520"/>
    <w:rsid w:val="00843FEB"/>
    <w:rsid w:val="0084409A"/>
    <w:rsid w:val="00844183"/>
    <w:rsid w:val="008449BD"/>
    <w:rsid w:val="00844C17"/>
    <w:rsid w:val="00844E2A"/>
    <w:rsid w:val="00845093"/>
    <w:rsid w:val="008459E2"/>
    <w:rsid w:val="00845E83"/>
    <w:rsid w:val="00846366"/>
    <w:rsid w:val="0084797B"/>
    <w:rsid w:val="00850086"/>
    <w:rsid w:val="008514DA"/>
    <w:rsid w:val="008519CB"/>
    <w:rsid w:val="0085221C"/>
    <w:rsid w:val="00852F56"/>
    <w:rsid w:val="0085425D"/>
    <w:rsid w:val="00854F2A"/>
    <w:rsid w:val="00855BC6"/>
    <w:rsid w:val="00855E4A"/>
    <w:rsid w:val="00856E99"/>
    <w:rsid w:val="00860337"/>
    <w:rsid w:val="008604C7"/>
    <w:rsid w:val="00860A9F"/>
    <w:rsid w:val="008614E6"/>
    <w:rsid w:val="00861B52"/>
    <w:rsid w:val="00861EC4"/>
    <w:rsid w:val="00862D3B"/>
    <w:rsid w:val="008640A3"/>
    <w:rsid w:val="008642F7"/>
    <w:rsid w:val="00864D19"/>
    <w:rsid w:val="00865FAE"/>
    <w:rsid w:val="0086693A"/>
    <w:rsid w:val="008669E4"/>
    <w:rsid w:val="008672AA"/>
    <w:rsid w:val="008674B5"/>
    <w:rsid w:val="00867CA4"/>
    <w:rsid w:val="00870974"/>
    <w:rsid w:val="00874BE4"/>
    <w:rsid w:val="00877166"/>
    <w:rsid w:val="0087763E"/>
    <w:rsid w:val="00877D34"/>
    <w:rsid w:val="0088008D"/>
    <w:rsid w:val="00880B02"/>
    <w:rsid w:val="0088180B"/>
    <w:rsid w:val="00884353"/>
    <w:rsid w:val="00884486"/>
    <w:rsid w:val="00885306"/>
    <w:rsid w:val="00885F4C"/>
    <w:rsid w:val="00886275"/>
    <w:rsid w:val="0088786A"/>
    <w:rsid w:val="008900BA"/>
    <w:rsid w:val="00890726"/>
    <w:rsid w:val="00890BF6"/>
    <w:rsid w:val="008915C3"/>
    <w:rsid w:val="008925F8"/>
    <w:rsid w:val="00892EF9"/>
    <w:rsid w:val="00894624"/>
    <w:rsid w:val="00894E48"/>
    <w:rsid w:val="00895FB3"/>
    <w:rsid w:val="0089675B"/>
    <w:rsid w:val="00896BF0"/>
    <w:rsid w:val="00896DFA"/>
    <w:rsid w:val="008972F8"/>
    <w:rsid w:val="008A10BA"/>
    <w:rsid w:val="008A1FAA"/>
    <w:rsid w:val="008A23C0"/>
    <w:rsid w:val="008A2668"/>
    <w:rsid w:val="008A298D"/>
    <w:rsid w:val="008A3612"/>
    <w:rsid w:val="008A41F0"/>
    <w:rsid w:val="008A4415"/>
    <w:rsid w:val="008A4613"/>
    <w:rsid w:val="008A627E"/>
    <w:rsid w:val="008A6A0E"/>
    <w:rsid w:val="008A6F80"/>
    <w:rsid w:val="008A7C39"/>
    <w:rsid w:val="008A7DD4"/>
    <w:rsid w:val="008B0CB2"/>
    <w:rsid w:val="008B1B91"/>
    <w:rsid w:val="008B2601"/>
    <w:rsid w:val="008B2E4B"/>
    <w:rsid w:val="008B2EB2"/>
    <w:rsid w:val="008B2FC1"/>
    <w:rsid w:val="008B37C2"/>
    <w:rsid w:val="008B3CB4"/>
    <w:rsid w:val="008B44E2"/>
    <w:rsid w:val="008B507B"/>
    <w:rsid w:val="008B5CD7"/>
    <w:rsid w:val="008B78D0"/>
    <w:rsid w:val="008C024C"/>
    <w:rsid w:val="008C4F64"/>
    <w:rsid w:val="008C5325"/>
    <w:rsid w:val="008C5754"/>
    <w:rsid w:val="008C769A"/>
    <w:rsid w:val="008D126A"/>
    <w:rsid w:val="008D17C5"/>
    <w:rsid w:val="008D3044"/>
    <w:rsid w:val="008D5F6C"/>
    <w:rsid w:val="008D627F"/>
    <w:rsid w:val="008D7062"/>
    <w:rsid w:val="008D7B7D"/>
    <w:rsid w:val="008E1EF9"/>
    <w:rsid w:val="008E2281"/>
    <w:rsid w:val="008E2AEF"/>
    <w:rsid w:val="008E2BD2"/>
    <w:rsid w:val="008E3095"/>
    <w:rsid w:val="008E323C"/>
    <w:rsid w:val="008E43E9"/>
    <w:rsid w:val="008E4544"/>
    <w:rsid w:val="008E4FE8"/>
    <w:rsid w:val="008E5C27"/>
    <w:rsid w:val="008E6140"/>
    <w:rsid w:val="008F0268"/>
    <w:rsid w:val="008F06DC"/>
    <w:rsid w:val="008F0E83"/>
    <w:rsid w:val="008F0F53"/>
    <w:rsid w:val="008F15CA"/>
    <w:rsid w:val="008F4E65"/>
    <w:rsid w:val="008F5459"/>
    <w:rsid w:val="008F5A12"/>
    <w:rsid w:val="008F64B2"/>
    <w:rsid w:val="008F66C8"/>
    <w:rsid w:val="008F7428"/>
    <w:rsid w:val="00901169"/>
    <w:rsid w:val="009029EE"/>
    <w:rsid w:val="00903120"/>
    <w:rsid w:val="00903CCE"/>
    <w:rsid w:val="009044E2"/>
    <w:rsid w:val="00904525"/>
    <w:rsid w:val="00905E7B"/>
    <w:rsid w:val="00906079"/>
    <w:rsid w:val="00907E64"/>
    <w:rsid w:val="00910144"/>
    <w:rsid w:val="009104FE"/>
    <w:rsid w:val="00910A7C"/>
    <w:rsid w:val="00911290"/>
    <w:rsid w:val="00912E1F"/>
    <w:rsid w:val="00912FA8"/>
    <w:rsid w:val="00912FD7"/>
    <w:rsid w:val="0091310C"/>
    <w:rsid w:val="00913192"/>
    <w:rsid w:val="009139FE"/>
    <w:rsid w:val="00916283"/>
    <w:rsid w:val="00917C00"/>
    <w:rsid w:val="009225EC"/>
    <w:rsid w:val="009231D2"/>
    <w:rsid w:val="00924F53"/>
    <w:rsid w:val="00925EF3"/>
    <w:rsid w:val="00926265"/>
    <w:rsid w:val="00926F8D"/>
    <w:rsid w:val="009318F7"/>
    <w:rsid w:val="0093212D"/>
    <w:rsid w:val="00932347"/>
    <w:rsid w:val="009329A1"/>
    <w:rsid w:val="00933A09"/>
    <w:rsid w:val="0093455B"/>
    <w:rsid w:val="00935CE9"/>
    <w:rsid w:val="00936BEE"/>
    <w:rsid w:val="00943F21"/>
    <w:rsid w:val="0094469E"/>
    <w:rsid w:val="0094612F"/>
    <w:rsid w:val="0094616A"/>
    <w:rsid w:val="0094650B"/>
    <w:rsid w:val="00947157"/>
    <w:rsid w:val="00947212"/>
    <w:rsid w:val="0094796E"/>
    <w:rsid w:val="00953285"/>
    <w:rsid w:val="009545A0"/>
    <w:rsid w:val="009564DA"/>
    <w:rsid w:val="00956AEC"/>
    <w:rsid w:val="00960815"/>
    <w:rsid w:val="00961CC1"/>
    <w:rsid w:val="00962CFE"/>
    <w:rsid w:val="00962E88"/>
    <w:rsid w:val="00965494"/>
    <w:rsid w:val="0096738C"/>
    <w:rsid w:val="00967D0C"/>
    <w:rsid w:val="0097006B"/>
    <w:rsid w:val="00970664"/>
    <w:rsid w:val="0097082A"/>
    <w:rsid w:val="009734BD"/>
    <w:rsid w:val="00973DBD"/>
    <w:rsid w:val="00973F75"/>
    <w:rsid w:val="00975610"/>
    <w:rsid w:val="0097713C"/>
    <w:rsid w:val="00977279"/>
    <w:rsid w:val="009774E2"/>
    <w:rsid w:val="009800F1"/>
    <w:rsid w:val="009802E4"/>
    <w:rsid w:val="00981D17"/>
    <w:rsid w:val="00983C62"/>
    <w:rsid w:val="0098432D"/>
    <w:rsid w:val="009843DE"/>
    <w:rsid w:val="00985A09"/>
    <w:rsid w:val="00986DF3"/>
    <w:rsid w:val="00990EFB"/>
    <w:rsid w:val="009918D8"/>
    <w:rsid w:val="009921BD"/>
    <w:rsid w:val="00993083"/>
    <w:rsid w:val="009942A7"/>
    <w:rsid w:val="00995918"/>
    <w:rsid w:val="00995E7C"/>
    <w:rsid w:val="00996367"/>
    <w:rsid w:val="0099667F"/>
    <w:rsid w:val="00996CC2"/>
    <w:rsid w:val="00997736"/>
    <w:rsid w:val="009A0614"/>
    <w:rsid w:val="009A26FB"/>
    <w:rsid w:val="009A4EFA"/>
    <w:rsid w:val="009A5653"/>
    <w:rsid w:val="009A5E5C"/>
    <w:rsid w:val="009B0582"/>
    <w:rsid w:val="009B321D"/>
    <w:rsid w:val="009B33B9"/>
    <w:rsid w:val="009B4CA7"/>
    <w:rsid w:val="009B5141"/>
    <w:rsid w:val="009B5B84"/>
    <w:rsid w:val="009B65A8"/>
    <w:rsid w:val="009B684E"/>
    <w:rsid w:val="009C23C6"/>
    <w:rsid w:val="009C3CFA"/>
    <w:rsid w:val="009C411D"/>
    <w:rsid w:val="009C470D"/>
    <w:rsid w:val="009C5E55"/>
    <w:rsid w:val="009C6583"/>
    <w:rsid w:val="009C7055"/>
    <w:rsid w:val="009D2294"/>
    <w:rsid w:val="009D2587"/>
    <w:rsid w:val="009D3708"/>
    <w:rsid w:val="009D376E"/>
    <w:rsid w:val="009D3AAB"/>
    <w:rsid w:val="009D4517"/>
    <w:rsid w:val="009D47A5"/>
    <w:rsid w:val="009D4C52"/>
    <w:rsid w:val="009D775B"/>
    <w:rsid w:val="009E24B3"/>
    <w:rsid w:val="009E2EFD"/>
    <w:rsid w:val="009E346A"/>
    <w:rsid w:val="009E3A63"/>
    <w:rsid w:val="009E4055"/>
    <w:rsid w:val="009E433D"/>
    <w:rsid w:val="009E565E"/>
    <w:rsid w:val="009E593A"/>
    <w:rsid w:val="009E7DD8"/>
    <w:rsid w:val="009F08AD"/>
    <w:rsid w:val="009F1D8B"/>
    <w:rsid w:val="009F2895"/>
    <w:rsid w:val="009F2A89"/>
    <w:rsid w:val="009F3633"/>
    <w:rsid w:val="009F3935"/>
    <w:rsid w:val="009F42F9"/>
    <w:rsid w:val="009F4C73"/>
    <w:rsid w:val="009F5181"/>
    <w:rsid w:val="009F535A"/>
    <w:rsid w:val="009F5A49"/>
    <w:rsid w:val="009F5C70"/>
    <w:rsid w:val="009F5CD7"/>
    <w:rsid w:val="009F60D0"/>
    <w:rsid w:val="009F6226"/>
    <w:rsid w:val="009F6AC3"/>
    <w:rsid w:val="009F7EAB"/>
    <w:rsid w:val="00A00E19"/>
    <w:rsid w:val="00A01440"/>
    <w:rsid w:val="00A01C81"/>
    <w:rsid w:val="00A01DD1"/>
    <w:rsid w:val="00A031F9"/>
    <w:rsid w:val="00A06717"/>
    <w:rsid w:val="00A07EE3"/>
    <w:rsid w:val="00A100C4"/>
    <w:rsid w:val="00A10C63"/>
    <w:rsid w:val="00A10DE9"/>
    <w:rsid w:val="00A11887"/>
    <w:rsid w:val="00A1197C"/>
    <w:rsid w:val="00A11F2F"/>
    <w:rsid w:val="00A125A8"/>
    <w:rsid w:val="00A12801"/>
    <w:rsid w:val="00A12AC5"/>
    <w:rsid w:val="00A13D18"/>
    <w:rsid w:val="00A13F4B"/>
    <w:rsid w:val="00A15F2F"/>
    <w:rsid w:val="00A15FE4"/>
    <w:rsid w:val="00A16256"/>
    <w:rsid w:val="00A16ACB"/>
    <w:rsid w:val="00A179C0"/>
    <w:rsid w:val="00A2169D"/>
    <w:rsid w:val="00A21C48"/>
    <w:rsid w:val="00A22C73"/>
    <w:rsid w:val="00A243FB"/>
    <w:rsid w:val="00A244F9"/>
    <w:rsid w:val="00A25823"/>
    <w:rsid w:val="00A30D90"/>
    <w:rsid w:val="00A314F8"/>
    <w:rsid w:val="00A316DE"/>
    <w:rsid w:val="00A31708"/>
    <w:rsid w:val="00A3170B"/>
    <w:rsid w:val="00A3241B"/>
    <w:rsid w:val="00A324E7"/>
    <w:rsid w:val="00A32DB2"/>
    <w:rsid w:val="00A33192"/>
    <w:rsid w:val="00A33411"/>
    <w:rsid w:val="00A3376D"/>
    <w:rsid w:val="00A34242"/>
    <w:rsid w:val="00A351E8"/>
    <w:rsid w:val="00A35A09"/>
    <w:rsid w:val="00A37B53"/>
    <w:rsid w:val="00A41E13"/>
    <w:rsid w:val="00A42EAD"/>
    <w:rsid w:val="00A44E37"/>
    <w:rsid w:val="00A45626"/>
    <w:rsid w:val="00A464E9"/>
    <w:rsid w:val="00A46A74"/>
    <w:rsid w:val="00A46AC8"/>
    <w:rsid w:val="00A4702B"/>
    <w:rsid w:val="00A5230D"/>
    <w:rsid w:val="00A52472"/>
    <w:rsid w:val="00A528E7"/>
    <w:rsid w:val="00A52B72"/>
    <w:rsid w:val="00A52F6A"/>
    <w:rsid w:val="00A52F90"/>
    <w:rsid w:val="00A53312"/>
    <w:rsid w:val="00A5420E"/>
    <w:rsid w:val="00A545E7"/>
    <w:rsid w:val="00A54F2B"/>
    <w:rsid w:val="00A54F42"/>
    <w:rsid w:val="00A54F90"/>
    <w:rsid w:val="00A56464"/>
    <w:rsid w:val="00A56615"/>
    <w:rsid w:val="00A566BA"/>
    <w:rsid w:val="00A56E33"/>
    <w:rsid w:val="00A56ED8"/>
    <w:rsid w:val="00A57A34"/>
    <w:rsid w:val="00A60306"/>
    <w:rsid w:val="00A60361"/>
    <w:rsid w:val="00A608D0"/>
    <w:rsid w:val="00A636F0"/>
    <w:rsid w:val="00A65D58"/>
    <w:rsid w:val="00A6670E"/>
    <w:rsid w:val="00A66FCC"/>
    <w:rsid w:val="00A701FA"/>
    <w:rsid w:val="00A70399"/>
    <w:rsid w:val="00A710FC"/>
    <w:rsid w:val="00A716DE"/>
    <w:rsid w:val="00A71CAA"/>
    <w:rsid w:val="00A72FB0"/>
    <w:rsid w:val="00A735DB"/>
    <w:rsid w:val="00A737E8"/>
    <w:rsid w:val="00A751E2"/>
    <w:rsid w:val="00A75ACD"/>
    <w:rsid w:val="00A75B25"/>
    <w:rsid w:val="00A76490"/>
    <w:rsid w:val="00A80230"/>
    <w:rsid w:val="00A80AB9"/>
    <w:rsid w:val="00A8166D"/>
    <w:rsid w:val="00A819EC"/>
    <w:rsid w:val="00A81C2D"/>
    <w:rsid w:val="00A82865"/>
    <w:rsid w:val="00A82D39"/>
    <w:rsid w:val="00A838CE"/>
    <w:rsid w:val="00A83BDA"/>
    <w:rsid w:val="00A8455D"/>
    <w:rsid w:val="00A84A88"/>
    <w:rsid w:val="00A857BF"/>
    <w:rsid w:val="00A857F3"/>
    <w:rsid w:val="00A86A97"/>
    <w:rsid w:val="00A90951"/>
    <w:rsid w:val="00A90CF5"/>
    <w:rsid w:val="00A91268"/>
    <w:rsid w:val="00A91609"/>
    <w:rsid w:val="00A92DD4"/>
    <w:rsid w:val="00A932D1"/>
    <w:rsid w:val="00A93637"/>
    <w:rsid w:val="00A9388A"/>
    <w:rsid w:val="00A93F3C"/>
    <w:rsid w:val="00A948A0"/>
    <w:rsid w:val="00A94EAB"/>
    <w:rsid w:val="00A951D7"/>
    <w:rsid w:val="00A961D8"/>
    <w:rsid w:val="00A96414"/>
    <w:rsid w:val="00A96B21"/>
    <w:rsid w:val="00A96E92"/>
    <w:rsid w:val="00A97F16"/>
    <w:rsid w:val="00AA2CE4"/>
    <w:rsid w:val="00AA4818"/>
    <w:rsid w:val="00AA5C3C"/>
    <w:rsid w:val="00AA5E8D"/>
    <w:rsid w:val="00AA6F9B"/>
    <w:rsid w:val="00AA6FC4"/>
    <w:rsid w:val="00AB1354"/>
    <w:rsid w:val="00AB1531"/>
    <w:rsid w:val="00AB2F6E"/>
    <w:rsid w:val="00AB310D"/>
    <w:rsid w:val="00AB311D"/>
    <w:rsid w:val="00AB3544"/>
    <w:rsid w:val="00AB3A6D"/>
    <w:rsid w:val="00AB46F4"/>
    <w:rsid w:val="00AB4739"/>
    <w:rsid w:val="00AB47DC"/>
    <w:rsid w:val="00AB492B"/>
    <w:rsid w:val="00AB5052"/>
    <w:rsid w:val="00AB6A6C"/>
    <w:rsid w:val="00AB742D"/>
    <w:rsid w:val="00AC118A"/>
    <w:rsid w:val="00AC1FD8"/>
    <w:rsid w:val="00AC3EA3"/>
    <w:rsid w:val="00AC3F1D"/>
    <w:rsid w:val="00AC4761"/>
    <w:rsid w:val="00AC4911"/>
    <w:rsid w:val="00AC57DC"/>
    <w:rsid w:val="00AC6229"/>
    <w:rsid w:val="00AC64B8"/>
    <w:rsid w:val="00AC6815"/>
    <w:rsid w:val="00AC7C89"/>
    <w:rsid w:val="00AC7E23"/>
    <w:rsid w:val="00AD0BB5"/>
    <w:rsid w:val="00AD203B"/>
    <w:rsid w:val="00AD228C"/>
    <w:rsid w:val="00AD2634"/>
    <w:rsid w:val="00AD2A89"/>
    <w:rsid w:val="00AD3A5D"/>
    <w:rsid w:val="00AD4784"/>
    <w:rsid w:val="00AD4A91"/>
    <w:rsid w:val="00AD6076"/>
    <w:rsid w:val="00AD7EB0"/>
    <w:rsid w:val="00AD7F30"/>
    <w:rsid w:val="00AE0048"/>
    <w:rsid w:val="00AE0457"/>
    <w:rsid w:val="00AE1EBE"/>
    <w:rsid w:val="00AE274D"/>
    <w:rsid w:val="00AE42D0"/>
    <w:rsid w:val="00AE4383"/>
    <w:rsid w:val="00AE4BD6"/>
    <w:rsid w:val="00AE4D93"/>
    <w:rsid w:val="00AE51FD"/>
    <w:rsid w:val="00AE5B5D"/>
    <w:rsid w:val="00AE66B3"/>
    <w:rsid w:val="00AE68FC"/>
    <w:rsid w:val="00AE78BF"/>
    <w:rsid w:val="00AF03BB"/>
    <w:rsid w:val="00AF11BE"/>
    <w:rsid w:val="00AF1276"/>
    <w:rsid w:val="00AF1F91"/>
    <w:rsid w:val="00AF2EAF"/>
    <w:rsid w:val="00AF4165"/>
    <w:rsid w:val="00AF4206"/>
    <w:rsid w:val="00AF4816"/>
    <w:rsid w:val="00AF4A76"/>
    <w:rsid w:val="00AF4FE5"/>
    <w:rsid w:val="00AF7840"/>
    <w:rsid w:val="00B017E6"/>
    <w:rsid w:val="00B02B70"/>
    <w:rsid w:val="00B03269"/>
    <w:rsid w:val="00B04C06"/>
    <w:rsid w:val="00B0659E"/>
    <w:rsid w:val="00B06C4F"/>
    <w:rsid w:val="00B07359"/>
    <w:rsid w:val="00B10974"/>
    <w:rsid w:val="00B11A53"/>
    <w:rsid w:val="00B11D07"/>
    <w:rsid w:val="00B12425"/>
    <w:rsid w:val="00B12BB2"/>
    <w:rsid w:val="00B13BFF"/>
    <w:rsid w:val="00B13C04"/>
    <w:rsid w:val="00B14F2B"/>
    <w:rsid w:val="00B14FE7"/>
    <w:rsid w:val="00B16E33"/>
    <w:rsid w:val="00B16F67"/>
    <w:rsid w:val="00B178E3"/>
    <w:rsid w:val="00B21C08"/>
    <w:rsid w:val="00B2372D"/>
    <w:rsid w:val="00B23E44"/>
    <w:rsid w:val="00B23FE5"/>
    <w:rsid w:val="00B24C76"/>
    <w:rsid w:val="00B2512A"/>
    <w:rsid w:val="00B2554C"/>
    <w:rsid w:val="00B25D7D"/>
    <w:rsid w:val="00B2613F"/>
    <w:rsid w:val="00B26DEF"/>
    <w:rsid w:val="00B32A14"/>
    <w:rsid w:val="00B33380"/>
    <w:rsid w:val="00B33B1D"/>
    <w:rsid w:val="00B33D52"/>
    <w:rsid w:val="00B3406A"/>
    <w:rsid w:val="00B3594E"/>
    <w:rsid w:val="00B36978"/>
    <w:rsid w:val="00B37215"/>
    <w:rsid w:val="00B40AF3"/>
    <w:rsid w:val="00B40D25"/>
    <w:rsid w:val="00B426D6"/>
    <w:rsid w:val="00B4526F"/>
    <w:rsid w:val="00B45E45"/>
    <w:rsid w:val="00B469CA"/>
    <w:rsid w:val="00B46A48"/>
    <w:rsid w:val="00B46A81"/>
    <w:rsid w:val="00B46A8D"/>
    <w:rsid w:val="00B46AD9"/>
    <w:rsid w:val="00B47634"/>
    <w:rsid w:val="00B50E75"/>
    <w:rsid w:val="00B5163B"/>
    <w:rsid w:val="00B51994"/>
    <w:rsid w:val="00B51EAA"/>
    <w:rsid w:val="00B5221C"/>
    <w:rsid w:val="00B53ADD"/>
    <w:rsid w:val="00B53FB1"/>
    <w:rsid w:val="00B54B5A"/>
    <w:rsid w:val="00B5592B"/>
    <w:rsid w:val="00B563D8"/>
    <w:rsid w:val="00B5648B"/>
    <w:rsid w:val="00B57F77"/>
    <w:rsid w:val="00B60A91"/>
    <w:rsid w:val="00B612DF"/>
    <w:rsid w:val="00B61693"/>
    <w:rsid w:val="00B62332"/>
    <w:rsid w:val="00B626B2"/>
    <w:rsid w:val="00B62C27"/>
    <w:rsid w:val="00B62E3E"/>
    <w:rsid w:val="00B633CD"/>
    <w:rsid w:val="00B63576"/>
    <w:rsid w:val="00B6365F"/>
    <w:rsid w:val="00B643C8"/>
    <w:rsid w:val="00B64F69"/>
    <w:rsid w:val="00B66065"/>
    <w:rsid w:val="00B67428"/>
    <w:rsid w:val="00B67A78"/>
    <w:rsid w:val="00B70245"/>
    <w:rsid w:val="00B72B2F"/>
    <w:rsid w:val="00B73EA3"/>
    <w:rsid w:val="00B74C4F"/>
    <w:rsid w:val="00B74C6A"/>
    <w:rsid w:val="00B74D52"/>
    <w:rsid w:val="00B74DA6"/>
    <w:rsid w:val="00B760FC"/>
    <w:rsid w:val="00B76A11"/>
    <w:rsid w:val="00B76F11"/>
    <w:rsid w:val="00B77344"/>
    <w:rsid w:val="00B77431"/>
    <w:rsid w:val="00B77A58"/>
    <w:rsid w:val="00B77CB7"/>
    <w:rsid w:val="00B77E10"/>
    <w:rsid w:val="00B8055F"/>
    <w:rsid w:val="00B82121"/>
    <w:rsid w:val="00B8212C"/>
    <w:rsid w:val="00B84397"/>
    <w:rsid w:val="00B85D36"/>
    <w:rsid w:val="00B85FC9"/>
    <w:rsid w:val="00B86386"/>
    <w:rsid w:val="00B86E15"/>
    <w:rsid w:val="00B87120"/>
    <w:rsid w:val="00B8721B"/>
    <w:rsid w:val="00B8740F"/>
    <w:rsid w:val="00B9041B"/>
    <w:rsid w:val="00B90521"/>
    <w:rsid w:val="00B91E34"/>
    <w:rsid w:val="00B91FDE"/>
    <w:rsid w:val="00B92423"/>
    <w:rsid w:val="00B928C9"/>
    <w:rsid w:val="00B9474F"/>
    <w:rsid w:val="00B95D56"/>
    <w:rsid w:val="00B97084"/>
    <w:rsid w:val="00BA05A8"/>
    <w:rsid w:val="00BA0700"/>
    <w:rsid w:val="00BA103F"/>
    <w:rsid w:val="00BA2948"/>
    <w:rsid w:val="00BA3426"/>
    <w:rsid w:val="00BA471C"/>
    <w:rsid w:val="00BA511F"/>
    <w:rsid w:val="00BA7324"/>
    <w:rsid w:val="00BB15A5"/>
    <w:rsid w:val="00BB17B8"/>
    <w:rsid w:val="00BB1919"/>
    <w:rsid w:val="00BB25A3"/>
    <w:rsid w:val="00BB34CF"/>
    <w:rsid w:val="00BB3AAA"/>
    <w:rsid w:val="00BB414F"/>
    <w:rsid w:val="00BB4681"/>
    <w:rsid w:val="00BB5B4E"/>
    <w:rsid w:val="00BB5CE2"/>
    <w:rsid w:val="00BB6D4D"/>
    <w:rsid w:val="00BB74F1"/>
    <w:rsid w:val="00BC01DE"/>
    <w:rsid w:val="00BC0630"/>
    <w:rsid w:val="00BC1738"/>
    <w:rsid w:val="00BC1892"/>
    <w:rsid w:val="00BC1F1F"/>
    <w:rsid w:val="00BC2B8F"/>
    <w:rsid w:val="00BC31EE"/>
    <w:rsid w:val="00BC32FF"/>
    <w:rsid w:val="00BC498F"/>
    <w:rsid w:val="00BC660A"/>
    <w:rsid w:val="00BC7A9E"/>
    <w:rsid w:val="00BC7B08"/>
    <w:rsid w:val="00BD05AC"/>
    <w:rsid w:val="00BD083C"/>
    <w:rsid w:val="00BD2863"/>
    <w:rsid w:val="00BD29EE"/>
    <w:rsid w:val="00BD3368"/>
    <w:rsid w:val="00BD34D3"/>
    <w:rsid w:val="00BD43C9"/>
    <w:rsid w:val="00BD6429"/>
    <w:rsid w:val="00BD6463"/>
    <w:rsid w:val="00BD7BC6"/>
    <w:rsid w:val="00BE0036"/>
    <w:rsid w:val="00BE07C9"/>
    <w:rsid w:val="00BE150F"/>
    <w:rsid w:val="00BE1B28"/>
    <w:rsid w:val="00BE1BDF"/>
    <w:rsid w:val="00BE20EE"/>
    <w:rsid w:val="00BE2CC8"/>
    <w:rsid w:val="00BE4815"/>
    <w:rsid w:val="00BE595A"/>
    <w:rsid w:val="00BE59C3"/>
    <w:rsid w:val="00BE70D8"/>
    <w:rsid w:val="00BE7C8D"/>
    <w:rsid w:val="00BF0349"/>
    <w:rsid w:val="00BF082D"/>
    <w:rsid w:val="00BF1A6F"/>
    <w:rsid w:val="00BF4EFC"/>
    <w:rsid w:val="00BF54BD"/>
    <w:rsid w:val="00C0039B"/>
    <w:rsid w:val="00C00804"/>
    <w:rsid w:val="00C0119D"/>
    <w:rsid w:val="00C01E5D"/>
    <w:rsid w:val="00C02DEC"/>
    <w:rsid w:val="00C02F93"/>
    <w:rsid w:val="00C043DE"/>
    <w:rsid w:val="00C04697"/>
    <w:rsid w:val="00C04C29"/>
    <w:rsid w:val="00C05C4E"/>
    <w:rsid w:val="00C05FCF"/>
    <w:rsid w:val="00C06A44"/>
    <w:rsid w:val="00C0737F"/>
    <w:rsid w:val="00C07C97"/>
    <w:rsid w:val="00C11502"/>
    <w:rsid w:val="00C150F3"/>
    <w:rsid w:val="00C15D3E"/>
    <w:rsid w:val="00C217BF"/>
    <w:rsid w:val="00C2200D"/>
    <w:rsid w:val="00C223AD"/>
    <w:rsid w:val="00C22657"/>
    <w:rsid w:val="00C22BD2"/>
    <w:rsid w:val="00C22D0D"/>
    <w:rsid w:val="00C230EE"/>
    <w:rsid w:val="00C242E5"/>
    <w:rsid w:val="00C258DF"/>
    <w:rsid w:val="00C25A89"/>
    <w:rsid w:val="00C25CC6"/>
    <w:rsid w:val="00C264CC"/>
    <w:rsid w:val="00C30E78"/>
    <w:rsid w:val="00C36609"/>
    <w:rsid w:val="00C369B4"/>
    <w:rsid w:val="00C400DA"/>
    <w:rsid w:val="00C40336"/>
    <w:rsid w:val="00C40B5B"/>
    <w:rsid w:val="00C40E28"/>
    <w:rsid w:val="00C41164"/>
    <w:rsid w:val="00C42127"/>
    <w:rsid w:val="00C426A6"/>
    <w:rsid w:val="00C43D74"/>
    <w:rsid w:val="00C44094"/>
    <w:rsid w:val="00C44502"/>
    <w:rsid w:val="00C44989"/>
    <w:rsid w:val="00C44D0E"/>
    <w:rsid w:val="00C44FA1"/>
    <w:rsid w:val="00C450FB"/>
    <w:rsid w:val="00C47127"/>
    <w:rsid w:val="00C47327"/>
    <w:rsid w:val="00C47D3D"/>
    <w:rsid w:val="00C503CA"/>
    <w:rsid w:val="00C50DB2"/>
    <w:rsid w:val="00C50DDA"/>
    <w:rsid w:val="00C52BF5"/>
    <w:rsid w:val="00C52C1A"/>
    <w:rsid w:val="00C53682"/>
    <w:rsid w:val="00C57AB1"/>
    <w:rsid w:val="00C60551"/>
    <w:rsid w:val="00C6150F"/>
    <w:rsid w:val="00C62223"/>
    <w:rsid w:val="00C626F2"/>
    <w:rsid w:val="00C6348F"/>
    <w:rsid w:val="00C63A65"/>
    <w:rsid w:val="00C63B40"/>
    <w:rsid w:val="00C63F97"/>
    <w:rsid w:val="00C652A3"/>
    <w:rsid w:val="00C67685"/>
    <w:rsid w:val="00C67F8A"/>
    <w:rsid w:val="00C67FEA"/>
    <w:rsid w:val="00C70584"/>
    <w:rsid w:val="00C70620"/>
    <w:rsid w:val="00C70DA7"/>
    <w:rsid w:val="00C70F09"/>
    <w:rsid w:val="00C721C3"/>
    <w:rsid w:val="00C739AA"/>
    <w:rsid w:val="00C73B9D"/>
    <w:rsid w:val="00C73F8B"/>
    <w:rsid w:val="00C75284"/>
    <w:rsid w:val="00C75B95"/>
    <w:rsid w:val="00C76194"/>
    <w:rsid w:val="00C80383"/>
    <w:rsid w:val="00C81044"/>
    <w:rsid w:val="00C81272"/>
    <w:rsid w:val="00C8137E"/>
    <w:rsid w:val="00C8163B"/>
    <w:rsid w:val="00C818BD"/>
    <w:rsid w:val="00C82F99"/>
    <w:rsid w:val="00C830B7"/>
    <w:rsid w:val="00C837CA"/>
    <w:rsid w:val="00C83B72"/>
    <w:rsid w:val="00C84D25"/>
    <w:rsid w:val="00C850FB"/>
    <w:rsid w:val="00C856E9"/>
    <w:rsid w:val="00C8684E"/>
    <w:rsid w:val="00C86A4A"/>
    <w:rsid w:val="00C90B4D"/>
    <w:rsid w:val="00C91E03"/>
    <w:rsid w:val="00C92A23"/>
    <w:rsid w:val="00C92DEC"/>
    <w:rsid w:val="00C93B3A"/>
    <w:rsid w:val="00C93C8A"/>
    <w:rsid w:val="00C93EDC"/>
    <w:rsid w:val="00C9443C"/>
    <w:rsid w:val="00C944FA"/>
    <w:rsid w:val="00C9492F"/>
    <w:rsid w:val="00C95061"/>
    <w:rsid w:val="00C96051"/>
    <w:rsid w:val="00C9672B"/>
    <w:rsid w:val="00C97212"/>
    <w:rsid w:val="00C979E5"/>
    <w:rsid w:val="00CA267F"/>
    <w:rsid w:val="00CA36D0"/>
    <w:rsid w:val="00CA3D6D"/>
    <w:rsid w:val="00CA4975"/>
    <w:rsid w:val="00CA5BB3"/>
    <w:rsid w:val="00CA5CFF"/>
    <w:rsid w:val="00CA5FDE"/>
    <w:rsid w:val="00CA7ACA"/>
    <w:rsid w:val="00CB0867"/>
    <w:rsid w:val="00CB0CB7"/>
    <w:rsid w:val="00CB0EEF"/>
    <w:rsid w:val="00CB1446"/>
    <w:rsid w:val="00CB1A2A"/>
    <w:rsid w:val="00CB204F"/>
    <w:rsid w:val="00CB2220"/>
    <w:rsid w:val="00CB24B5"/>
    <w:rsid w:val="00CB263E"/>
    <w:rsid w:val="00CB2C6F"/>
    <w:rsid w:val="00CB2F57"/>
    <w:rsid w:val="00CB44E4"/>
    <w:rsid w:val="00CB4ED4"/>
    <w:rsid w:val="00CB5B25"/>
    <w:rsid w:val="00CB668F"/>
    <w:rsid w:val="00CB6E7A"/>
    <w:rsid w:val="00CB7689"/>
    <w:rsid w:val="00CC5EE3"/>
    <w:rsid w:val="00CC6817"/>
    <w:rsid w:val="00CC68A9"/>
    <w:rsid w:val="00CC6E60"/>
    <w:rsid w:val="00CC7D2B"/>
    <w:rsid w:val="00CD0932"/>
    <w:rsid w:val="00CD0B75"/>
    <w:rsid w:val="00CD19A8"/>
    <w:rsid w:val="00CD1E46"/>
    <w:rsid w:val="00CD2B05"/>
    <w:rsid w:val="00CD33CA"/>
    <w:rsid w:val="00CD360A"/>
    <w:rsid w:val="00CD3D01"/>
    <w:rsid w:val="00CD532E"/>
    <w:rsid w:val="00CD5561"/>
    <w:rsid w:val="00CD5794"/>
    <w:rsid w:val="00CD6816"/>
    <w:rsid w:val="00CD6C20"/>
    <w:rsid w:val="00CD702B"/>
    <w:rsid w:val="00CE0B02"/>
    <w:rsid w:val="00CE1921"/>
    <w:rsid w:val="00CE1E7B"/>
    <w:rsid w:val="00CE21A2"/>
    <w:rsid w:val="00CE230A"/>
    <w:rsid w:val="00CE287D"/>
    <w:rsid w:val="00CE38EF"/>
    <w:rsid w:val="00CE3BA4"/>
    <w:rsid w:val="00CE3D17"/>
    <w:rsid w:val="00CE455F"/>
    <w:rsid w:val="00CE4600"/>
    <w:rsid w:val="00CE478D"/>
    <w:rsid w:val="00CE53E7"/>
    <w:rsid w:val="00CE699B"/>
    <w:rsid w:val="00CE70BC"/>
    <w:rsid w:val="00CE7ED3"/>
    <w:rsid w:val="00CF0762"/>
    <w:rsid w:val="00CF0E09"/>
    <w:rsid w:val="00CF4A02"/>
    <w:rsid w:val="00CF4B30"/>
    <w:rsid w:val="00CF4D58"/>
    <w:rsid w:val="00CF535E"/>
    <w:rsid w:val="00CF6B57"/>
    <w:rsid w:val="00D0032E"/>
    <w:rsid w:val="00D02106"/>
    <w:rsid w:val="00D0413C"/>
    <w:rsid w:val="00D042D5"/>
    <w:rsid w:val="00D048F6"/>
    <w:rsid w:val="00D04ABE"/>
    <w:rsid w:val="00D05847"/>
    <w:rsid w:val="00D06F0C"/>
    <w:rsid w:val="00D078D0"/>
    <w:rsid w:val="00D102CA"/>
    <w:rsid w:val="00D1058F"/>
    <w:rsid w:val="00D117EF"/>
    <w:rsid w:val="00D12D94"/>
    <w:rsid w:val="00D12FB9"/>
    <w:rsid w:val="00D13F24"/>
    <w:rsid w:val="00D14929"/>
    <w:rsid w:val="00D15052"/>
    <w:rsid w:val="00D200FD"/>
    <w:rsid w:val="00D222BA"/>
    <w:rsid w:val="00D22F4E"/>
    <w:rsid w:val="00D23A59"/>
    <w:rsid w:val="00D240F7"/>
    <w:rsid w:val="00D2421D"/>
    <w:rsid w:val="00D247D2"/>
    <w:rsid w:val="00D24888"/>
    <w:rsid w:val="00D250CA"/>
    <w:rsid w:val="00D268AE"/>
    <w:rsid w:val="00D26900"/>
    <w:rsid w:val="00D26C46"/>
    <w:rsid w:val="00D2709B"/>
    <w:rsid w:val="00D27772"/>
    <w:rsid w:val="00D304DB"/>
    <w:rsid w:val="00D30E1C"/>
    <w:rsid w:val="00D312A0"/>
    <w:rsid w:val="00D314BA"/>
    <w:rsid w:val="00D3155F"/>
    <w:rsid w:val="00D31C59"/>
    <w:rsid w:val="00D327CB"/>
    <w:rsid w:val="00D32BCD"/>
    <w:rsid w:val="00D346E6"/>
    <w:rsid w:val="00D355C5"/>
    <w:rsid w:val="00D36A75"/>
    <w:rsid w:val="00D36C50"/>
    <w:rsid w:val="00D3740E"/>
    <w:rsid w:val="00D4059E"/>
    <w:rsid w:val="00D40B11"/>
    <w:rsid w:val="00D4150A"/>
    <w:rsid w:val="00D41752"/>
    <w:rsid w:val="00D4191E"/>
    <w:rsid w:val="00D431F3"/>
    <w:rsid w:val="00D44D3F"/>
    <w:rsid w:val="00D4551B"/>
    <w:rsid w:val="00D463F4"/>
    <w:rsid w:val="00D47BC2"/>
    <w:rsid w:val="00D50421"/>
    <w:rsid w:val="00D504F0"/>
    <w:rsid w:val="00D50E8B"/>
    <w:rsid w:val="00D5121E"/>
    <w:rsid w:val="00D519E8"/>
    <w:rsid w:val="00D51AA4"/>
    <w:rsid w:val="00D521BA"/>
    <w:rsid w:val="00D52582"/>
    <w:rsid w:val="00D52EB6"/>
    <w:rsid w:val="00D53FD4"/>
    <w:rsid w:val="00D54985"/>
    <w:rsid w:val="00D55C0F"/>
    <w:rsid w:val="00D56A2C"/>
    <w:rsid w:val="00D56AC2"/>
    <w:rsid w:val="00D56D90"/>
    <w:rsid w:val="00D608C0"/>
    <w:rsid w:val="00D60E4D"/>
    <w:rsid w:val="00D610B6"/>
    <w:rsid w:val="00D61DEF"/>
    <w:rsid w:val="00D62AA4"/>
    <w:rsid w:val="00D6450C"/>
    <w:rsid w:val="00D648AC"/>
    <w:rsid w:val="00D65BD9"/>
    <w:rsid w:val="00D66538"/>
    <w:rsid w:val="00D66CFE"/>
    <w:rsid w:val="00D6764D"/>
    <w:rsid w:val="00D70022"/>
    <w:rsid w:val="00D70514"/>
    <w:rsid w:val="00D7103B"/>
    <w:rsid w:val="00D71063"/>
    <w:rsid w:val="00D72752"/>
    <w:rsid w:val="00D72F51"/>
    <w:rsid w:val="00D752BD"/>
    <w:rsid w:val="00D758F3"/>
    <w:rsid w:val="00D76A16"/>
    <w:rsid w:val="00D80322"/>
    <w:rsid w:val="00D80E93"/>
    <w:rsid w:val="00D8191A"/>
    <w:rsid w:val="00D81A42"/>
    <w:rsid w:val="00D82753"/>
    <w:rsid w:val="00D8349C"/>
    <w:rsid w:val="00D8368B"/>
    <w:rsid w:val="00D8372C"/>
    <w:rsid w:val="00D83857"/>
    <w:rsid w:val="00D83FE7"/>
    <w:rsid w:val="00D84318"/>
    <w:rsid w:val="00D85287"/>
    <w:rsid w:val="00D87C13"/>
    <w:rsid w:val="00D87F67"/>
    <w:rsid w:val="00D90139"/>
    <w:rsid w:val="00D908F0"/>
    <w:rsid w:val="00D90ADD"/>
    <w:rsid w:val="00D91254"/>
    <w:rsid w:val="00D91AE3"/>
    <w:rsid w:val="00D92469"/>
    <w:rsid w:val="00D92721"/>
    <w:rsid w:val="00D93205"/>
    <w:rsid w:val="00D93CC2"/>
    <w:rsid w:val="00D96CE0"/>
    <w:rsid w:val="00D96E6F"/>
    <w:rsid w:val="00DA061A"/>
    <w:rsid w:val="00DA0E0E"/>
    <w:rsid w:val="00DA192F"/>
    <w:rsid w:val="00DA2E47"/>
    <w:rsid w:val="00DA5D44"/>
    <w:rsid w:val="00DA5E2C"/>
    <w:rsid w:val="00DA7A3E"/>
    <w:rsid w:val="00DA7B9F"/>
    <w:rsid w:val="00DA7CEF"/>
    <w:rsid w:val="00DB0166"/>
    <w:rsid w:val="00DB1193"/>
    <w:rsid w:val="00DB1229"/>
    <w:rsid w:val="00DB1CA4"/>
    <w:rsid w:val="00DB1D6A"/>
    <w:rsid w:val="00DB2121"/>
    <w:rsid w:val="00DB2665"/>
    <w:rsid w:val="00DB2EE6"/>
    <w:rsid w:val="00DB3A19"/>
    <w:rsid w:val="00DB49E1"/>
    <w:rsid w:val="00DB54AB"/>
    <w:rsid w:val="00DB57AB"/>
    <w:rsid w:val="00DB69E3"/>
    <w:rsid w:val="00DC0279"/>
    <w:rsid w:val="00DC0BB7"/>
    <w:rsid w:val="00DC0D89"/>
    <w:rsid w:val="00DC1BB7"/>
    <w:rsid w:val="00DC319D"/>
    <w:rsid w:val="00DC47D9"/>
    <w:rsid w:val="00DC5321"/>
    <w:rsid w:val="00DC5644"/>
    <w:rsid w:val="00DC6A6B"/>
    <w:rsid w:val="00DC6CCF"/>
    <w:rsid w:val="00DC6F6C"/>
    <w:rsid w:val="00DC6FF3"/>
    <w:rsid w:val="00DC7A5B"/>
    <w:rsid w:val="00DD0CE2"/>
    <w:rsid w:val="00DD39EA"/>
    <w:rsid w:val="00DD4F77"/>
    <w:rsid w:val="00DD50D5"/>
    <w:rsid w:val="00DD52E7"/>
    <w:rsid w:val="00DD57E7"/>
    <w:rsid w:val="00DD6205"/>
    <w:rsid w:val="00DD7B64"/>
    <w:rsid w:val="00DE6570"/>
    <w:rsid w:val="00DE7493"/>
    <w:rsid w:val="00DE768F"/>
    <w:rsid w:val="00DE7807"/>
    <w:rsid w:val="00DE7902"/>
    <w:rsid w:val="00DE7CFA"/>
    <w:rsid w:val="00DE7D89"/>
    <w:rsid w:val="00DF0470"/>
    <w:rsid w:val="00DF334B"/>
    <w:rsid w:val="00DF475E"/>
    <w:rsid w:val="00DF5C48"/>
    <w:rsid w:val="00DF64D5"/>
    <w:rsid w:val="00E00851"/>
    <w:rsid w:val="00E00858"/>
    <w:rsid w:val="00E012B9"/>
    <w:rsid w:val="00E01507"/>
    <w:rsid w:val="00E02D73"/>
    <w:rsid w:val="00E03590"/>
    <w:rsid w:val="00E03A35"/>
    <w:rsid w:val="00E03F09"/>
    <w:rsid w:val="00E04719"/>
    <w:rsid w:val="00E100C5"/>
    <w:rsid w:val="00E10485"/>
    <w:rsid w:val="00E111EB"/>
    <w:rsid w:val="00E114C4"/>
    <w:rsid w:val="00E125DB"/>
    <w:rsid w:val="00E12B37"/>
    <w:rsid w:val="00E16A3C"/>
    <w:rsid w:val="00E16D5E"/>
    <w:rsid w:val="00E176D2"/>
    <w:rsid w:val="00E17C19"/>
    <w:rsid w:val="00E17F8F"/>
    <w:rsid w:val="00E2094D"/>
    <w:rsid w:val="00E20C21"/>
    <w:rsid w:val="00E21AA5"/>
    <w:rsid w:val="00E21C50"/>
    <w:rsid w:val="00E22803"/>
    <w:rsid w:val="00E23060"/>
    <w:rsid w:val="00E233CB"/>
    <w:rsid w:val="00E23AA8"/>
    <w:rsid w:val="00E23CB1"/>
    <w:rsid w:val="00E23EB3"/>
    <w:rsid w:val="00E241BE"/>
    <w:rsid w:val="00E2522E"/>
    <w:rsid w:val="00E26EC5"/>
    <w:rsid w:val="00E27D52"/>
    <w:rsid w:val="00E30AE1"/>
    <w:rsid w:val="00E30CF4"/>
    <w:rsid w:val="00E30F6B"/>
    <w:rsid w:val="00E316AE"/>
    <w:rsid w:val="00E31798"/>
    <w:rsid w:val="00E31C36"/>
    <w:rsid w:val="00E31D29"/>
    <w:rsid w:val="00E31EF0"/>
    <w:rsid w:val="00E3255E"/>
    <w:rsid w:val="00E32AD4"/>
    <w:rsid w:val="00E3332D"/>
    <w:rsid w:val="00E341F9"/>
    <w:rsid w:val="00E34753"/>
    <w:rsid w:val="00E34E07"/>
    <w:rsid w:val="00E355FC"/>
    <w:rsid w:val="00E357CA"/>
    <w:rsid w:val="00E35D32"/>
    <w:rsid w:val="00E36AD1"/>
    <w:rsid w:val="00E36CC1"/>
    <w:rsid w:val="00E3756E"/>
    <w:rsid w:val="00E37CEB"/>
    <w:rsid w:val="00E400D3"/>
    <w:rsid w:val="00E40172"/>
    <w:rsid w:val="00E43C05"/>
    <w:rsid w:val="00E441C1"/>
    <w:rsid w:val="00E4612E"/>
    <w:rsid w:val="00E4735B"/>
    <w:rsid w:val="00E50333"/>
    <w:rsid w:val="00E503C2"/>
    <w:rsid w:val="00E50BF6"/>
    <w:rsid w:val="00E51A1B"/>
    <w:rsid w:val="00E528E7"/>
    <w:rsid w:val="00E53583"/>
    <w:rsid w:val="00E53957"/>
    <w:rsid w:val="00E54170"/>
    <w:rsid w:val="00E554CB"/>
    <w:rsid w:val="00E5561E"/>
    <w:rsid w:val="00E56514"/>
    <w:rsid w:val="00E571F1"/>
    <w:rsid w:val="00E57DA4"/>
    <w:rsid w:val="00E60F9F"/>
    <w:rsid w:val="00E617B8"/>
    <w:rsid w:val="00E619A6"/>
    <w:rsid w:val="00E61B57"/>
    <w:rsid w:val="00E635A9"/>
    <w:rsid w:val="00E6384E"/>
    <w:rsid w:val="00E646BD"/>
    <w:rsid w:val="00E64A47"/>
    <w:rsid w:val="00E64DDF"/>
    <w:rsid w:val="00E65360"/>
    <w:rsid w:val="00E65AF2"/>
    <w:rsid w:val="00E662EA"/>
    <w:rsid w:val="00E667E0"/>
    <w:rsid w:val="00E66822"/>
    <w:rsid w:val="00E678D6"/>
    <w:rsid w:val="00E67DF2"/>
    <w:rsid w:val="00E70D5E"/>
    <w:rsid w:val="00E717EA"/>
    <w:rsid w:val="00E71B70"/>
    <w:rsid w:val="00E71C7A"/>
    <w:rsid w:val="00E7224F"/>
    <w:rsid w:val="00E72DEF"/>
    <w:rsid w:val="00E734A6"/>
    <w:rsid w:val="00E736F6"/>
    <w:rsid w:val="00E73945"/>
    <w:rsid w:val="00E7446E"/>
    <w:rsid w:val="00E747BE"/>
    <w:rsid w:val="00E74C0E"/>
    <w:rsid w:val="00E74E92"/>
    <w:rsid w:val="00E76553"/>
    <w:rsid w:val="00E76F91"/>
    <w:rsid w:val="00E77260"/>
    <w:rsid w:val="00E7746E"/>
    <w:rsid w:val="00E81481"/>
    <w:rsid w:val="00E82781"/>
    <w:rsid w:val="00E83C7F"/>
    <w:rsid w:val="00E84AFA"/>
    <w:rsid w:val="00E85267"/>
    <w:rsid w:val="00E852F4"/>
    <w:rsid w:val="00E863F0"/>
    <w:rsid w:val="00E86A13"/>
    <w:rsid w:val="00E9243F"/>
    <w:rsid w:val="00E924BB"/>
    <w:rsid w:val="00E92936"/>
    <w:rsid w:val="00E92BD2"/>
    <w:rsid w:val="00E93083"/>
    <w:rsid w:val="00E933B6"/>
    <w:rsid w:val="00E938AF"/>
    <w:rsid w:val="00E9509D"/>
    <w:rsid w:val="00E950E7"/>
    <w:rsid w:val="00E95CBB"/>
    <w:rsid w:val="00E95F60"/>
    <w:rsid w:val="00EA15D2"/>
    <w:rsid w:val="00EA2C9B"/>
    <w:rsid w:val="00EA303B"/>
    <w:rsid w:val="00EA4500"/>
    <w:rsid w:val="00EA45FB"/>
    <w:rsid w:val="00EA6CC7"/>
    <w:rsid w:val="00EA706C"/>
    <w:rsid w:val="00EA7A33"/>
    <w:rsid w:val="00EB0D02"/>
    <w:rsid w:val="00EB1D2B"/>
    <w:rsid w:val="00EB298F"/>
    <w:rsid w:val="00EB29E8"/>
    <w:rsid w:val="00EB52D3"/>
    <w:rsid w:val="00EB59DE"/>
    <w:rsid w:val="00EB6908"/>
    <w:rsid w:val="00EB6BF3"/>
    <w:rsid w:val="00EB71FB"/>
    <w:rsid w:val="00EB7254"/>
    <w:rsid w:val="00EC2C94"/>
    <w:rsid w:val="00EC3F41"/>
    <w:rsid w:val="00EC541B"/>
    <w:rsid w:val="00EC63E6"/>
    <w:rsid w:val="00EC66E6"/>
    <w:rsid w:val="00EC6D7A"/>
    <w:rsid w:val="00EC7044"/>
    <w:rsid w:val="00EC74F9"/>
    <w:rsid w:val="00ED01AF"/>
    <w:rsid w:val="00ED058E"/>
    <w:rsid w:val="00ED187F"/>
    <w:rsid w:val="00ED29E2"/>
    <w:rsid w:val="00ED37C7"/>
    <w:rsid w:val="00ED3C7D"/>
    <w:rsid w:val="00ED479B"/>
    <w:rsid w:val="00ED549F"/>
    <w:rsid w:val="00ED553F"/>
    <w:rsid w:val="00ED638D"/>
    <w:rsid w:val="00ED68D5"/>
    <w:rsid w:val="00EE0658"/>
    <w:rsid w:val="00EE269D"/>
    <w:rsid w:val="00EE314C"/>
    <w:rsid w:val="00EE3254"/>
    <w:rsid w:val="00EE3DB0"/>
    <w:rsid w:val="00EE41F3"/>
    <w:rsid w:val="00EE6426"/>
    <w:rsid w:val="00EF0142"/>
    <w:rsid w:val="00EF033E"/>
    <w:rsid w:val="00EF11C2"/>
    <w:rsid w:val="00EF40DB"/>
    <w:rsid w:val="00EF4441"/>
    <w:rsid w:val="00EF446E"/>
    <w:rsid w:val="00EF49F1"/>
    <w:rsid w:val="00EF4A72"/>
    <w:rsid w:val="00EF763F"/>
    <w:rsid w:val="00EF776F"/>
    <w:rsid w:val="00F01BF9"/>
    <w:rsid w:val="00F02EF7"/>
    <w:rsid w:val="00F048FF"/>
    <w:rsid w:val="00F055EC"/>
    <w:rsid w:val="00F07DEE"/>
    <w:rsid w:val="00F106BE"/>
    <w:rsid w:val="00F10797"/>
    <w:rsid w:val="00F1140F"/>
    <w:rsid w:val="00F1250A"/>
    <w:rsid w:val="00F132B2"/>
    <w:rsid w:val="00F1362F"/>
    <w:rsid w:val="00F13D68"/>
    <w:rsid w:val="00F13E74"/>
    <w:rsid w:val="00F146DD"/>
    <w:rsid w:val="00F151CB"/>
    <w:rsid w:val="00F15A0C"/>
    <w:rsid w:val="00F16518"/>
    <w:rsid w:val="00F2021D"/>
    <w:rsid w:val="00F208FE"/>
    <w:rsid w:val="00F22282"/>
    <w:rsid w:val="00F22F8D"/>
    <w:rsid w:val="00F234BE"/>
    <w:rsid w:val="00F23AC8"/>
    <w:rsid w:val="00F264E4"/>
    <w:rsid w:val="00F31D6B"/>
    <w:rsid w:val="00F3289F"/>
    <w:rsid w:val="00F32FB0"/>
    <w:rsid w:val="00F341FB"/>
    <w:rsid w:val="00F35156"/>
    <w:rsid w:val="00F35C03"/>
    <w:rsid w:val="00F364EF"/>
    <w:rsid w:val="00F36A3A"/>
    <w:rsid w:val="00F36C06"/>
    <w:rsid w:val="00F36CC4"/>
    <w:rsid w:val="00F37629"/>
    <w:rsid w:val="00F4148A"/>
    <w:rsid w:val="00F4504B"/>
    <w:rsid w:val="00F45877"/>
    <w:rsid w:val="00F463C7"/>
    <w:rsid w:val="00F500A7"/>
    <w:rsid w:val="00F5058C"/>
    <w:rsid w:val="00F505AB"/>
    <w:rsid w:val="00F50F53"/>
    <w:rsid w:val="00F51140"/>
    <w:rsid w:val="00F52266"/>
    <w:rsid w:val="00F52746"/>
    <w:rsid w:val="00F5300E"/>
    <w:rsid w:val="00F531B9"/>
    <w:rsid w:val="00F53393"/>
    <w:rsid w:val="00F537AE"/>
    <w:rsid w:val="00F54067"/>
    <w:rsid w:val="00F540B5"/>
    <w:rsid w:val="00F55716"/>
    <w:rsid w:val="00F56917"/>
    <w:rsid w:val="00F569BF"/>
    <w:rsid w:val="00F56F6A"/>
    <w:rsid w:val="00F57060"/>
    <w:rsid w:val="00F57A78"/>
    <w:rsid w:val="00F57E51"/>
    <w:rsid w:val="00F61199"/>
    <w:rsid w:val="00F61A41"/>
    <w:rsid w:val="00F61A76"/>
    <w:rsid w:val="00F61C0A"/>
    <w:rsid w:val="00F61D1A"/>
    <w:rsid w:val="00F61E1D"/>
    <w:rsid w:val="00F64430"/>
    <w:rsid w:val="00F65479"/>
    <w:rsid w:val="00F65D46"/>
    <w:rsid w:val="00F65D66"/>
    <w:rsid w:val="00F66705"/>
    <w:rsid w:val="00F6782B"/>
    <w:rsid w:val="00F67835"/>
    <w:rsid w:val="00F70000"/>
    <w:rsid w:val="00F70DEC"/>
    <w:rsid w:val="00F72CE1"/>
    <w:rsid w:val="00F72F42"/>
    <w:rsid w:val="00F752A6"/>
    <w:rsid w:val="00F75311"/>
    <w:rsid w:val="00F76BC9"/>
    <w:rsid w:val="00F770BF"/>
    <w:rsid w:val="00F772FD"/>
    <w:rsid w:val="00F80105"/>
    <w:rsid w:val="00F810E9"/>
    <w:rsid w:val="00F8182F"/>
    <w:rsid w:val="00F82AB2"/>
    <w:rsid w:val="00F830F3"/>
    <w:rsid w:val="00F84AA8"/>
    <w:rsid w:val="00F84D5F"/>
    <w:rsid w:val="00F8534B"/>
    <w:rsid w:val="00F855E2"/>
    <w:rsid w:val="00F8568A"/>
    <w:rsid w:val="00F85E10"/>
    <w:rsid w:val="00F85FC6"/>
    <w:rsid w:val="00F91D6B"/>
    <w:rsid w:val="00F949E2"/>
    <w:rsid w:val="00F96E45"/>
    <w:rsid w:val="00F972F7"/>
    <w:rsid w:val="00FA0104"/>
    <w:rsid w:val="00FA060E"/>
    <w:rsid w:val="00FA1100"/>
    <w:rsid w:val="00FA1351"/>
    <w:rsid w:val="00FA15BE"/>
    <w:rsid w:val="00FA1662"/>
    <w:rsid w:val="00FA1C65"/>
    <w:rsid w:val="00FA243F"/>
    <w:rsid w:val="00FA40B3"/>
    <w:rsid w:val="00FA4423"/>
    <w:rsid w:val="00FA4E8F"/>
    <w:rsid w:val="00FA5028"/>
    <w:rsid w:val="00FA577B"/>
    <w:rsid w:val="00FA5D10"/>
    <w:rsid w:val="00FA5DEF"/>
    <w:rsid w:val="00FA6FFB"/>
    <w:rsid w:val="00FB0A3D"/>
    <w:rsid w:val="00FB1C5F"/>
    <w:rsid w:val="00FB2343"/>
    <w:rsid w:val="00FB23A4"/>
    <w:rsid w:val="00FB3EAA"/>
    <w:rsid w:val="00FB7C1C"/>
    <w:rsid w:val="00FC0406"/>
    <w:rsid w:val="00FC373B"/>
    <w:rsid w:val="00FC3902"/>
    <w:rsid w:val="00FC3CD3"/>
    <w:rsid w:val="00FC4251"/>
    <w:rsid w:val="00FC465B"/>
    <w:rsid w:val="00FC576A"/>
    <w:rsid w:val="00FC62A5"/>
    <w:rsid w:val="00FC63D5"/>
    <w:rsid w:val="00FC66E3"/>
    <w:rsid w:val="00FC70E6"/>
    <w:rsid w:val="00FC742C"/>
    <w:rsid w:val="00FC7E64"/>
    <w:rsid w:val="00FD07E0"/>
    <w:rsid w:val="00FD0CFE"/>
    <w:rsid w:val="00FD113F"/>
    <w:rsid w:val="00FD19AA"/>
    <w:rsid w:val="00FD1CBD"/>
    <w:rsid w:val="00FD2025"/>
    <w:rsid w:val="00FD29E8"/>
    <w:rsid w:val="00FD2AE8"/>
    <w:rsid w:val="00FD3EB4"/>
    <w:rsid w:val="00FD4393"/>
    <w:rsid w:val="00FD4681"/>
    <w:rsid w:val="00FD59EE"/>
    <w:rsid w:val="00FD6BF0"/>
    <w:rsid w:val="00FD7C31"/>
    <w:rsid w:val="00FE3109"/>
    <w:rsid w:val="00FE39F0"/>
    <w:rsid w:val="00FE74E6"/>
    <w:rsid w:val="00FF13CF"/>
    <w:rsid w:val="00FF1D9A"/>
    <w:rsid w:val="00FF2726"/>
    <w:rsid w:val="00FF350D"/>
    <w:rsid w:val="00FF4535"/>
    <w:rsid w:val="00FF4DE9"/>
    <w:rsid w:val="00FF5371"/>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3489">
      <o:colormru v:ext="edit" colors="#ccecff"/>
    </o:shapedefaults>
    <o:shapelayout v:ext="edit">
      <o:idmap v:ext="edit" data="1"/>
    </o:shapelayout>
  </w:shapeDefaults>
  <w:decimalSymbol w:val=","/>
  <w:listSeparator w:val=";"/>
  <w15:chartTrackingRefBased/>
  <w15:docId w15:val="{4DF52DFB-7481-463A-8794-157455A15A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hu-HU" w:eastAsia="hu-H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
    <w:name w:val="Normal"/>
    <w:qFormat/>
    <w:pPr>
      <w:jc w:val="both"/>
    </w:pPr>
    <w:rPr>
      <w:sz w:val="24"/>
    </w:rPr>
  </w:style>
  <w:style w:type="paragraph" w:styleId="Cmsor1">
    <w:name w:val="heading 1"/>
    <w:basedOn w:val="Norml"/>
    <w:next w:val="Norml"/>
    <w:qFormat/>
    <w:pPr>
      <w:keepNext/>
      <w:tabs>
        <w:tab w:val="center" w:pos="3544"/>
        <w:tab w:val="right" w:pos="5245"/>
        <w:tab w:val="right" w:pos="6663"/>
        <w:tab w:val="right" w:pos="8222"/>
      </w:tabs>
      <w:outlineLvl w:val="0"/>
    </w:pPr>
    <w:rPr>
      <w:rFonts w:ascii="Comic Sans MS" w:hAnsi="Comic Sans MS"/>
      <w:b/>
      <w:bCs/>
      <w:iCs/>
      <w:smallCaps/>
      <w:color w:val="0000FF"/>
    </w:rPr>
  </w:style>
  <w:style w:type="paragraph" w:styleId="Cmsor2">
    <w:name w:val="heading 2"/>
    <w:basedOn w:val="Norml"/>
    <w:next w:val="Norml"/>
    <w:qFormat/>
    <w:pPr>
      <w:keepNext/>
      <w:outlineLvl w:val="1"/>
    </w:pPr>
    <w:rPr>
      <w:rFonts w:ascii="Comic Sans MS" w:hAnsi="Comic Sans MS"/>
      <w:b/>
      <w:bCs/>
      <w:i/>
      <w:iCs/>
      <w:color w:val="0000FF"/>
      <w:sz w:val="23"/>
    </w:rPr>
  </w:style>
  <w:style w:type="paragraph" w:styleId="Cmsor3">
    <w:name w:val="heading 3"/>
    <w:basedOn w:val="Norml"/>
    <w:next w:val="Norml"/>
    <w:qFormat/>
    <w:pPr>
      <w:keepNext/>
      <w:tabs>
        <w:tab w:val="left" w:pos="5103"/>
      </w:tabs>
      <w:outlineLvl w:val="2"/>
    </w:pPr>
  </w:style>
  <w:style w:type="paragraph" w:styleId="Cmsor4">
    <w:name w:val="heading 4"/>
    <w:basedOn w:val="Norml"/>
    <w:next w:val="Norml"/>
    <w:qFormat/>
    <w:pPr>
      <w:keepNext/>
      <w:tabs>
        <w:tab w:val="right" w:pos="7371"/>
      </w:tabs>
      <w:ind w:left="567"/>
      <w:outlineLvl w:val="3"/>
    </w:pPr>
    <w:rPr>
      <w:u w:val="single"/>
    </w:rPr>
  </w:style>
  <w:style w:type="paragraph" w:styleId="Cmsor5">
    <w:name w:val="heading 5"/>
    <w:basedOn w:val="Norml"/>
    <w:next w:val="Norml"/>
    <w:qFormat/>
    <w:pPr>
      <w:keepNext/>
      <w:tabs>
        <w:tab w:val="right" w:pos="7371"/>
      </w:tabs>
      <w:ind w:left="567"/>
      <w:outlineLvl w:val="4"/>
    </w:pPr>
  </w:style>
  <w:style w:type="paragraph" w:styleId="Cmsor6">
    <w:name w:val="heading 6"/>
    <w:basedOn w:val="Norml"/>
    <w:next w:val="Norml"/>
    <w:qFormat/>
    <w:pPr>
      <w:keepNext/>
      <w:outlineLvl w:val="5"/>
    </w:pPr>
  </w:style>
  <w:style w:type="paragraph" w:styleId="Cmsor7">
    <w:name w:val="heading 7"/>
    <w:basedOn w:val="Norml"/>
    <w:next w:val="Norml"/>
    <w:qFormat/>
    <w:pPr>
      <w:keepNext/>
      <w:tabs>
        <w:tab w:val="right" w:pos="7371"/>
      </w:tabs>
      <w:outlineLvl w:val="6"/>
    </w:pPr>
    <w:rPr>
      <w:b/>
    </w:rPr>
  </w:style>
  <w:style w:type="paragraph" w:styleId="Cmsor8">
    <w:name w:val="heading 8"/>
    <w:basedOn w:val="Norml"/>
    <w:next w:val="Norml"/>
    <w:link w:val="Cmsor8Char"/>
    <w:qFormat/>
    <w:pPr>
      <w:keepNext/>
      <w:tabs>
        <w:tab w:val="right" w:pos="7371"/>
      </w:tabs>
      <w:ind w:left="284"/>
      <w:outlineLvl w:val="7"/>
    </w:pPr>
  </w:style>
  <w:style w:type="paragraph" w:styleId="Cmsor9">
    <w:name w:val="heading 9"/>
    <w:basedOn w:val="Norml"/>
    <w:next w:val="Norml"/>
    <w:qFormat/>
    <w:pPr>
      <w:keepNext/>
      <w:tabs>
        <w:tab w:val="center" w:pos="3544"/>
        <w:tab w:val="right" w:pos="5245"/>
        <w:tab w:val="right" w:pos="6662"/>
        <w:tab w:val="right" w:pos="8222"/>
      </w:tabs>
      <w:jc w:val="center"/>
      <w:outlineLvl w:val="8"/>
    </w:pPr>
    <w:rPr>
      <w:b/>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styleId="llb">
    <w:name w:val="footer"/>
    <w:basedOn w:val="Norml"/>
    <w:pPr>
      <w:tabs>
        <w:tab w:val="center" w:pos="4536"/>
        <w:tab w:val="right" w:pos="9072"/>
      </w:tabs>
    </w:pPr>
  </w:style>
  <w:style w:type="character" w:styleId="Oldalszm">
    <w:name w:val="page number"/>
    <w:basedOn w:val="Bekezdsalapbettpusa"/>
    <w:semiHidden/>
  </w:style>
  <w:style w:type="paragraph" w:styleId="lfej">
    <w:name w:val="header"/>
    <w:basedOn w:val="Norml"/>
    <w:link w:val="lfejChar"/>
    <w:semiHidden/>
    <w:pPr>
      <w:tabs>
        <w:tab w:val="center" w:pos="4536"/>
        <w:tab w:val="right" w:pos="9072"/>
      </w:tabs>
    </w:pPr>
  </w:style>
  <w:style w:type="paragraph" w:styleId="Felsorols">
    <w:name w:val="List Bullet"/>
    <w:basedOn w:val="Norml"/>
    <w:semiHidden/>
    <w:pPr>
      <w:ind w:left="283" w:hanging="283"/>
    </w:pPr>
  </w:style>
  <w:style w:type="paragraph" w:styleId="Dokumentumtrkp">
    <w:name w:val="Document Map"/>
    <w:basedOn w:val="Norml"/>
    <w:semiHidden/>
    <w:pPr>
      <w:shd w:val="clear" w:color="auto" w:fill="000080"/>
    </w:pPr>
    <w:rPr>
      <w:rFonts w:ascii="Tahoma" w:hAnsi="Tahoma"/>
    </w:rPr>
  </w:style>
  <w:style w:type="paragraph" w:styleId="Szvegtrzs">
    <w:name w:val="Body Text"/>
    <w:basedOn w:val="Norml"/>
    <w:semiHidden/>
    <w:rPr>
      <w:sz w:val="22"/>
    </w:rPr>
  </w:style>
  <w:style w:type="paragraph" w:styleId="Szvegtrzs2">
    <w:name w:val="Body Text 2"/>
    <w:basedOn w:val="Norml"/>
    <w:link w:val="Szvegtrzs2Char"/>
    <w:semiHidden/>
    <w:pPr>
      <w:ind w:right="283"/>
    </w:pPr>
  </w:style>
  <w:style w:type="paragraph" w:styleId="Szvegtrzs3">
    <w:name w:val="Body Text 3"/>
    <w:basedOn w:val="Norml"/>
    <w:semiHidden/>
    <w:pPr>
      <w:tabs>
        <w:tab w:val="left" w:pos="567"/>
        <w:tab w:val="right" w:pos="7938"/>
      </w:tabs>
    </w:pPr>
  </w:style>
  <w:style w:type="paragraph" w:styleId="Szvegtrzsbehzssal">
    <w:name w:val="Body Text Indent"/>
    <w:basedOn w:val="Norml"/>
    <w:semiHidden/>
    <w:pPr>
      <w:ind w:left="709" w:hanging="709"/>
    </w:pPr>
  </w:style>
  <w:style w:type="paragraph" w:styleId="Szvegtrzsbehzssal2">
    <w:name w:val="Body Text Indent 2"/>
    <w:basedOn w:val="Norml"/>
    <w:semiHidden/>
    <w:pPr>
      <w:ind w:left="851" w:hanging="142"/>
    </w:pPr>
  </w:style>
  <w:style w:type="paragraph" w:styleId="Szvegtrzsbehzssal3">
    <w:name w:val="Body Text Indent 3"/>
    <w:basedOn w:val="Norml"/>
    <w:semiHidden/>
    <w:pPr>
      <w:spacing w:after="120"/>
      <w:ind w:left="142" w:hanging="142"/>
    </w:pPr>
  </w:style>
  <w:style w:type="paragraph" w:styleId="Szvegblokk">
    <w:name w:val="Block Text"/>
    <w:basedOn w:val="Norml"/>
    <w:semiHidden/>
    <w:pPr>
      <w:ind w:left="-142" w:right="141"/>
    </w:pPr>
    <w:rPr>
      <w:sz w:val="23"/>
    </w:rPr>
  </w:style>
  <w:style w:type="paragraph" w:customStyle="1" w:styleId="Felcim">
    <w:name w:val="Felcim"/>
    <w:basedOn w:val="Norml"/>
    <w:pPr>
      <w:tabs>
        <w:tab w:val="left" w:pos="1134"/>
      </w:tabs>
    </w:pPr>
    <w:rPr>
      <w:rFonts w:ascii="Arial" w:hAnsi="Arial"/>
    </w:rPr>
  </w:style>
  <w:style w:type="paragraph" w:customStyle="1" w:styleId="Szvegtrzs31">
    <w:name w:val="Szövegtörzs 31"/>
    <w:basedOn w:val="Norml"/>
    <w:pPr>
      <w:widowControl w:val="0"/>
      <w:overflowPunct w:val="0"/>
      <w:autoSpaceDE w:val="0"/>
      <w:autoSpaceDN w:val="0"/>
      <w:adjustRightInd w:val="0"/>
      <w:textAlignment w:val="baseline"/>
    </w:pPr>
    <w:rPr>
      <w14:shadow w14:blurRad="50800" w14:dist="38100" w14:dir="2700000" w14:sx="100000" w14:sy="100000" w14:kx="0" w14:ky="0" w14:algn="tl">
        <w14:srgbClr w14:val="000000">
          <w14:alpha w14:val="60000"/>
        </w14:srgbClr>
      </w14:shadow>
    </w:rPr>
  </w:style>
  <w:style w:type="paragraph" w:customStyle="1" w:styleId="font5">
    <w:name w:val="font5"/>
    <w:basedOn w:val="Norml"/>
    <w:pPr>
      <w:spacing w:before="100" w:beforeAutospacing="1" w:after="100" w:afterAutospacing="1"/>
    </w:pPr>
    <w:rPr>
      <w:rFonts w:eastAsia="Arial Unicode MS"/>
      <w:szCs w:val="24"/>
    </w:rPr>
  </w:style>
  <w:style w:type="paragraph" w:customStyle="1" w:styleId="font6">
    <w:name w:val="font6"/>
    <w:basedOn w:val="Norml"/>
    <w:pPr>
      <w:spacing w:before="100" w:beforeAutospacing="1" w:after="100" w:afterAutospacing="1"/>
    </w:pPr>
    <w:rPr>
      <w:rFonts w:eastAsia="Arial Unicode MS"/>
      <w:szCs w:val="24"/>
    </w:rPr>
  </w:style>
  <w:style w:type="paragraph" w:customStyle="1" w:styleId="font7">
    <w:name w:val="font7"/>
    <w:basedOn w:val="Norml"/>
    <w:pPr>
      <w:spacing w:before="100" w:beforeAutospacing="1" w:after="100" w:afterAutospacing="1"/>
    </w:pPr>
    <w:rPr>
      <w:rFonts w:ascii="Tahoma" w:eastAsia="Arial Unicode MS" w:hAnsi="Tahoma" w:cs="Tahoma"/>
      <w:color w:val="000000"/>
      <w:sz w:val="16"/>
      <w:szCs w:val="16"/>
    </w:rPr>
  </w:style>
  <w:style w:type="paragraph" w:customStyle="1" w:styleId="font8">
    <w:name w:val="font8"/>
    <w:basedOn w:val="Norml"/>
    <w:pPr>
      <w:spacing w:before="100" w:beforeAutospacing="1" w:after="100" w:afterAutospacing="1"/>
    </w:pPr>
    <w:rPr>
      <w:rFonts w:ascii="Tahoma" w:eastAsia="Arial Unicode MS" w:hAnsi="Tahoma" w:cs="Tahoma"/>
      <w:b/>
      <w:bCs/>
      <w:color w:val="000000"/>
      <w:sz w:val="16"/>
      <w:szCs w:val="16"/>
    </w:rPr>
  </w:style>
  <w:style w:type="paragraph" w:customStyle="1" w:styleId="xl30">
    <w:name w:val="xl30"/>
    <w:basedOn w:val="Norml"/>
    <w:pPr>
      <w:spacing w:before="100" w:beforeAutospacing="1" w:after="100" w:afterAutospacing="1"/>
    </w:pPr>
    <w:rPr>
      <w:rFonts w:eastAsia="Arial Unicode MS" w:cs="Arial Unicode MS"/>
      <w:szCs w:val="24"/>
    </w:rPr>
  </w:style>
  <w:style w:type="paragraph" w:customStyle="1" w:styleId="xl31">
    <w:name w:val="xl31"/>
    <w:basedOn w:val="Norml"/>
    <w:pPr>
      <w:spacing w:before="100" w:beforeAutospacing="1" w:after="100" w:afterAutospacing="1"/>
    </w:pPr>
    <w:rPr>
      <w:rFonts w:eastAsia="Arial Unicode MS" w:cs="Arial Unicode MS"/>
      <w:szCs w:val="24"/>
    </w:rPr>
  </w:style>
  <w:style w:type="paragraph" w:customStyle="1" w:styleId="xl32">
    <w:name w:val="xl32"/>
    <w:basedOn w:val="Norml"/>
    <w:pPr>
      <w:pBdr>
        <w:bottom w:val="single" w:sz="4" w:space="0" w:color="auto"/>
      </w:pBdr>
      <w:spacing w:before="100" w:beforeAutospacing="1" w:after="100" w:afterAutospacing="1"/>
    </w:pPr>
    <w:rPr>
      <w:rFonts w:eastAsia="Arial Unicode MS" w:cs="Arial Unicode MS"/>
      <w:szCs w:val="24"/>
    </w:rPr>
  </w:style>
  <w:style w:type="paragraph" w:customStyle="1" w:styleId="xl33">
    <w:name w:val="xl33"/>
    <w:basedOn w:val="Norml"/>
    <w:pPr>
      <w:pBdr>
        <w:top w:val="single" w:sz="4" w:space="0" w:color="auto"/>
      </w:pBdr>
      <w:spacing w:before="100" w:beforeAutospacing="1" w:after="100" w:afterAutospacing="1"/>
    </w:pPr>
    <w:rPr>
      <w:rFonts w:eastAsia="Arial Unicode MS" w:cs="Arial Unicode MS"/>
      <w:i/>
      <w:iCs/>
      <w:szCs w:val="24"/>
    </w:rPr>
  </w:style>
  <w:style w:type="paragraph" w:customStyle="1" w:styleId="xl34">
    <w:name w:val="xl34"/>
    <w:basedOn w:val="Norml"/>
    <w:pPr>
      <w:pBdr>
        <w:top w:val="single" w:sz="4" w:space="0" w:color="auto"/>
      </w:pBdr>
      <w:spacing w:before="100" w:beforeAutospacing="1" w:after="100" w:afterAutospacing="1"/>
      <w:jc w:val="center"/>
    </w:pPr>
    <w:rPr>
      <w:rFonts w:eastAsia="Arial Unicode MS" w:cs="Arial Unicode MS"/>
      <w:i/>
      <w:iCs/>
      <w:szCs w:val="24"/>
    </w:rPr>
  </w:style>
  <w:style w:type="paragraph" w:customStyle="1" w:styleId="xl35">
    <w:name w:val="xl35"/>
    <w:basedOn w:val="Norml"/>
    <w:pPr>
      <w:spacing w:before="100" w:beforeAutospacing="1" w:after="100" w:afterAutospacing="1"/>
      <w:jc w:val="center"/>
    </w:pPr>
    <w:rPr>
      <w:rFonts w:eastAsia="Arial Unicode MS" w:cs="Arial Unicode MS"/>
      <w:i/>
      <w:iCs/>
      <w:szCs w:val="24"/>
    </w:rPr>
  </w:style>
  <w:style w:type="paragraph" w:customStyle="1" w:styleId="xl36">
    <w:name w:val="xl36"/>
    <w:basedOn w:val="Norml"/>
    <w:pPr>
      <w:pBdr>
        <w:bottom w:val="single" w:sz="4" w:space="0" w:color="auto"/>
      </w:pBdr>
      <w:spacing w:before="100" w:beforeAutospacing="1" w:after="100" w:afterAutospacing="1"/>
    </w:pPr>
    <w:rPr>
      <w:rFonts w:eastAsia="Arial Unicode MS" w:cs="Arial Unicode MS"/>
      <w:i/>
      <w:iCs/>
      <w:szCs w:val="24"/>
    </w:rPr>
  </w:style>
  <w:style w:type="paragraph" w:customStyle="1" w:styleId="xl37">
    <w:name w:val="xl37"/>
    <w:basedOn w:val="Norml"/>
    <w:pPr>
      <w:pBdr>
        <w:bottom w:val="single" w:sz="4" w:space="0" w:color="auto"/>
      </w:pBdr>
      <w:spacing w:before="100" w:beforeAutospacing="1" w:after="100" w:afterAutospacing="1"/>
      <w:jc w:val="center"/>
    </w:pPr>
    <w:rPr>
      <w:rFonts w:eastAsia="Arial Unicode MS" w:cs="Arial Unicode MS"/>
      <w:i/>
      <w:iCs/>
      <w:szCs w:val="24"/>
    </w:rPr>
  </w:style>
  <w:style w:type="paragraph" w:customStyle="1" w:styleId="xl38">
    <w:name w:val="xl38"/>
    <w:basedOn w:val="Norml"/>
    <w:pPr>
      <w:pBdr>
        <w:bottom w:val="single" w:sz="4" w:space="0" w:color="auto"/>
      </w:pBdr>
      <w:spacing w:before="100" w:beforeAutospacing="1" w:after="100" w:afterAutospacing="1"/>
      <w:jc w:val="center"/>
    </w:pPr>
    <w:rPr>
      <w:rFonts w:eastAsia="Arial Unicode MS" w:cs="Arial Unicode MS"/>
      <w:i/>
      <w:iCs/>
      <w:szCs w:val="24"/>
    </w:rPr>
  </w:style>
  <w:style w:type="paragraph" w:customStyle="1" w:styleId="xl39">
    <w:name w:val="xl39"/>
    <w:basedOn w:val="Norml"/>
    <w:pPr>
      <w:spacing w:before="100" w:beforeAutospacing="1" w:after="100" w:afterAutospacing="1"/>
      <w:jc w:val="center"/>
    </w:pPr>
    <w:rPr>
      <w:rFonts w:eastAsia="Arial Unicode MS" w:cs="Arial Unicode MS"/>
      <w:szCs w:val="24"/>
    </w:rPr>
  </w:style>
  <w:style w:type="paragraph" w:customStyle="1" w:styleId="xl40">
    <w:name w:val="xl40"/>
    <w:basedOn w:val="Norml"/>
    <w:pPr>
      <w:spacing w:before="100" w:beforeAutospacing="1" w:after="100" w:afterAutospacing="1"/>
      <w:jc w:val="center"/>
    </w:pPr>
    <w:rPr>
      <w:rFonts w:eastAsia="Arial Unicode MS" w:cs="Arial Unicode MS"/>
      <w:szCs w:val="24"/>
    </w:rPr>
  </w:style>
  <w:style w:type="paragraph" w:customStyle="1" w:styleId="xl41">
    <w:name w:val="xl41"/>
    <w:basedOn w:val="Norml"/>
    <w:uiPriority w:val="99"/>
    <w:pPr>
      <w:spacing w:before="100" w:beforeAutospacing="1" w:after="100" w:afterAutospacing="1"/>
    </w:pPr>
    <w:rPr>
      <w:rFonts w:eastAsia="Arial Unicode MS" w:cs="Arial Unicode MS"/>
      <w:b/>
      <w:bCs/>
      <w:i/>
      <w:iCs/>
      <w:szCs w:val="24"/>
    </w:rPr>
  </w:style>
  <w:style w:type="paragraph" w:customStyle="1" w:styleId="xl42">
    <w:name w:val="xl42"/>
    <w:basedOn w:val="Norml"/>
    <w:pPr>
      <w:spacing w:before="100" w:beforeAutospacing="1" w:after="100" w:afterAutospacing="1"/>
    </w:pPr>
    <w:rPr>
      <w:rFonts w:eastAsia="Arial Unicode MS" w:cs="Arial Unicode MS"/>
      <w:szCs w:val="24"/>
    </w:rPr>
  </w:style>
  <w:style w:type="paragraph" w:customStyle="1" w:styleId="xl43">
    <w:name w:val="xl43"/>
    <w:basedOn w:val="Norml"/>
    <w:pPr>
      <w:spacing w:before="100" w:beforeAutospacing="1" w:after="100" w:afterAutospacing="1"/>
    </w:pPr>
    <w:rPr>
      <w:rFonts w:eastAsia="Arial Unicode MS" w:cs="Arial Unicode MS"/>
      <w:szCs w:val="24"/>
    </w:rPr>
  </w:style>
  <w:style w:type="paragraph" w:customStyle="1" w:styleId="xl44">
    <w:name w:val="xl44"/>
    <w:basedOn w:val="Norml"/>
    <w:pPr>
      <w:pBdr>
        <w:bottom w:val="single" w:sz="4" w:space="0" w:color="auto"/>
      </w:pBdr>
      <w:spacing w:before="100" w:beforeAutospacing="1" w:after="100" w:afterAutospacing="1"/>
    </w:pPr>
    <w:rPr>
      <w:rFonts w:eastAsia="Arial Unicode MS" w:cs="Arial Unicode MS"/>
      <w:szCs w:val="24"/>
    </w:rPr>
  </w:style>
  <w:style w:type="paragraph" w:customStyle="1" w:styleId="xl45">
    <w:name w:val="xl45"/>
    <w:basedOn w:val="Norml"/>
    <w:pPr>
      <w:spacing w:before="100" w:beforeAutospacing="1" w:after="100" w:afterAutospacing="1"/>
    </w:pPr>
    <w:rPr>
      <w:rFonts w:eastAsia="Arial Unicode MS" w:cs="Arial Unicode MS"/>
      <w:szCs w:val="24"/>
    </w:rPr>
  </w:style>
  <w:style w:type="paragraph" w:customStyle="1" w:styleId="xl46">
    <w:name w:val="xl46"/>
    <w:basedOn w:val="Norml"/>
    <w:pPr>
      <w:spacing w:before="100" w:beforeAutospacing="1" w:after="100" w:afterAutospacing="1"/>
    </w:pPr>
    <w:rPr>
      <w:rFonts w:eastAsia="Arial Unicode MS" w:cs="Arial Unicode MS"/>
      <w:szCs w:val="24"/>
    </w:rPr>
  </w:style>
  <w:style w:type="paragraph" w:customStyle="1" w:styleId="xl47">
    <w:name w:val="xl47"/>
    <w:basedOn w:val="Norml"/>
    <w:pPr>
      <w:spacing w:before="100" w:beforeAutospacing="1" w:after="100" w:afterAutospacing="1"/>
    </w:pPr>
    <w:rPr>
      <w:rFonts w:eastAsia="Arial Unicode MS" w:cs="Arial Unicode MS"/>
      <w:szCs w:val="24"/>
    </w:rPr>
  </w:style>
  <w:style w:type="paragraph" w:customStyle="1" w:styleId="xl48">
    <w:name w:val="xl48"/>
    <w:basedOn w:val="Norml"/>
    <w:pPr>
      <w:spacing w:before="100" w:beforeAutospacing="1" w:after="100" w:afterAutospacing="1"/>
      <w:jc w:val="center"/>
    </w:pPr>
    <w:rPr>
      <w:rFonts w:eastAsia="Arial Unicode MS" w:cs="Arial Unicode MS"/>
      <w:b/>
      <w:bCs/>
      <w:i/>
      <w:iCs/>
      <w:sz w:val="26"/>
      <w:szCs w:val="26"/>
    </w:rPr>
  </w:style>
  <w:style w:type="paragraph" w:styleId="NormlWeb">
    <w:name w:val="Normal (Web)"/>
    <w:basedOn w:val="Norml"/>
    <w:uiPriority w:val="99"/>
    <w:pPr>
      <w:spacing w:before="100" w:beforeAutospacing="1" w:after="119"/>
    </w:pPr>
    <w:rPr>
      <w:rFonts w:ascii="Arial Unicode MS" w:eastAsia="Arial Unicode MS" w:hAnsi="Arial Unicode MS" w:cs="Arial Unicode MS"/>
      <w:szCs w:val="24"/>
    </w:rPr>
  </w:style>
  <w:style w:type="character" w:styleId="Kiemels2">
    <w:name w:val="Strong"/>
    <w:basedOn w:val="Bekezdsalapbettpusa"/>
    <w:uiPriority w:val="22"/>
    <w:qFormat/>
    <w:rPr>
      <w:b/>
      <w:bCs/>
    </w:rPr>
  </w:style>
  <w:style w:type="paragraph" w:customStyle="1" w:styleId="xl28">
    <w:name w:val="xl28"/>
    <w:basedOn w:val="Norml"/>
    <w:uiPriority w:val="99"/>
    <w:pPr>
      <w:spacing w:before="100" w:beforeAutospacing="1" w:after="100" w:afterAutospacing="1"/>
    </w:pPr>
    <w:rPr>
      <w:rFonts w:eastAsia="Arial Unicode MS"/>
      <w:szCs w:val="24"/>
    </w:rPr>
  </w:style>
  <w:style w:type="paragraph" w:customStyle="1" w:styleId="Alaprtelmezs">
    <w:name w:val="Alapértelmezés"/>
    <w:pPr>
      <w:widowControl w:val="0"/>
      <w:suppressAutoHyphens/>
    </w:pPr>
    <w:rPr>
      <w:rFonts w:ascii="MS Sans Serif" w:eastAsia="Arial" w:hAnsi="MS Sans Serif"/>
      <w:kern w:val="1"/>
      <w:szCs w:val="24"/>
      <w:lang w:eastAsia="ar-SA"/>
    </w:rPr>
  </w:style>
  <w:style w:type="paragraph" w:customStyle="1" w:styleId="xl71">
    <w:name w:val="xl71"/>
    <w:basedOn w:val="Norml"/>
    <w:pPr>
      <w:spacing w:before="100" w:beforeAutospacing="1" w:after="100" w:afterAutospacing="1"/>
    </w:pPr>
    <w:rPr>
      <w:rFonts w:eastAsia="Arial Unicode MS" w:cs="Arial Unicode MS"/>
      <w:szCs w:val="24"/>
    </w:rPr>
  </w:style>
  <w:style w:type="paragraph" w:customStyle="1" w:styleId="xl72">
    <w:name w:val="xl72"/>
    <w:basedOn w:val="Norml"/>
    <w:pPr>
      <w:spacing w:before="100" w:beforeAutospacing="1" w:after="100" w:afterAutospacing="1"/>
    </w:pPr>
    <w:rPr>
      <w:rFonts w:eastAsia="Arial Unicode MS" w:cs="Arial Unicode MS"/>
      <w:szCs w:val="24"/>
    </w:rPr>
  </w:style>
  <w:style w:type="paragraph" w:customStyle="1" w:styleId="xl73">
    <w:name w:val="xl73"/>
    <w:basedOn w:val="Norml"/>
    <w:pPr>
      <w:pBdr>
        <w:top w:val="single" w:sz="4" w:space="0" w:color="auto"/>
      </w:pBdr>
      <w:spacing w:before="100" w:beforeAutospacing="1" w:after="100" w:afterAutospacing="1"/>
    </w:pPr>
    <w:rPr>
      <w:rFonts w:eastAsia="Arial Unicode MS" w:cs="Arial Unicode MS"/>
      <w:i/>
      <w:iCs/>
      <w:szCs w:val="24"/>
    </w:rPr>
  </w:style>
  <w:style w:type="paragraph" w:customStyle="1" w:styleId="xl74">
    <w:name w:val="xl74"/>
    <w:basedOn w:val="Norml"/>
    <w:pPr>
      <w:pBdr>
        <w:top w:val="single" w:sz="4" w:space="0" w:color="auto"/>
      </w:pBdr>
      <w:spacing w:before="100" w:beforeAutospacing="1" w:after="100" w:afterAutospacing="1"/>
      <w:jc w:val="center"/>
    </w:pPr>
    <w:rPr>
      <w:rFonts w:eastAsia="Arial Unicode MS" w:cs="Arial Unicode MS"/>
      <w:i/>
      <w:iCs/>
      <w:szCs w:val="24"/>
    </w:rPr>
  </w:style>
  <w:style w:type="paragraph" w:customStyle="1" w:styleId="xl75">
    <w:name w:val="xl75"/>
    <w:basedOn w:val="Norml"/>
    <w:pPr>
      <w:spacing w:before="100" w:beforeAutospacing="1" w:after="100" w:afterAutospacing="1"/>
      <w:jc w:val="center"/>
    </w:pPr>
    <w:rPr>
      <w:rFonts w:eastAsia="Arial Unicode MS" w:cs="Arial Unicode MS"/>
      <w:i/>
      <w:iCs/>
      <w:szCs w:val="24"/>
    </w:rPr>
  </w:style>
  <w:style w:type="paragraph" w:customStyle="1" w:styleId="xl76">
    <w:name w:val="xl76"/>
    <w:basedOn w:val="Norml"/>
    <w:pPr>
      <w:pBdr>
        <w:bottom w:val="single" w:sz="4" w:space="0" w:color="auto"/>
      </w:pBdr>
      <w:spacing w:before="100" w:beforeAutospacing="1" w:after="100" w:afterAutospacing="1"/>
    </w:pPr>
    <w:rPr>
      <w:rFonts w:eastAsia="Arial Unicode MS" w:cs="Arial Unicode MS"/>
      <w:i/>
      <w:iCs/>
      <w:szCs w:val="24"/>
    </w:rPr>
  </w:style>
  <w:style w:type="paragraph" w:customStyle="1" w:styleId="xl77">
    <w:name w:val="xl77"/>
    <w:basedOn w:val="Norml"/>
    <w:pPr>
      <w:pBdr>
        <w:bottom w:val="single" w:sz="4" w:space="0" w:color="auto"/>
      </w:pBdr>
      <w:spacing w:before="100" w:beforeAutospacing="1" w:after="100" w:afterAutospacing="1"/>
      <w:jc w:val="center"/>
    </w:pPr>
    <w:rPr>
      <w:rFonts w:eastAsia="Arial Unicode MS" w:cs="Arial Unicode MS"/>
      <w:i/>
      <w:iCs/>
      <w:szCs w:val="24"/>
    </w:rPr>
  </w:style>
  <w:style w:type="paragraph" w:customStyle="1" w:styleId="xl78">
    <w:name w:val="xl78"/>
    <w:basedOn w:val="Norml"/>
    <w:pPr>
      <w:pBdr>
        <w:bottom w:val="single" w:sz="4" w:space="0" w:color="auto"/>
      </w:pBdr>
      <w:spacing w:before="100" w:beforeAutospacing="1" w:after="100" w:afterAutospacing="1"/>
      <w:jc w:val="center"/>
    </w:pPr>
    <w:rPr>
      <w:rFonts w:eastAsia="Arial Unicode MS" w:cs="Arial Unicode MS"/>
      <w:i/>
      <w:iCs/>
      <w:szCs w:val="24"/>
    </w:rPr>
  </w:style>
  <w:style w:type="paragraph" w:customStyle="1" w:styleId="xl79">
    <w:name w:val="xl79"/>
    <w:basedOn w:val="Norml"/>
    <w:pPr>
      <w:spacing w:before="100" w:beforeAutospacing="1" w:after="100" w:afterAutospacing="1"/>
      <w:jc w:val="center"/>
    </w:pPr>
    <w:rPr>
      <w:rFonts w:eastAsia="Arial Unicode MS" w:cs="Arial Unicode MS"/>
      <w:szCs w:val="24"/>
    </w:rPr>
  </w:style>
  <w:style w:type="paragraph" w:customStyle="1" w:styleId="xl80">
    <w:name w:val="xl80"/>
    <w:basedOn w:val="Norml"/>
    <w:pPr>
      <w:spacing w:before="100" w:beforeAutospacing="1" w:after="100" w:afterAutospacing="1"/>
      <w:jc w:val="center"/>
    </w:pPr>
    <w:rPr>
      <w:rFonts w:eastAsia="Arial Unicode MS" w:cs="Arial Unicode MS"/>
      <w:szCs w:val="24"/>
    </w:rPr>
  </w:style>
  <w:style w:type="paragraph" w:customStyle="1" w:styleId="xl81">
    <w:name w:val="xl81"/>
    <w:basedOn w:val="Norml"/>
    <w:pPr>
      <w:spacing w:before="100" w:beforeAutospacing="1" w:after="100" w:afterAutospacing="1"/>
    </w:pPr>
    <w:rPr>
      <w:rFonts w:eastAsia="Arial Unicode MS" w:cs="Arial Unicode MS"/>
      <w:b/>
      <w:bCs/>
      <w:i/>
      <w:iCs/>
      <w:szCs w:val="24"/>
    </w:rPr>
  </w:style>
  <w:style w:type="paragraph" w:customStyle="1" w:styleId="xl82">
    <w:name w:val="xl82"/>
    <w:basedOn w:val="Norml"/>
    <w:pPr>
      <w:spacing w:before="100" w:beforeAutospacing="1" w:after="100" w:afterAutospacing="1"/>
    </w:pPr>
    <w:rPr>
      <w:rFonts w:eastAsia="Arial Unicode MS" w:cs="Arial Unicode MS"/>
      <w:szCs w:val="24"/>
    </w:rPr>
  </w:style>
  <w:style w:type="paragraph" w:customStyle="1" w:styleId="xl83">
    <w:name w:val="xl83"/>
    <w:basedOn w:val="Norml"/>
    <w:pPr>
      <w:spacing w:before="100" w:beforeAutospacing="1" w:after="100" w:afterAutospacing="1"/>
    </w:pPr>
    <w:rPr>
      <w:rFonts w:eastAsia="Arial Unicode MS" w:cs="Arial Unicode MS"/>
      <w:szCs w:val="24"/>
    </w:rPr>
  </w:style>
  <w:style w:type="paragraph" w:customStyle="1" w:styleId="xl84">
    <w:name w:val="xl84"/>
    <w:basedOn w:val="Norml"/>
    <w:pPr>
      <w:spacing w:before="100" w:beforeAutospacing="1" w:after="100" w:afterAutospacing="1"/>
    </w:pPr>
    <w:rPr>
      <w:rFonts w:eastAsia="Arial Unicode MS" w:cs="Arial Unicode MS"/>
      <w:szCs w:val="24"/>
    </w:rPr>
  </w:style>
  <w:style w:type="paragraph" w:customStyle="1" w:styleId="xl85">
    <w:name w:val="xl85"/>
    <w:basedOn w:val="Norml"/>
    <w:pPr>
      <w:spacing w:before="100" w:beforeAutospacing="1" w:after="100" w:afterAutospacing="1"/>
    </w:pPr>
    <w:rPr>
      <w:rFonts w:eastAsia="Arial Unicode MS" w:cs="Arial Unicode MS"/>
      <w:szCs w:val="24"/>
    </w:rPr>
  </w:style>
  <w:style w:type="paragraph" w:customStyle="1" w:styleId="xl86">
    <w:name w:val="xl86"/>
    <w:basedOn w:val="Norml"/>
    <w:pPr>
      <w:spacing w:before="100" w:beforeAutospacing="1" w:after="100" w:afterAutospacing="1"/>
    </w:pPr>
    <w:rPr>
      <w:rFonts w:eastAsia="Arial Unicode MS" w:cs="Arial Unicode MS"/>
      <w:sz w:val="16"/>
      <w:szCs w:val="16"/>
    </w:rPr>
  </w:style>
  <w:style w:type="paragraph" w:customStyle="1" w:styleId="xl87">
    <w:name w:val="xl87"/>
    <w:basedOn w:val="Norml"/>
    <w:pPr>
      <w:spacing w:before="100" w:beforeAutospacing="1" w:after="100" w:afterAutospacing="1"/>
    </w:pPr>
    <w:rPr>
      <w:rFonts w:eastAsia="Arial Unicode MS" w:cs="Arial Unicode MS"/>
      <w:sz w:val="16"/>
      <w:szCs w:val="16"/>
    </w:rPr>
  </w:style>
  <w:style w:type="paragraph" w:customStyle="1" w:styleId="xl88">
    <w:name w:val="xl88"/>
    <w:basedOn w:val="Norml"/>
    <w:pPr>
      <w:spacing w:before="100" w:beforeAutospacing="1" w:after="100" w:afterAutospacing="1"/>
    </w:pPr>
    <w:rPr>
      <w:rFonts w:eastAsia="Arial Unicode MS" w:cs="Arial Unicode MS"/>
      <w:sz w:val="16"/>
      <w:szCs w:val="16"/>
    </w:rPr>
  </w:style>
  <w:style w:type="paragraph" w:customStyle="1" w:styleId="xl89">
    <w:name w:val="xl89"/>
    <w:basedOn w:val="Norml"/>
    <w:pPr>
      <w:spacing w:before="100" w:beforeAutospacing="1" w:after="100" w:afterAutospacing="1"/>
    </w:pPr>
    <w:rPr>
      <w:rFonts w:eastAsia="Arial Unicode MS" w:cs="Arial Unicode MS"/>
      <w:sz w:val="16"/>
      <w:szCs w:val="16"/>
    </w:rPr>
  </w:style>
  <w:style w:type="paragraph" w:styleId="TJ2">
    <w:name w:val="toc 2"/>
    <w:basedOn w:val="Norml"/>
    <w:next w:val="Norml"/>
    <w:autoRedefine/>
    <w:uiPriority w:val="39"/>
    <w:rsid w:val="003F5883"/>
    <w:pPr>
      <w:tabs>
        <w:tab w:val="right" w:leader="dot" w:pos="9805"/>
      </w:tabs>
      <w:ind w:left="240"/>
      <w:jc w:val="left"/>
    </w:pPr>
    <w:rPr>
      <w:smallCaps/>
      <w:noProof/>
      <w:snapToGrid w:val="0"/>
      <w:sz w:val="22"/>
      <w:szCs w:val="23"/>
    </w:rPr>
  </w:style>
  <w:style w:type="paragraph" w:styleId="TJ1">
    <w:name w:val="toc 1"/>
    <w:basedOn w:val="Norml"/>
    <w:next w:val="Norml"/>
    <w:autoRedefine/>
    <w:uiPriority w:val="39"/>
    <w:pPr>
      <w:spacing w:before="120" w:after="120"/>
      <w:jc w:val="left"/>
    </w:pPr>
    <w:rPr>
      <w:b/>
      <w:bCs/>
      <w:caps/>
      <w:szCs w:val="24"/>
    </w:rPr>
  </w:style>
  <w:style w:type="paragraph" w:styleId="TJ3">
    <w:name w:val="toc 3"/>
    <w:basedOn w:val="Norml"/>
    <w:next w:val="Norml"/>
    <w:autoRedefine/>
    <w:uiPriority w:val="39"/>
    <w:pPr>
      <w:ind w:left="480"/>
      <w:jc w:val="left"/>
    </w:pPr>
    <w:rPr>
      <w:i/>
      <w:iCs/>
      <w:szCs w:val="24"/>
    </w:rPr>
  </w:style>
  <w:style w:type="paragraph" w:styleId="TJ4">
    <w:name w:val="toc 4"/>
    <w:basedOn w:val="Norml"/>
    <w:next w:val="Norml"/>
    <w:autoRedefine/>
    <w:semiHidden/>
    <w:pPr>
      <w:ind w:left="720"/>
      <w:jc w:val="left"/>
    </w:pPr>
    <w:rPr>
      <w:szCs w:val="21"/>
    </w:rPr>
  </w:style>
  <w:style w:type="paragraph" w:styleId="TJ5">
    <w:name w:val="toc 5"/>
    <w:basedOn w:val="Norml"/>
    <w:next w:val="Norml"/>
    <w:autoRedefine/>
    <w:semiHidden/>
    <w:pPr>
      <w:ind w:left="960"/>
      <w:jc w:val="left"/>
    </w:pPr>
    <w:rPr>
      <w:szCs w:val="21"/>
    </w:rPr>
  </w:style>
  <w:style w:type="paragraph" w:styleId="TJ6">
    <w:name w:val="toc 6"/>
    <w:basedOn w:val="Norml"/>
    <w:next w:val="Norml"/>
    <w:autoRedefine/>
    <w:semiHidden/>
    <w:pPr>
      <w:ind w:left="1200"/>
      <w:jc w:val="left"/>
    </w:pPr>
    <w:rPr>
      <w:szCs w:val="21"/>
    </w:rPr>
  </w:style>
  <w:style w:type="paragraph" w:styleId="TJ7">
    <w:name w:val="toc 7"/>
    <w:basedOn w:val="Norml"/>
    <w:next w:val="Norml"/>
    <w:autoRedefine/>
    <w:semiHidden/>
    <w:pPr>
      <w:ind w:left="1440"/>
      <w:jc w:val="left"/>
    </w:pPr>
    <w:rPr>
      <w:szCs w:val="21"/>
    </w:rPr>
  </w:style>
  <w:style w:type="paragraph" w:styleId="TJ8">
    <w:name w:val="toc 8"/>
    <w:basedOn w:val="Norml"/>
    <w:next w:val="Norml"/>
    <w:autoRedefine/>
    <w:semiHidden/>
    <w:pPr>
      <w:ind w:left="1680"/>
      <w:jc w:val="left"/>
    </w:pPr>
    <w:rPr>
      <w:szCs w:val="21"/>
    </w:rPr>
  </w:style>
  <w:style w:type="paragraph" w:styleId="TJ9">
    <w:name w:val="toc 9"/>
    <w:basedOn w:val="Norml"/>
    <w:next w:val="Norml"/>
    <w:autoRedefine/>
    <w:semiHidden/>
    <w:pPr>
      <w:ind w:left="1920"/>
      <w:jc w:val="left"/>
    </w:pPr>
    <w:rPr>
      <w:szCs w:val="21"/>
    </w:rPr>
  </w:style>
  <w:style w:type="character" w:styleId="Hiperhivatkozs">
    <w:name w:val="Hyperlink"/>
    <w:basedOn w:val="Bekezdsalapbettpusa"/>
    <w:uiPriority w:val="99"/>
    <w:rPr>
      <w:color w:val="0000FF"/>
      <w:u w:val="single"/>
    </w:rPr>
  </w:style>
  <w:style w:type="character" w:customStyle="1" w:styleId="llbChar">
    <w:name w:val="Élőláb Char"/>
    <w:basedOn w:val="Bekezdsalapbettpusa"/>
  </w:style>
  <w:style w:type="paragraph" w:customStyle="1" w:styleId="xl90">
    <w:name w:val="xl90"/>
    <w:basedOn w:val="Norml"/>
    <w:pPr>
      <w:spacing w:before="100" w:beforeAutospacing="1" w:after="100" w:afterAutospacing="1"/>
      <w:jc w:val="left"/>
    </w:pPr>
    <w:rPr>
      <w:rFonts w:eastAsia="Arial Unicode MS" w:cs="Arial Unicode MS"/>
      <w:szCs w:val="24"/>
    </w:rPr>
  </w:style>
  <w:style w:type="paragraph" w:customStyle="1" w:styleId="xl91">
    <w:name w:val="xl91"/>
    <w:basedOn w:val="Norml"/>
    <w:pPr>
      <w:spacing w:before="100" w:beforeAutospacing="1" w:after="100" w:afterAutospacing="1"/>
      <w:jc w:val="left"/>
    </w:pPr>
    <w:rPr>
      <w:rFonts w:eastAsia="Arial Unicode MS" w:cs="Arial Unicode MS"/>
      <w:color w:val="FF0000"/>
      <w:szCs w:val="24"/>
    </w:rPr>
  </w:style>
  <w:style w:type="paragraph" w:customStyle="1" w:styleId="xl92">
    <w:name w:val="xl92"/>
    <w:basedOn w:val="Norml"/>
    <w:pPr>
      <w:pBdr>
        <w:top w:val="single" w:sz="4" w:space="0" w:color="auto"/>
      </w:pBdr>
      <w:spacing w:before="100" w:beforeAutospacing="1" w:after="100" w:afterAutospacing="1"/>
      <w:jc w:val="center"/>
    </w:pPr>
    <w:rPr>
      <w:rFonts w:eastAsia="Arial Unicode MS" w:cs="Arial Unicode MS"/>
      <w:i/>
      <w:iCs/>
      <w:szCs w:val="24"/>
    </w:rPr>
  </w:style>
  <w:style w:type="paragraph" w:customStyle="1" w:styleId="xl93">
    <w:name w:val="xl93"/>
    <w:basedOn w:val="Norml"/>
    <w:pPr>
      <w:pBdr>
        <w:top w:val="single" w:sz="4" w:space="0" w:color="auto"/>
      </w:pBdr>
      <w:spacing w:before="100" w:beforeAutospacing="1" w:after="100" w:afterAutospacing="1"/>
      <w:jc w:val="left"/>
      <w:textAlignment w:val="center"/>
    </w:pPr>
    <w:rPr>
      <w:rFonts w:eastAsia="Arial Unicode MS" w:cs="Arial Unicode MS"/>
      <w:i/>
      <w:iCs/>
      <w:szCs w:val="24"/>
    </w:rPr>
  </w:style>
  <w:style w:type="paragraph" w:customStyle="1" w:styleId="xl94">
    <w:name w:val="xl94"/>
    <w:basedOn w:val="Norml"/>
    <w:pPr>
      <w:pBdr>
        <w:bottom w:val="single" w:sz="4" w:space="0" w:color="auto"/>
      </w:pBdr>
      <w:spacing w:before="100" w:beforeAutospacing="1" w:after="100" w:afterAutospacing="1"/>
      <w:jc w:val="left"/>
      <w:textAlignment w:val="center"/>
    </w:pPr>
    <w:rPr>
      <w:rFonts w:eastAsia="Arial Unicode MS" w:cs="Arial Unicode MS"/>
      <w:i/>
      <w:iCs/>
      <w:szCs w:val="24"/>
    </w:rPr>
  </w:style>
  <w:style w:type="paragraph" w:customStyle="1" w:styleId="xl95">
    <w:name w:val="xl95"/>
    <w:basedOn w:val="Norml"/>
    <w:pPr>
      <w:spacing w:before="100" w:beforeAutospacing="1" w:after="100" w:afterAutospacing="1"/>
      <w:jc w:val="left"/>
    </w:pPr>
    <w:rPr>
      <w:rFonts w:eastAsia="Arial Unicode MS" w:cs="Arial Unicode MS"/>
      <w:color w:val="FF0000"/>
      <w:szCs w:val="24"/>
    </w:rPr>
  </w:style>
  <w:style w:type="paragraph" w:customStyle="1" w:styleId="xl96">
    <w:name w:val="xl96"/>
    <w:basedOn w:val="Norml"/>
    <w:pPr>
      <w:spacing w:before="100" w:beforeAutospacing="1" w:after="100" w:afterAutospacing="1"/>
      <w:jc w:val="left"/>
    </w:pPr>
    <w:rPr>
      <w:rFonts w:eastAsia="Arial Unicode MS" w:cs="Arial Unicode MS"/>
      <w:sz w:val="8"/>
      <w:szCs w:val="8"/>
    </w:rPr>
  </w:style>
  <w:style w:type="paragraph" w:customStyle="1" w:styleId="xl97">
    <w:name w:val="xl97"/>
    <w:basedOn w:val="Norml"/>
    <w:pPr>
      <w:spacing w:before="100" w:beforeAutospacing="1" w:after="100" w:afterAutospacing="1"/>
      <w:jc w:val="center"/>
    </w:pPr>
    <w:rPr>
      <w:rFonts w:eastAsia="Arial Unicode MS" w:cs="Arial Unicode MS"/>
      <w:sz w:val="8"/>
      <w:szCs w:val="8"/>
    </w:rPr>
  </w:style>
  <w:style w:type="paragraph" w:customStyle="1" w:styleId="xl98">
    <w:name w:val="xl98"/>
    <w:basedOn w:val="Norml"/>
    <w:pPr>
      <w:spacing w:before="100" w:beforeAutospacing="1" w:after="100" w:afterAutospacing="1"/>
      <w:jc w:val="left"/>
    </w:pPr>
    <w:rPr>
      <w:rFonts w:eastAsia="Arial Unicode MS" w:cs="Arial Unicode MS"/>
      <w:sz w:val="8"/>
      <w:szCs w:val="8"/>
    </w:rPr>
  </w:style>
  <w:style w:type="paragraph" w:customStyle="1" w:styleId="xl99">
    <w:name w:val="xl99"/>
    <w:basedOn w:val="Norml"/>
    <w:pPr>
      <w:spacing w:before="100" w:beforeAutospacing="1" w:after="100" w:afterAutospacing="1"/>
      <w:jc w:val="left"/>
    </w:pPr>
    <w:rPr>
      <w:rFonts w:eastAsia="Arial Unicode MS" w:cs="Arial Unicode MS"/>
      <w:sz w:val="8"/>
      <w:szCs w:val="8"/>
    </w:rPr>
  </w:style>
  <w:style w:type="paragraph" w:customStyle="1" w:styleId="xl100">
    <w:name w:val="xl100"/>
    <w:basedOn w:val="Norml"/>
    <w:pPr>
      <w:spacing w:before="100" w:beforeAutospacing="1" w:after="100" w:afterAutospacing="1"/>
      <w:jc w:val="left"/>
    </w:pPr>
    <w:rPr>
      <w:rFonts w:eastAsia="Arial Unicode MS" w:cs="Arial Unicode MS"/>
      <w:sz w:val="8"/>
      <w:szCs w:val="8"/>
    </w:rPr>
  </w:style>
  <w:style w:type="paragraph" w:customStyle="1" w:styleId="xl101">
    <w:name w:val="xl101"/>
    <w:basedOn w:val="Norml"/>
    <w:pPr>
      <w:spacing w:before="100" w:beforeAutospacing="1" w:after="100" w:afterAutospacing="1"/>
      <w:jc w:val="left"/>
    </w:pPr>
    <w:rPr>
      <w:rFonts w:eastAsia="Arial Unicode MS" w:cs="Arial Unicode MS"/>
      <w:sz w:val="8"/>
      <w:szCs w:val="8"/>
    </w:rPr>
  </w:style>
  <w:style w:type="paragraph" w:customStyle="1" w:styleId="xl102">
    <w:name w:val="xl102"/>
    <w:basedOn w:val="Norml"/>
    <w:pPr>
      <w:spacing w:before="100" w:beforeAutospacing="1" w:after="100" w:afterAutospacing="1"/>
      <w:jc w:val="left"/>
    </w:pPr>
    <w:rPr>
      <w:rFonts w:eastAsia="Arial Unicode MS" w:cs="Arial Unicode MS"/>
      <w:b/>
      <w:bCs/>
      <w:i/>
      <w:iCs/>
      <w:sz w:val="8"/>
      <w:szCs w:val="8"/>
    </w:rPr>
  </w:style>
  <w:style w:type="paragraph" w:styleId="HTML-kntformzott">
    <w:name w:val="HTML Preformatted"/>
    <w:basedOn w:val="Norml"/>
    <w:link w:val="HTML-kntformzottChar"/>
    <w:uiPriority w:val="99"/>
    <w:semiHidden/>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Unicode MS" w:eastAsia="Arial Unicode MS" w:hAnsi="Arial Unicode MS" w:cs="Arial Unicode MS"/>
      <w:sz w:val="20"/>
    </w:rPr>
  </w:style>
  <w:style w:type="paragraph" w:styleId="Trgymutat1">
    <w:name w:val="index 1"/>
    <w:basedOn w:val="Norml"/>
    <w:next w:val="Norml"/>
    <w:autoRedefine/>
    <w:semiHidden/>
    <w:rsid w:val="000707F1"/>
    <w:pPr>
      <w:ind w:left="240" w:hanging="240"/>
      <w:jc w:val="center"/>
    </w:pPr>
    <w:rPr>
      <w:sz w:val="20"/>
    </w:rPr>
  </w:style>
  <w:style w:type="paragraph" w:styleId="Trgymutat2">
    <w:name w:val="index 2"/>
    <w:basedOn w:val="Norml"/>
    <w:next w:val="Norml"/>
    <w:autoRedefine/>
    <w:semiHidden/>
    <w:pPr>
      <w:ind w:left="480" w:hanging="240"/>
    </w:pPr>
  </w:style>
  <w:style w:type="paragraph" w:styleId="Trgymutat3">
    <w:name w:val="index 3"/>
    <w:basedOn w:val="Norml"/>
    <w:next w:val="Norml"/>
    <w:autoRedefine/>
    <w:semiHidden/>
    <w:pPr>
      <w:ind w:left="720" w:hanging="240"/>
    </w:pPr>
  </w:style>
  <w:style w:type="paragraph" w:styleId="Trgymutat4">
    <w:name w:val="index 4"/>
    <w:basedOn w:val="Norml"/>
    <w:next w:val="Norml"/>
    <w:autoRedefine/>
    <w:semiHidden/>
    <w:pPr>
      <w:ind w:left="960" w:hanging="240"/>
    </w:pPr>
  </w:style>
  <w:style w:type="paragraph" w:styleId="Trgymutat5">
    <w:name w:val="index 5"/>
    <w:basedOn w:val="Norml"/>
    <w:next w:val="Norml"/>
    <w:autoRedefine/>
    <w:semiHidden/>
    <w:pPr>
      <w:ind w:left="1200" w:hanging="240"/>
    </w:pPr>
  </w:style>
  <w:style w:type="paragraph" w:styleId="Trgymutat6">
    <w:name w:val="index 6"/>
    <w:basedOn w:val="Norml"/>
    <w:next w:val="Norml"/>
    <w:autoRedefine/>
    <w:semiHidden/>
    <w:pPr>
      <w:ind w:left="1440" w:hanging="240"/>
    </w:pPr>
  </w:style>
  <w:style w:type="paragraph" w:styleId="Trgymutat7">
    <w:name w:val="index 7"/>
    <w:basedOn w:val="Norml"/>
    <w:next w:val="Norml"/>
    <w:autoRedefine/>
    <w:semiHidden/>
    <w:pPr>
      <w:ind w:left="1680" w:hanging="240"/>
    </w:pPr>
  </w:style>
  <w:style w:type="paragraph" w:styleId="Trgymutat8">
    <w:name w:val="index 8"/>
    <w:basedOn w:val="Norml"/>
    <w:next w:val="Norml"/>
    <w:autoRedefine/>
    <w:semiHidden/>
    <w:pPr>
      <w:ind w:left="1920" w:hanging="240"/>
    </w:pPr>
  </w:style>
  <w:style w:type="paragraph" w:styleId="Trgymutat9">
    <w:name w:val="index 9"/>
    <w:basedOn w:val="Norml"/>
    <w:next w:val="Norml"/>
    <w:autoRedefine/>
    <w:semiHidden/>
    <w:pPr>
      <w:ind w:left="2160" w:hanging="240"/>
    </w:pPr>
  </w:style>
  <w:style w:type="paragraph" w:styleId="Trgymutatcm">
    <w:name w:val="index heading"/>
    <w:basedOn w:val="Norml"/>
    <w:next w:val="Trgymutat1"/>
    <w:semiHidden/>
  </w:style>
  <w:style w:type="character" w:customStyle="1" w:styleId="WW8Num36z1">
    <w:name w:val="WW8Num36z1"/>
    <w:rPr>
      <w:rFonts w:ascii="Courier New" w:hAnsi="Courier New"/>
    </w:rPr>
  </w:style>
  <w:style w:type="paragraph" w:customStyle="1" w:styleId="xl25">
    <w:name w:val="xl25"/>
    <w:basedOn w:val="Norml"/>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w:eastAsia="Arial Unicode MS" w:hAnsi="Arial"/>
      <w:szCs w:val="24"/>
    </w:rPr>
  </w:style>
  <w:style w:type="paragraph" w:styleId="Nincstrkz">
    <w:name w:val="No Spacing"/>
    <w:uiPriority w:val="1"/>
    <w:qFormat/>
    <w:rPr>
      <w:sz w:val="22"/>
      <w:szCs w:val="22"/>
      <w:lang w:eastAsia="en-US"/>
    </w:rPr>
  </w:style>
  <w:style w:type="paragraph" w:customStyle="1" w:styleId="szvegtrzs-behzsa-western">
    <w:name w:val="szövegtörzs-behúzása-western"/>
    <w:basedOn w:val="Norml"/>
    <w:pPr>
      <w:spacing w:before="100" w:beforeAutospacing="1"/>
    </w:pPr>
    <w:rPr>
      <w:rFonts w:ascii="Cambria" w:hAnsi="Cambria"/>
      <w:szCs w:val="24"/>
    </w:rPr>
  </w:style>
  <w:style w:type="paragraph" w:customStyle="1" w:styleId="xl121">
    <w:name w:val="xl121"/>
    <w:basedOn w:val="Norml"/>
    <w:pPr>
      <w:spacing w:before="100" w:beforeAutospacing="1" w:after="100" w:afterAutospacing="1"/>
      <w:jc w:val="left"/>
    </w:pPr>
    <w:rPr>
      <w:rFonts w:eastAsia="Arial Unicode MS" w:cs="Arial Unicode MS"/>
      <w:szCs w:val="24"/>
    </w:rPr>
  </w:style>
  <w:style w:type="paragraph" w:customStyle="1" w:styleId="xl122">
    <w:name w:val="xl122"/>
    <w:basedOn w:val="Norml"/>
    <w:pPr>
      <w:spacing w:before="100" w:beforeAutospacing="1" w:after="100" w:afterAutospacing="1"/>
      <w:jc w:val="left"/>
    </w:pPr>
    <w:rPr>
      <w:rFonts w:eastAsia="Arial Unicode MS" w:cs="Arial Unicode MS"/>
      <w:szCs w:val="24"/>
    </w:rPr>
  </w:style>
  <w:style w:type="paragraph" w:customStyle="1" w:styleId="xl123">
    <w:name w:val="xl123"/>
    <w:basedOn w:val="Norml"/>
    <w:pPr>
      <w:spacing w:before="100" w:beforeAutospacing="1" w:after="100" w:afterAutospacing="1"/>
      <w:jc w:val="center"/>
    </w:pPr>
    <w:rPr>
      <w:rFonts w:eastAsia="Arial Unicode MS" w:cs="Arial Unicode MS"/>
      <w:szCs w:val="24"/>
    </w:rPr>
  </w:style>
  <w:style w:type="paragraph" w:customStyle="1" w:styleId="xl124">
    <w:name w:val="xl124"/>
    <w:basedOn w:val="Norml"/>
    <w:pPr>
      <w:pBdr>
        <w:bottom w:val="single" w:sz="4" w:space="0" w:color="auto"/>
      </w:pBdr>
      <w:spacing w:before="100" w:beforeAutospacing="1" w:after="100" w:afterAutospacing="1"/>
      <w:jc w:val="right"/>
    </w:pPr>
    <w:rPr>
      <w:rFonts w:eastAsia="Arial Unicode MS" w:cs="Arial Unicode MS"/>
      <w:szCs w:val="24"/>
    </w:rPr>
  </w:style>
  <w:style w:type="paragraph" w:customStyle="1" w:styleId="xl125">
    <w:name w:val="xl125"/>
    <w:basedOn w:val="Norml"/>
    <w:pPr>
      <w:pBdr>
        <w:bottom w:val="single" w:sz="4" w:space="0" w:color="auto"/>
      </w:pBdr>
      <w:spacing w:before="100" w:beforeAutospacing="1" w:after="100" w:afterAutospacing="1"/>
      <w:jc w:val="right"/>
    </w:pPr>
    <w:rPr>
      <w:rFonts w:eastAsia="Arial Unicode MS" w:cs="Arial Unicode MS"/>
      <w:szCs w:val="24"/>
    </w:rPr>
  </w:style>
  <w:style w:type="paragraph" w:customStyle="1" w:styleId="xl126">
    <w:name w:val="xl126"/>
    <w:basedOn w:val="Norml"/>
    <w:pPr>
      <w:pBdr>
        <w:top w:val="single" w:sz="4" w:space="0" w:color="auto"/>
      </w:pBdr>
      <w:spacing w:before="100" w:beforeAutospacing="1" w:after="100" w:afterAutospacing="1"/>
      <w:jc w:val="center"/>
      <w:textAlignment w:val="center"/>
    </w:pPr>
    <w:rPr>
      <w:rFonts w:eastAsia="Arial Unicode MS" w:cs="Arial Unicode MS"/>
      <w:szCs w:val="24"/>
    </w:rPr>
  </w:style>
  <w:style w:type="paragraph" w:customStyle="1" w:styleId="xl127">
    <w:name w:val="xl127"/>
    <w:basedOn w:val="Norml"/>
    <w:pPr>
      <w:pBdr>
        <w:top w:val="single" w:sz="4" w:space="0" w:color="auto"/>
        <w:bottom w:val="single" w:sz="4" w:space="0" w:color="auto"/>
      </w:pBdr>
      <w:spacing w:before="100" w:beforeAutospacing="1" w:after="100" w:afterAutospacing="1"/>
      <w:jc w:val="left"/>
      <w:textAlignment w:val="center"/>
    </w:pPr>
    <w:rPr>
      <w:rFonts w:eastAsia="Arial Unicode MS" w:cs="Arial Unicode MS"/>
      <w:szCs w:val="24"/>
    </w:rPr>
  </w:style>
  <w:style w:type="paragraph" w:customStyle="1" w:styleId="xl128">
    <w:name w:val="xl128"/>
    <w:basedOn w:val="Norml"/>
    <w:pPr>
      <w:pBdr>
        <w:top w:val="single" w:sz="4" w:space="0" w:color="auto"/>
        <w:bottom w:val="single" w:sz="4" w:space="0" w:color="auto"/>
      </w:pBdr>
      <w:spacing w:before="100" w:beforeAutospacing="1" w:after="100" w:afterAutospacing="1"/>
      <w:jc w:val="left"/>
    </w:pPr>
    <w:rPr>
      <w:rFonts w:eastAsia="Arial Unicode MS" w:cs="Arial Unicode MS"/>
      <w:szCs w:val="24"/>
    </w:rPr>
  </w:style>
  <w:style w:type="paragraph" w:customStyle="1" w:styleId="xl129">
    <w:name w:val="xl129"/>
    <w:basedOn w:val="Norml"/>
    <w:pPr>
      <w:pBdr>
        <w:top w:val="single" w:sz="4" w:space="0" w:color="auto"/>
        <w:bottom w:val="single" w:sz="4" w:space="0" w:color="auto"/>
      </w:pBdr>
      <w:spacing w:before="100" w:beforeAutospacing="1" w:after="100" w:afterAutospacing="1"/>
      <w:jc w:val="left"/>
      <w:textAlignment w:val="center"/>
    </w:pPr>
    <w:rPr>
      <w:rFonts w:eastAsia="Arial Unicode MS" w:cs="Arial Unicode MS"/>
      <w:szCs w:val="24"/>
    </w:rPr>
  </w:style>
  <w:style w:type="paragraph" w:customStyle="1" w:styleId="xl130">
    <w:name w:val="xl130"/>
    <w:basedOn w:val="Norml"/>
    <w:pPr>
      <w:pBdr>
        <w:bottom w:val="single" w:sz="4" w:space="0" w:color="auto"/>
      </w:pBdr>
      <w:spacing w:before="100" w:beforeAutospacing="1" w:after="100" w:afterAutospacing="1"/>
      <w:jc w:val="left"/>
    </w:pPr>
    <w:rPr>
      <w:rFonts w:eastAsia="Arial Unicode MS" w:cs="Arial Unicode MS"/>
      <w:b/>
      <w:bCs/>
      <w:szCs w:val="24"/>
    </w:rPr>
  </w:style>
  <w:style w:type="paragraph" w:customStyle="1" w:styleId="xl131">
    <w:name w:val="xl131"/>
    <w:basedOn w:val="Norml"/>
    <w:pPr>
      <w:pBdr>
        <w:bottom w:val="single" w:sz="4" w:space="0" w:color="auto"/>
      </w:pBdr>
      <w:spacing w:before="100" w:beforeAutospacing="1" w:after="100" w:afterAutospacing="1"/>
      <w:jc w:val="center"/>
      <w:textAlignment w:val="center"/>
    </w:pPr>
    <w:rPr>
      <w:rFonts w:eastAsia="Arial Unicode MS" w:cs="Arial Unicode MS"/>
      <w:szCs w:val="24"/>
    </w:rPr>
  </w:style>
  <w:style w:type="paragraph" w:customStyle="1" w:styleId="xl132">
    <w:name w:val="xl132"/>
    <w:basedOn w:val="Norml"/>
    <w:pPr>
      <w:spacing w:before="100" w:beforeAutospacing="1" w:after="100" w:afterAutospacing="1"/>
      <w:jc w:val="right"/>
    </w:pPr>
    <w:rPr>
      <w:rFonts w:eastAsia="Arial Unicode MS" w:cs="Arial Unicode MS"/>
      <w:szCs w:val="24"/>
    </w:rPr>
  </w:style>
  <w:style w:type="paragraph" w:customStyle="1" w:styleId="xl133">
    <w:name w:val="xl133"/>
    <w:basedOn w:val="Norml"/>
    <w:pPr>
      <w:spacing w:before="100" w:beforeAutospacing="1" w:after="100" w:afterAutospacing="1"/>
      <w:jc w:val="left"/>
    </w:pPr>
    <w:rPr>
      <w:rFonts w:eastAsia="Arial Unicode MS" w:cs="Arial Unicode MS"/>
      <w:szCs w:val="24"/>
    </w:rPr>
  </w:style>
  <w:style w:type="paragraph" w:customStyle="1" w:styleId="xl134">
    <w:name w:val="xl134"/>
    <w:basedOn w:val="Norml"/>
    <w:pPr>
      <w:spacing w:before="100" w:beforeAutospacing="1" w:after="100" w:afterAutospacing="1"/>
      <w:jc w:val="center"/>
    </w:pPr>
    <w:rPr>
      <w:rFonts w:eastAsia="Arial Unicode MS" w:cs="Arial Unicode MS"/>
      <w:szCs w:val="24"/>
    </w:rPr>
  </w:style>
  <w:style w:type="paragraph" w:customStyle="1" w:styleId="xl135">
    <w:name w:val="xl135"/>
    <w:basedOn w:val="Norml"/>
    <w:pPr>
      <w:spacing w:before="100" w:beforeAutospacing="1" w:after="100" w:afterAutospacing="1"/>
      <w:jc w:val="right"/>
    </w:pPr>
    <w:rPr>
      <w:rFonts w:eastAsia="Arial Unicode MS" w:cs="Arial Unicode MS"/>
      <w:szCs w:val="24"/>
    </w:rPr>
  </w:style>
  <w:style w:type="paragraph" w:customStyle="1" w:styleId="xl136">
    <w:name w:val="xl136"/>
    <w:basedOn w:val="Norml"/>
    <w:pPr>
      <w:spacing w:before="100" w:beforeAutospacing="1" w:after="100" w:afterAutospacing="1"/>
      <w:jc w:val="left"/>
    </w:pPr>
    <w:rPr>
      <w:rFonts w:eastAsia="Arial Unicode MS" w:cs="Arial Unicode MS"/>
      <w:szCs w:val="24"/>
    </w:rPr>
  </w:style>
  <w:style w:type="paragraph" w:customStyle="1" w:styleId="xl137">
    <w:name w:val="xl137"/>
    <w:basedOn w:val="Norml"/>
    <w:pPr>
      <w:spacing w:before="100" w:beforeAutospacing="1" w:after="100" w:afterAutospacing="1"/>
      <w:jc w:val="left"/>
      <w:textAlignment w:val="center"/>
    </w:pPr>
    <w:rPr>
      <w:rFonts w:eastAsia="Arial Unicode MS" w:cs="Arial Unicode MS"/>
      <w:szCs w:val="24"/>
    </w:rPr>
  </w:style>
  <w:style w:type="paragraph" w:customStyle="1" w:styleId="xl138">
    <w:name w:val="xl138"/>
    <w:basedOn w:val="Norml"/>
    <w:pPr>
      <w:spacing w:before="100" w:beforeAutospacing="1" w:after="100" w:afterAutospacing="1"/>
      <w:jc w:val="left"/>
    </w:pPr>
    <w:rPr>
      <w:rFonts w:eastAsia="Arial Unicode MS" w:cs="Arial Unicode MS"/>
      <w:szCs w:val="24"/>
    </w:rPr>
  </w:style>
  <w:style w:type="paragraph" w:customStyle="1" w:styleId="xl139">
    <w:name w:val="xl139"/>
    <w:basedOn w:val="Norml"/>
    <w:pPr>
      <w:pBdr>
        <w:top w:val="single" w:sz="4" w:space="0" w:color="auto"/>
        <w:bottom w:val="single" w:sz="4" w:space="0" w:color="auto"/>
      </w:pBdr>
      <w:spacing w:before="100" w:beforeAutospacing="1" w:after="100" w:afterAutospacing="1"/>
      <w:jc w:val="center"/>
      <w:textAlignment w:val="center"/>
    </w:pPr>
    <w:rPr>
      <w:rFonts w:eastAsia="Arial Unicode MS" w:cs="Arial Unicode MS"/>
      <w:szCs w:val="24"/>
    </w:rPr>
  </w:style>
  <w:style w:type="paragraph" w:customStyle="1" w:styleId="xl140">
    <w:name w:val="xl140"/>
    <w:basedOn w:val="Norml"/>
    <w:pPr>
      <w:spacing w:before="100" w:beforeAutospacing="1" w:after="100" w:afterAutospacing="1"/>
      <w:jc w:val="left"/>
      <w:textAlignment w:val="center"/>
    </w:pPr>
    <w:rPr>
      <w:rFonts w:eastAsia="Arial Unicode MS" w:cs="Arial Unicode MS"/>
      <w:i/>
      <w:iCs/>
      <w:szCs w:val="24"/>
    </w:rPr>
  </w:style>
  <w:style w:type="paragraph" w:customStyle="1" w:styleId="xl141">
    <w:name w:val="xl141"/>
    <w:basedOn w:val="Norml"/>
    <w:pPr>
      <w:spacing w:before="100" w:beforeAutospacing="1" w:after="100" w:afterAutospacing="1"/>
      <w:jc w:val="left"/>
    </w:pPr>
    <w:rPr>
      <w:rFonts w:eastAsia="Arial Unicode MS" w:cs="Arial Unicode MS"/>
      <w:i/>
      <w:iCs/>
      <w:szCs w:val="24"/>
    </w:rPr>
  </w:style>
  <w:style w:type="paragraph" w:customStyle="1" w:styleId="xl142">
    <w:name w:val="xl142"/>
    <w:basedOn w:val="Norml"/>
    <w:pPr>
      <w:spacing w:before="100" w:beforeAutospacing="1" w:after="100" w:afterAutospacing="1"/>
      <w:jc w:val="left"/>
    </w:pPr>
    <w:rPr>
      <w:rFonts w:eastAsia="Arial Unicode MS" w:cs="Arial Unicode MS"/>
      <w:szCs w:val="24"/>
    </w:rPr>
  </w:style>
  <w:style w:type="paragraph" w:customStyle="1" w:styleId="xl143">
    <w:name w:val="xl143"/>
    <w:basedOn w:val="Norml"/>
    <w:pPr>
      <w:spacing w:before="100" w:beforeAutospacing="1" w:after="100" w:afterAutospacing="1"/>
      <w:jc w:val="left"/>
      <w:textAlignment w:val="center"/>
    </w:pPr>
    <w:rPr>
      <w:rFonts w:eastAsia="Arial Unicode MS" w:cs="Arial Unicode MS"/>
      <w:i/>
      <w:iCs/>
      <w:szCs w:val="24"/>
    </w:rPr>
  </w:style>
  <w:style w:type="paragraph" w:customStyle="1" w:styleId="xl144">
    <w:name w:val="xl144"/>
    <w:basedOn w:val="Norml"/>
    <w:pPr>
      <w:spacing w:before="100" w:beforeAutospacing="1" w:after="100" w:afterAutospacing="1"/>
      <w:jc w:val="left"/>
      <w:textAlignment w:val="center"/>
    </w:pPr>
    <w:rPr>
      <w:rFonts w:eastAsia="Arial Unicode MS" w:cs="Arial Unicode MS"/>
      <w:b/>
      <w:bCs/>
      <w:i/>
      <w:iCs/>
      <w:szCs w:val="24"/>
    </w:rPr>
  </w:style>
  <w:style w:type="paragraph" w:customStyle="1" w:styleId="xl145">
    <w:name w:val="xl145"/>
    <w:basedOn w:val="Norml"/>
    <w:pPr>
      <w:spacing w:before="100" w:beforeAutospacing="1" w:after="100" w:afterAutospacing="1"/>
      <w:jc w:val="left"/>
      <w:textAlignment w:val="center"/>
    </w:pPr>
    <w:rPr>
      <w:rFonts w:eastAsia="Arial Unicode MS" w:cs="Arial Unicode MS"/>
      <w:b/>
      <w:bCs/>
      <w:i/>
      <w:iCs/>
      <w:szCs w:val="24"/>
    </w:rPr>
  </w:style>
  <w:style w:type="paragraph" w:customStyle="1" w:styleId="xl146">
    <w:name w:val="xl146"/>
    <w:basedOn w:val="Norml"/>
    <w:pPr>
      <w:spacing w:before="100" w:beforeAutospacing="1" w:after="100" w:afterAutospacing="1"/>
      <w:jc w:val="left"/>
      <w:textAlignment w:val="center"/>
    </w:pPr>
    <w:rPr>
      <w:rFonts w:eastAsia="Arial Unicode MS" w:cs="Arial Unicode MS"/>
      <w:b/>
      <w:bCs/>
      <w:szCs w:val="24"/>
    </w:rPr>
  </w:style>
  <w:style w:type="paragraph" w:customStyle="1" w:styleId="xl147">
    <w:name w:val="xl147"/>
    <w:basedOn w:val="Norml"/>
    <w:pPr>
      <w:spacing w:before="100" w:beforeAutospacing="1" w:after="100" w:afterAutospacing="1"/>
      <w:jc w:val="left"/>
      <w:textAlignment w:val="center"/>
    </w:pPr>
    <w:rPr>
      <w:rFonts w:eastAsia="Arial Unicode MS" w:cs="Arial Unicode MS"/>
      <w:b/>
      <w:bCs/>
      <w:szCs w:val="24"/>
    </w:rPr>
  </w:style>
  <w:style w:type="paragraph" w:customStyle="1" w:styleId="xl148">
    <w:name w:val="xl148"/>
    <w:basedOn w:val="Norml"/>
    <w:pPr>
      <w:spacing w:before="100" w:beforeAutospacing="1" w:after="100" w:afterAutospacing="1"/>
      <w:jc w:val="left"/>
      <w:textAlignment w:val="center"/>
    </w:pPr>
    <w:rPr>
      <w:rFonts w:eastAsia="Arial Unicode MS" w:cs="Arial Unicode MS"/>
      <w:b/>
      <w:bCs/>
      <w:i/>
      <w:iCs/>
      <w:szCs w:val="24"/>
    </w:rPr>
  </w:style>
  <w:style w:type="paragraph" w:customStyle="1" w:styleId="xl149">
    <w:name w:val="xl149"/>
    <w:basedOn w:val="Norml"/>
    <w:pPr>
      <w:spacing w:before="100" w:beforeAutospacing="1" w:after="100" w:afterAutospacing="1"/>
      <w:jc w:val="left"/>
      <w:textAlignment w:val="center"/>
    </w:pPr>
    <w:rPr>
      <w:rFonts w:eastAsia="Arial Unicode MS" w:cs="Arial Unicode MS"/>
      <w:b/>
      <w:bCs/>
      <w:i/>
      <w:iCs/>
      <w:szCs w:val="24"/>
    </w:rPr>
  </w:style>
  <w:style w:type="paragraph" w:customStyle="1" w:styleId="xl150">
    <w:name w:val="xl150"/>
    <w:basedOn w:val="Norml"/>
    <w:pPr>
      <w:spacing w:before="100" w:beforeAutospacing="1" w:after="100" w:afterAutospacing="1"/>
      <w:jc w:val="left"/>
      <w:textAlignment w:val="center"/>
    </w:pPr>
    <w:rPr>
      <w:rFonts w:eastAsia="Arial Unicode MS" w:cs="Arial Unicode MS"/>
      <w:szCs w:val="24"/>
    </w:rPr>
  </w:style>
  <w:style w:type="paragraph" w:customStyle="1" w:styleId="xl151">
    <w:name w:val="xl151"/>
    <w:basedOn w:val="Norml"/>
    <w:pPr>
      <w:spacing w:before="100" w:beforeAutospacing="1" w:after="100" w:afterAutospacing="1"/>
      <w:jc w:val="left"/>
      <w:textAlignment w:val="center"/>
    </w:pPr>
    <w:rPr>
      <w:rFonts w:eastAsia="Arial Unicode MS" w:cs="Arial Unicode MS"/>
      <w:b/>
      <w:bCs/>
      <w:szCs w:val="24"/>
    </w:rPr>
  </w:style>
  <w:style w:type="paragraph" w:customStyle="1" w:styleId="xl152">
    <w:name w:val="xl152"/>
    <w:basedOn w:val="Norml"/>
    <w:pPr>
      <w:pBdr>
        <w:top w:val="single" w:sz="4" w:space="0" w:color="auto"/>
      </w:pBdr>
      <w:spacing w:before="100" w:beforeAutospacing="1" w:after="100" w:afterAutospacing="1"/>
      <w:jc w:val="center"/>
      <w:textAlignment w:val="center"/>
    </w:pPr>
    <w:rPr>
      <w:rFonts w:eastAsia="Arial Unicode MS" w:cs="Arial Unicode MS"/>
      <w:szCs w:val="24"/>
    </w:rPr>
  </w:style>
  <w:style w:type="paragraph" w:customStyle="1" w:styleId="xl153">
    <w:name w:val="xl153"/>
    <w:basedOn w:val="Norml"/>
    <w:pPr>
      <w:pBdr>
        <w:bottom w:val="single" w:sz="4" w:space="0" w:color="auto"/>
      </w:pBdr>
      <w:spacing w:before="100" w:beforeAutospacing="1" w:after="100" w:afterAutospacing="1"/>
      <w:jc w:val="center"/>
      <w:textAlignment w:val="center"/>
    </w:pPr>
    <w:rPr>
      <w:rFonts w:eastAsia="Arial Unicode MS" w:cs="Arial Unicode MS"/>
      <w:szCs w:val="24"/>
    </w:rPr>
  </w:style>
  <w:style w:type="paragraph" w:customStyle="1" w:styleId="xl154">
    <w:name w:val="xl154"/>
    <w:basedOn w:val="Norml"/>
    <w:pPr>
      <w:pBdr>
        <w:top w:val="single" w:sz="4" w:space="0" w:color="auto"/>
        <w:bottom w:val="single" w:sz="4" w:space="0" w:color="auto"/>
      </w:pBdr>
      <w:spacing w:before="100" w:beforeAutospacing="1" w:after="100" w:afterAutospacing="1"/>
      <w:jc w:val="center"/>
      <w:textAlignment w:val="center"/>
    </w:pPr>
    <w:rPr>
      <w:rFonts w:eastAsia="Arial Unicode MS" w:cs="Arial Unicode MS"/>
      <w:szCs w:val="24"/>
    </w:rPr>
  </w:style>
  <w:style w:type="paragraph" w:styleId="Buborkszveg">
    <w:name w:val="Balloon Text"/>
    <w:basedOn w:val="Norml"/>
    <w:link w:val="BuborkszvegChar"/>
    <w:semiHidden/>
    <w:rPr>
      <w:rFonts w:ascii="Tahoma" w:hAnsi="Tahoma" w:cs="Tahoma"/>
      <w:sz w:val="16"/>
      <w:szCs w:val="16"/>
    </w:rPr>
  </w:style>
  <w:style w:type="paragraph" w:customStyle="1" w:styleId="western">
    <w:name w:val="western"/>
    <w:basedOn w:val="Norml"/>
    <w:pPr>
      <w:spacing w:before="100" w:beforeAutospacing="1" w:after="119"/>
      <w:jc w:val="left"/>
    </w:pPr>
    <w:rPr>
      <w:rFonts w:ascii="Cambria" w:eastAsia="Arial Unicode MS" w:hAnsi="Cambria" w:cs="Arial Unicode MS"/>
      <w:szCs w:val="24"/>
    </w:rPr>
  </w:style>
  <w:style w:type="paragraph" w:customStyle="1" w:styleId="xl26">
    <w:name w:val="xl26"/>
    <w:basedOn w:val="Norml"/>
    <w:pPr>
      <w:spacing w:before="100" w:beforeAutospacing="1" w:after="100" w:afterAutospacing="1"/>
      <w:jc w:val="center"/>
    </w:pPr>
    <w:rPr>
      <w:rFonts w:eastAsia="Arial Unicode MS" w:cs="Arial Unicode MS"/>
      <w:szCs w:val="24"/>
    </w:rPr>
  </w:style>
  <w:style w:type="paragraph" w:customStyle="1" w:styleId="xl27">
    <w:name w:val="xl27"/>
    <w:basedOn w:val="Norml"/>
    <w:pPr>
      <w:spacing w:before="100" w:beforeAutospacing="1" w:after="100" w:afterAutospacing="1"/>
      <w:jc w:val="left"/>
    </w:pPr>
    <w:rPr>
      <w:rFonts w:eastAsia="Arial Unicode MS" w:cs="Arial Unicode MS"/>
      <w:szCs w:val="24"/>
    </w:rPr>
  </w:style>
  <w:style w:type="paragraph" w:customStyle="1" w:styleId="xl29">
    <w:name w:val="xl29"/>
    <w:basedOn w:val="Norml"/>
    <w:pPr>
      <w:spacing w:before="100" w:beforeAutospacing="1" w:after="100" w:afterAutospacing="1"/>
      <w:jc w:val="left"/>
    </w:pPr>
    <w:rPr>
      <w:rFonts w:eastAsia="Arial Unicode MS" w:cs="Arial Unicode MS"/>
      <w:b/>
      <w:bCs/>
      <w:i/>
      <w:iCs/>
      <w:sz w:val="8"/>
      <w:szCs w:val="8"/>
    </w:rPr>
  </w:style>
  <w:style w:type="paragraph" w:customStyle="1" w:styleId="jelents2">
    <w:name w:val="jelentés 2"/>
    <w:basedOn w:val="Szvegtrzsbehzssal"/>
    <w:pPr>
      <w:widowControl w:val="0"/>
      <w:suppressAutoHyphens/>
      <w:spacing w:after="57"/>
      <w:ind w:left="0" w:firstLine="0"/>
      <w:jc w:val="left"/>
    </w:pPr>
    <w:rPr>
      <w:rFonts w:eastAsia="Lucida Sans Unicode" w:cs="Tahoma"/>
      <w:b/>
      <w:i/>
      <w:kern w:val="1"/>
      <w:sz w:val="28"/>
      <w:szCs w:val="24"/>
    </w:rPr>
  </w:style>
  <w:style w:type="character" w:styleId="Mrltotthiperhivatkozs">
    <w:name w:val="FollowedHyperlink"/>
    <w:basedOn w:val="Bekezdsalapbettpusa"/>
    <w:semiHidden/>
    <w:rPr>
      <w:color w:val="800080"/>
      <w:u w:val="single"/>
    </w:rPr>
  </w:style>
  <w:style w:type="paragraph" w:customStyle="1" w:styleId="font9">
    <w:name w:val="font9"/>
    <w:basedOn w:val="Norml"/>
    <w:pPr>
      <w:spacing w:before="100" w:beforeAutospacing="1" w:after="100" w:afterAutospacing="1"/>
      <w:jc w:val="left"/>
    </w:pPr>
    <w:rPr>
      <w:rFonts w:ascii="Tahoma" w:hAnsi="Tahoma" w:cs="Tahoma"/>
      <w:b/>
      <w:bCs/>
      <w:color w:val="000000"/>
      <w:sz w:val="16"/>
      <w:szCs w:val="16"/>
    </w:rPr>
  </w:style>
  <w:style w:type="paragraph" w:customStyle="1" w:styleId="font10">
    <w:name w:val="font10"/>
    <w:basedOn w:val="Norml"/>
    <w:pPr>
      <w:spacing w:before="100" w:beforeAutospacing="1" w:after="100" w:afterAutospacing="1"/>
      <w:jc w:val="left"/>
    </w:pPr>
    <w:rPr>
      <w:sz w:val="20"/>
    </w:rPr>
  </w:style>
  <w:style w:type="paragraph" w:customStyle="1" w:styleId="Textbodyindent">
    <w:name w:val="Text body indent"/>
    <w:basedOn w:val="Norml"/>
    <w:rsid w:val="002B46F3"/>
    <w:pPr>
      <w:widowControl w:val="0"/>
      <w:suppressAutoHyphens/>
      <w:autoSpaceDN w:val="0"/>
      <w:spacing w:after="57"/>
      <w:textAlignment w:val="baseline"/>
    </w:pPr>
    <w:rPr>
      <w:rFonts w:ascii="Cambria" w:eastAsia="Arial Unicode MS" w:hAnsi="Cambria" w:cs="Mangal"/>
      <w:kern w:val="3"/>
      <w:szCs w:val="24"/>
      <w:lang w:eastAsia="zh-CN" w:bidi="hi-IN"/>
    </w:rPr>
  </w:style>
  <w:style w:type="paragraph" w:customStyle="1" w:styleId="Alaprtelmezett">
    <w:name w:val="Alapértelmezett"/>
    <w:rsid w:val="003A27E1"/>
    <w:pPr>
      <w:tabs>
        <w:tab w:val="left" w:pos="709"/>
      </w:tabs>
      <w:suppressAutoHyphens/>
      <w:spacing w:after="160" w:line="259" w:lineRule="auto"/>
    </w:pPr>
    <w:rPr>
      <w:color w:val="00000A"/>
    </w:rPr>
  </w:style>
  <w:style w:type="paragraph" w:styleId="Listaszerbekezds">
    <w:name w:val="List Paragraph"/>
    <w:basedOn w:val="Norml"/>
    <w:uiPriority w:val="34"/>
    <w:qFormat/>
    <w:rsid w:val="000728B5"/>
    <w:pPr>
      <w:ind w:left="720"/>
      <w:contextualSpacing/>
    </w:pPr>
  </w:style>
  <w:style w:type="paragraph" w:styleId="Lbjegyzetszveg">
    <w:name w:val="footnote text"/>
    <w:basedOn w:val="Norml"/>
    <w:link w:val="LbjegyzetszvegChar"/>
    <w:uiPriority w:val="99"/>
    <w:semiHidden/>
    <w:unhideWhenUsed/>
    <w:rsid w:val="00860337"/>
    <w:rPr>
      <w:sz w:val="20"/>
    </w:rPr>
  </w:style>
  <w:style w:type="character" w:customStyle="1" w:styleId="LbjegyzetszvegChar">
    <w:name w:val="Lábjegyzetszöveg Char"/>
    <w:basedOn w:val="Bekezdsalapbettpusa"/>
    <w:link w:val="Lbjegyzetszveg"/>
    <w:uiPriority w:val="99"/>
    <w:semiHidden/>
    <w:rsid w:val="00860337"/>
  </w:style>
  <w:style w:type="character" w:styleId="Lbjegyzet-hivatkozs">
    <w:name w:val="footnote reference"/>
    <w:basedOn w:val="Bekezdsalapbettpusa"/>
    <w:uiPriority w:val="99"/>
    <w:semiHidden/>
    <w:unhideWhenUsed/>
    <w:rsid w:val="00860337"/>
    <w:rPr>
      <w:vertAlign w:val="superscript"/>
    </w:rPr>
  </w:style>
  <w:style w:type="paragraph" w:customStyle="1" w:styleId="Szvegtrzs21">
    <w:name w:val="Szövegtörzs 21"/>
    <w:basedOn w:val="Norml"/>
    <w:rsid w:val="002958F0"/>
    <w:pPr>
      <w:tabs>
        <w:tab w:val="left" w:pos="709"/>
      </w:tabs>
      <w:suppressAutoHyphens/>
      <w:spacing w:after="160" w:line="254" w:lineRule="auto"/>
      <w:ind w:right="283"/>
      <w:jc w:val="left"/>
    </w:pPr>
    <w:rPr>
      <w:color w:val="00000A"/>
      <w:kern w:val="1"/>
      <w:lang w:eastAsia="zh-CN"/>
    </w:rPr>
  </w:style>
  <w:style w:type="paragraph" w:customStyle="1" w:styleId="Szvegtrzs32">
    <w:name w:val="Szövegtörzs 32"/>
    <w:basedOn w:val="Norml"/>
    <w:qFormat/>
    <w:rsid w:val="002958F0"/>
    <w:pPr>
      <w:tabs>
        <w:tab w:val="left" w:pos="567"/>
        <w:tab w:val="right" w:pos="7938"/>
      </w:tabs>
      <w:suppressAutoHyphens/>
      <w:spacing w:after="160" w:line="254" w:lineRule="auto"/>
      <w:jc w:val="left"/>
    </w:pPr>
    <w:rPr>
      <w:color w:val="00000A"/>
      <w:kern w:val="1"/>
      <w:lang w:eastAsia="zh-CN"/>
    </w:rPr>
  </w:style>
  <w:style w:type="paragraph" w:customStyle="1" w:styleId="NormlWeb1">
    <w:name w:val="Normál (Web)1"/>
    <w:basedOn w:val="Norml"/>
    <w:rsid w:val="002958F0"/>
    <w:pPr>
      <w:tabs>
        <w:tab w:val="left" w:pos="709"/>
      </w:tabs>
      <w:suppressAutoHyphens/>
      <w:spacing w:before="280" w:after="119" w:line="254" w:lineRule="auto"/>
      <w:jc w:val="left"/>
    </w:pPr>
    <w:rPr>
      <w:rFonts w:ascii="Arial Unicode MS" w:eastAsia="Arial Unicode MS" w:hAnsi="Arial Unicode MS" w:cs="Arial Unicode MS"/>
      <w:color w:val="00000A"/>
      <w:kern w:val="1"/>
      <w:szCs w:val="24"/>
      <w:lang w:eastAsia="zh-CN"/>
    </w:rPr>
  </w:style>
  <w:style w:type="paragraph" w:customStyle="1" w:styleId="Trgymutatcm1">
    <w:name w:val="Tárgymutatócím1"/>
    <w:basedOn w:val="Norml"/>
    <w:rsid w:val="002958F0"/>
    <w:pPr>
      <w:tabs>
        <w:tab w:val="left" w:pos="709"/>
      </w:tabs>
      <w:suppressAutoHyphens/>
      <w:spacing w:after="160" w:line="254" w:lineRule="auto"/>
      <w:jc w:val="left"/>
    </w:pPr>
    <w:rPr>
      <w:color w:val="00000A"/>
      <w:kern w:val="1"/>
      <w:lang w:eastAsia="zh-CN"/>
    </w:rPr>
  </w:style>
  <w:style w:type="table" w:styleId="Rcsostblzat">
    <w:name w:val="Table Grid"/>
    <w:basedOn w:val="Normltblzat"/>
    <w:uiPriority w:val="39"/>
    <w:rsid w:val="00456BD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zvegtrzs22">
    <w:name w:val="Szövegtörzs 22"/>
    <w:basedOn w:val="Norml"/>
    <w:rsid w:val="00A60306"/>
    <w:pPr>
      <w:tabs>
        <w:tab w:val="left" w:pos="709"/>
      </w:tabs>
      <w:suppressAutoHyphens/>
      <w:spacing w:after="160" w:line="254" w:lineRule="auto"/>
      <w:ind w:right="283"/>
      <w:jc w:val="left"/>
    </w:pPr>
    <w:rPr>
      <w:color w:val="00000A"/>
      <w:kern w:val="1"/>
      <w:lang w:eastAsia="zh-CN"/>
    </w:rPr>
  </w:style>
  <w:style w:type="paragraph" w:styleId="Tartalomjegyzkcmsora">
    <w:name w:val="TOC Heading"/>
    <w:basedOn w:val="Cmsor1"/>
    <w:next w:val="Norml"/>
    <w:uiPriority w:val="39"/>
    <w:unhideWhenUsed/>
    <w:qFormat/>
    <w:rsid w:val="00BD34D3"/>
    <w:pPr>
      <w:keepLines/>
      <w:tabs>
        <w:tab w:val="clear" w:pos="3544"/>
        <w:tab w:val="clear" w:pos="5245"/>
        <w:tab w:val="clear" w:pos="6663"/>
        <w:tab w:val="clear" w:pos="8222"/>
      </w:tabs>
      <w:spacing w:before="240" w:line="259" w:lineRule="auto"/>
      <w:jc w:val="left"/>
      <w:outlineLvl w:val="9"/>
    </w:pPr>
    <w:rPr>
      <w:rFonts w:asciiTheme="majorHAnsi" w:eastAsiaTheme="majorEastAsia" w:hAnsiTheme="majorHAnsi" w:cstheme="majorBidi"/>
      <w:b w:val="0"/>
      <w:bCs w:val="0"/>
      <w:iCs w:val="0"/>
      <w:smallCaps w:val="0"/>
      <w:color w:val="2E74B5" w:themeColor="accent1" w:themeShade="BF"/>
      <w:sz w:val="32"/>
      <w:szCs w:val="32"/>
    </w:rPr>
  </w:style>
  <w:style w:type="character" w:customStyle="1" w:styleId="HTML-kntformzottChar">
    <w:name w:val="HTML-ként formázott Char"/>
    <w:basedOn w:val="Bekezdsalapbettpusa"/>
    <w:link w:val="HTML-kntformzott"/>
    <w:uiPriority w:val="99"/>
    <w:semiHidden/>
    <w:rsid w:val="00737E35"/>
    <w:rPr>
      <w:rFonts w:ascii="Arial Unicode MS" w:eastAsia="Arial Unicode MS" w:hAnsi="Arial Unicode MS" w:cs="Arial Unicode MS"/>
    </w:rPr>
  </w:style>
  <w:style w:type="character" w:customStyle="1" w:styleId="st">
    <w:name w:val="st"/>
    <w:basedOn w:val="Bekezdsalapbettpusa"/>
    <w:rsid w:val="00BB15A5"/>
  </w:style>
  <w:style w:type="paragraph" w:customStyle="1" w:styleId="Default">
    <w:name w:val="Default"/>
    <w:rsid w:val="00120577"/>
    <w:pPr>
      <w:autoSpaceDE w:val="0"/>
      <w:autoSpaceDN w:val="0"/>
      <w:adjustRightInd w:val="0"/>
    </w:pPr>
    <w:rPr>
      <w:rFonts w:ascii="Cambria" w:hAnsi="Cambria" w:cs="Cambria"/>
      <w:color w:val="000000"/>
      <w:sz w:val="24"/>
      <w:szCs w:val="24"/>
    </w:rPr>
  </w:style>
  <w:style w:type="numbering" w:customStyle="1" w:styleId="WW8Num3">
    <w:name w:val="WW8Num3"/>
    <w:basedOn w:val="Nemlista"/>
    <w:rsid w:val="00AF1F91"/>
    <w:pPr>
      <w:numPr>
        <w:numId w:val="8"/>
      </w:numPr>
    </w:pPr>
  </w:style>
  <w:style w:type="character" w:customStyle="1" w:styleId="Cmsor8Char">
    <w:name w:val="Címsor 8 Char"/>
    <w:basedOn w:val="Bekezdsalapbettpusa"/>
    <w:link w:val="Cmsor8"/>
    <w:rsid w:val="00C57AB1"/>
    <w:rPr>
      <w:sz w:val="24"/>
    </w:rPr>
  </w:style>
  <w:style w:type="character" w:customStyle="1" w:styleId="BuborkszvegChar">
    <w:name w:val="Buborékszöveg Char"/>
    <w:link w:val="Buborkszveg"/>
    <w:uiPriority w:val="99"/>
    <w:semiHidden/>
    <w:rsid w:val="0051352B"/>
    <w:rPr>
      <w:rFonts w:ascii="Tahoma" w:hAnsi="Tahoma" w:cs="Tahoma"/>
      <w:sz w:val="16"/>
      <w:szCs w:val="16"/>
    </w:rPr>
  </w:style>
  <w:style w:type="paragraph" w:customStyle="1" w:styleId="Szvegtrzs33">
    <w:name w:val="Szövegtörzs 33"/>
    <w:basedOn w:val="Norml"/>
    <w:rsid w:val="00B5221C"/>
    <w:pPr>
      <w:widowControl w:val="0"/>
      <w:suppressAutoHyphens/>
      <w:autoSpaceDE w:val="0"/>
      <w:spacing w:after="120"/>
      <w:jc w:val="left"/>
    </w:pPr>
    <w:rPr>
      <w:sz w:val="16"/>
      <w:szCs w:val="16"/>
      <w:lang w:eastAsia="zh-CN"/>
    </w:rPr>
  </w:style>
  <w:style w:type="paragraph" w:customStyle="1" w:styleId="yiv1035285589ydp602e4edfmsobodytext">
    <w:name w:val="yiv1035285589ydp602e4edfmsobodytext"/>
    <w:basedOn w:val="Norml"/>
    <w:rsid w:val="0040315A"/>
    <w:pPr>
      <w:spacing w:before="100" w:beforeAutospacing="1" w:after="100" w:afterAutospacing="1"/>
      <w:jc w:val="left"/>
    </w:pPr>
    <w:rPr>
      <w:szCs w:val="24"/>
    </w:rPr>
  </w:style>
  <w:style w:type="character" w:customStyle="1" w:styleId="lfejChar">
    <w:name w:val="Élőfej Char"/>
    <w:basedOn w:val="Bekezdsalapbettpusa"/>
    <w:link w:val="lfej"/>
    <w:semiHidden/>
    <w:rsid w:val="004B2AA0"/>
    <w:rPr>
      <w:sz w:val="24"/>
    </w:rPr>
  </w:style>
  <w:style w:type="paragraph" w:customStyle="1" w:styleId="Szvegtrzsbehzssal31">
    <w:name w:val="Szövegtörzs behúzással 31"/>
    <w:basedOn w:val="Norml"/>
    <w:rsid w:val="006F0770"/>
    <w:pPr>
      <w:widowControl w:val="0"/>
      <w:suppressAutoHyphens/>
      <w:autoSpaceDE w:val="0"/>
      <w:ind w:left="2127" w:hanging="1843"/>
      <w:jc w:val="left"/>
    </w:pPr>
    <w:rPr>
      <w:lang w:eastAsia="ar-SA"/>
    </w:rPr>
  </w:style>
  <w:style w:type="character" w:customStyle="1" w:styleId="Szvegtrzs2Char">
    <w:name w:val="Szövegtörzs 2 Char"/>
    <w:basedOn w:val="Bekezdsalapbettpusa"/>
    <w:link w:val="Szvegtrzs2"/>
    <w:semiHidden/>
    <w:rsid w:val="003F6805"/>
    <w:rPr>
      <w:sz w:val="24"/>
    </w:rPr>
  </w:style>
  <w:style w:type="paragraph" w:customStyle="1" w:styleId="1">
    <w:name w:val="1"/>
    <w:qFormat/>
    <w:rsid w:val="00B11A53"/>
    <w:pPr>
      <w:widowControl w:val="0"/>
      <w:autoSpaceDE w:val="0"/>
      <w:autoSpaceDN w:val="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758925">
      <w:bodyDiv w:val="1"/>
      <w:marLeft w:val="0"/>
      <w:marRight w:val="0"/>
      <w:marTop w:val="0"/>
      <w:marBottom w:val="0"/>
      <w:divBdr>
        <w:top w:val="none" w:sz="0" w:space="0" w:color="auto"/>
        <w:left w:val="none" w:sz="0" w:space="0" w:color="auto"/>
        <w:bottom w:val="none" w:sz="0" w:space="0" w:color="auto"/>
        <w:right w:val="none" w:sz="0" w:space="0" w:color="auto"/>
      </w:divBdr>
    </w:div>
    <w:div w:id="13844949">
      <w:bodyDiv w:val="1"/>
      <w:marLeft w:val="0"/>
      <w:marRight w:val="0"/>
      <w:marTop w:val="0"/>
      <w:marBottom w:val="0"/>
      <w:divBdr>
        <w:top w:val="none" w:sz="0" w:space="0" w:color="auto"/>
        <w:left w:val="none" w:sz="0" w:space="0" w:color="auto"/>
        <w:bottom w:val="none" w:sz="0" w:space="0" w:color="auto"/>
        <w:right w:val="none" w:sz="0" w:space="0" w:color="auto"/>
      </w:divBdr>
    </w:div>
    <w:div w:id="14818692">
      <w:bodyDiv w:val="1"/>
      <w:marLeft w:val="0"/>
      <w:marRight w:val="0"/>
      <w:marTop w:val="0"/>
      <w:marBottom w:val="0"/>
      <w:divBdr>
        <w:top w:val="none" w:sz="0" w:space="0" w:color="auto"/>
        <w:left w:val="none" w:sz="0" w:space="0" w:color="auto"/>
        <w:bottom w:val="none" w:sz="0" w:space="0" w:color="auto"/>
        <w:right w:val="none" w:sz="0" w:space="0" w:color="auto"/>
      </w:divBdr>
    </w:div>
    <w:div w:id="15468385">
      <w:bodyDiv w:val="1"/>
      <w:marLeft w:val="0"/>
      <w:marRight w:val="0"/>
      <w:marTop w:val="0"/>
      <w:marBottom w:val="0"/>
      <w:divBdr>
        <w:top w:val="none" w:sz="0" w:space="0" w:color="auto"/>
        <w:left w:val="none" w:sz="0" w:space="0" w:color="auto"/>
        <w:bottom w:val="none" w:sz="0" w:space="0" w:color="auto"/>
        <w:right w:val="none" w:sz="0" w:space="0" w:color="auto"/>
      </w:divBdr>
    </w:div>
    <w:div w:id="15695121">
      <w:bodyDiv w:val="1"/>
      <w:marLeft w:val="0"/>
      <w:marRight w:val="0"/>
      <w:marTop w:val="0"/>
      <w:marBottom w:val="0"/>
      <w:divBdr>
        <w:top w:val="none" w:sz="0" w:space="0" w:color="auto"/>
        <w:left w:val="none" w:sz="0" w:space="0" w:color="auto"/>
        <w:bottom w:val="none" w:sz="0" w:space="0" w:color="auto"/>
        <w:right w:val="none" w:sz="0" w:space="0" w:color="auto"/>
      </w:divBdr>
    </w:div>
    <w:div w:id="25184274">
      <w:bodyDiv w:val="1"/>
      <w:marLeft w:val="0"/>
      <w:marRight w:val="0"/>
      <w:marTop w:val="0"/>
      <w:marBottom w:val="0"/>
      <w:divBdr>
        <w:top w:val="none" w:sz="0" w:space="0" w:color="auto"/>
        <w:left w:val="none" w:sz="0" w:space="0" w:color="auto"/>
        <w:bottom w:val="none" w:sz="0" w:space="0" w:color="auto"/>
        <w:right w:val="none" w:sz="0" w:space="0" w:color="auto"/>
      </w:divBdr>
    </w:div>
    <w:div w:id="38867915">
      <w:bodyDiv w:val="1"/>
      <w:marLeft w:val="0"/>
      <w:marRight w:val="0"/>
      <w:marTop w:val="0"/>
      <w:marBottom w:val="0"/>
      <w:divBdr>
        <w:top w:val="none" w:sz="0" w:space="0" w:color="auto"/>
        <w:left w:val="none" w:sz="0" w:space="0" w:color="auto"/>
        <w:bottom w:val="none" w:sz="0" w:space="0" w:color="auto"/>
        <w:right w:val="none" w:sz="0" w:space="0" w:color="auto"/>
      </w:divBdr>
    </w:div>
    <w:div w:id="39286759">
      <w:bodyDiv w:val="1"/>
      <w:marLeft w:val="0"/>
      <w:marRight w:val="0"/>
      <w:marTop w:val="0"/>
      <w:marBottom w:val="0"/>
      <w:divBdr>
        <w:top w:val="none" w:sz="0" w:space="0" w:color="auto"/>
        <w:left w:val="none" w:sz="0" w:space="0" w:color="auto"/>
        <w:bottom w:val="none" w:sz="0" w:space="0" w:color="auto"/>
        <w:right w:val="none" w:sz="0" w:space="0" w:color="auto"/>
      </w:divBdr>
    </w:div>
    <w:div w:id="44716142">
      <w:bodyDiv w:val="1"/>
      <w:marLeft w:val="0"/>
      <w:marRight w:val="0"/>
      <w:marTop w:val="0"/>
      <w:marBottom w:val="0"/>
      <w:divBdr>
        <w:top w:val="none" w:sz="0" w:space="0" w:color="auto"/>
        <w:left w:val="none" w:sz="0" w:space="0" w:color="auto"/>
        <w:bottom w:val="none" w:sz="0" w:space="0" w:color="auto"/>
        <w:right w:val="none" w:sz="0" w:space="0" w:color="auto"/>
      </w:divBdr>
    </w:div>
    <w:div w:id="45956900">
      <w:bodyDiv w:val="1"/>
      <w:marLeft w:val="0"/>
      <w:marRight w:val="0"/>
      <w:marTop w:val="0"/>
      <w:marBottom w:val="0"/>
      <w:divBdr>
        <w:top w:val="none" w:sz="0" w:space="0" w:color="auto"/>
        <w:left w:val="none" w:sz="0" w:space="0" w:color="auto"/>
        <w:bottom w:val="none" w:sz="0" w:space="0" w:color="auto"/>
        <w:right w:val="none" w:sz="0" w:space="0" w:color="auto"/>
      </w:divBdr>
    </w:div>
    <w:div w:id="49424809">
      <w:bodyDiv w:val="1"/>
      <w:marLeft w:val="0"/>
      <w:marRight w:val="0"/>
      <w:marTop w:val="0"/>
      <w:marBottom w:val="0"/>
      <w:divBdr>
        <w:top w:val="none" w:sz="0" w:space="0" w:color="auto"/>
        <w:left w:val="none" w:sz="0" w:space="0" w:color="auto"/>
        <w:bottom w:val="none" w:sz="0" w:space="0" w:color="auto"/>
        <w:right w:val="none" w:sz="0" w:space="0" w:color="auto"/>
      </w:divBdr>
    </w:div>
    <w:div w:id="51199950">
      <w:bodyDiv w:val="1"/>
      <w:marLeft w:val="0"/>
      <w:marRight w:val="0"/>
      <w:marTop w:val="0"/>
      <w:marBottom w:val="0"/>
      <w:divBdr>
        <w:top w:val="none" w:sz="0" w:space="0" w:color="auto"/>
        <w:left w:val="none" w:sz="0" w:space="0" w:color="auto"/>
        <w:bottom w:val="none" w:sz="0" w:space="0" w:color="auto"/>
        <w:right w:val="none" w:sz="0" w:space="0" w:color="auto"/>
      </w:divBdr>
    </w:div>
    <w:div w:id="60829291">
      <w:bodyDiv w:val="1"/>
      <w:marLeft w:val="0"/>
      <w:marRight w:val="0"/>
      <w:marTop w:val="0"/>
      <w:marBottom w:val="0"/>
      <w:divBdr>
        <w:top w:val="none" w:sz="0" w:space="0" w:color="auto"/>
        <w:left w:val="none" w:sz="0" w:space="0" w:color="auto"/>
        <w:bottom w:val="none" w:sz="0" w:space="0" w:color="auto"/>
        <w:right w:val="none" w:sz="0" w:space="0" w:color="auto"/>
      </w:divBdr>
    </w:div>
    <w:div w:id="62683824">
      <w:bodyDiv w:val="1"/>
      <w:marLeft w:val="0"/>
      <w:marRight w:val="0"/>
      <w:marTop w:val="0"/>
      <w:marBottom w:val="0"/>
      <w:divBdr>
        <w:top w:val="none" w:sz="0" w:space="0" w:color="auto"/>
        <w:left w:val="none" w:sz="0" w:space="0" w:color="auto"/>
        <w:bottom w:val="none" w:sz="0" w:space="0" w:color="auto"/>
        <w:right w:val="none" w:sz="0" w:space="0" w:color="auto"/>
      </w:divBdr>
    </w:div>
    <w:div w:id="65494637">
      <w:bodyDiv w:val="1"/>
      <w:marLeft w:val="0"/>
      <w:marRight w:val="0"/>
      <w:marTop w:val="0"/>
      <w:marBottom w:val="0"/>
      <w:divBdr>
        <w:top w:val="none" w:sz="0" w:space="0" w:color="auto"/>
        <w:left w:val="none" w:sz="0" w:space="0" w:color="auto"/>
        <w:bottom w:val="none" w:sz="0" w:space="0" w:color="auto"/>
        <w:right w:val="none" w:sz="0" w:space="0" w:color="auto"/>
      </w:divBdr>
    </w:div>
    <w:div w:id="67923003">
      <w:bodyDiv w:val="1"/>
      <w:marLeft w:val="0"/>
      <w:marRight w:val="0"/>
      <w:marTop w:val="0"/>
      <w:marBottom w:val="0"/>
      <w:divBdr>
        <w:top w:val="none" w:sz="0" w:space="0" w:color="auto"/>
        <w:left w:val="none" w:sz="0" w:space="0" w:color="auto"/>
        <w:bottom w:val="none" w:sz="0" w:space="0" w:color="auto"/>
        <w:right w:val="none" w:sz="0" w:space="0" w:color="auto"/>
      </w:divBdr>
    </w:div>
    <w:div w:id="69238620">
      <w:bodyDiv w:val="1"/>
      <w:marLeft w:val="0"/>
      <w:marRight w:val="0"/>
      <w:marTop w:val="0"/>
      <w:marBottom w:val="0"/>
      <w:divBdr>
        <w:top w:val="none" w:sz="0" w:space="0" w:color="auto"/>
        <w:left w:val="none" w:sz="0" w:space="0" w:color="auto"/>
        <w:bottom w:val="none" w:sz="0" w:space="0" w:color="auto"/>
        <w:right w:val="none" w:sz="0" w:space="0" w:color="auto"/>
      </w:divBdr>
    </w:div>
    <w:div w:id="71852178">
      <w:bodyDiv w:val="1"/>
      <w:marLeft w:val="0"/>
      <w:marRight w:val="0"/>
      <w:marTop w:val="0"/>
      <w:marBottom w:val="0"/>
      <w:divBdr>
        <w:top w:val="none" w:sz="0" w:space="0" w:color="auto"/>
        <w:left w:val="none" w:sz="0" w:space="0" w:color="auto"/>
        <w:bottom w:val="none" w:sz="0" w:space="0" w:color="auto"/>
        <w:right w:val="none" w:sz="0" w:space="0" w:color="auto"/>
      </w:divBdr>
    </w:div>
    <w:div w:id="81072891">
      <w:bodyDiv w:val="1"/>
      <w:marLeft w:val="0"/>
      <w:marRight w:val="0"/>
      <w:marTop w:val="0"/>
      <w:marBottom w:val="0"/>
      <w:divBdr>
        <w:top w:val="none" w:sz="0" w:space="0" w:color="auto"/>
        <w:left w:val="none" w:sz="0" w:space="0" w:color="auto"/>
        <w:bottom w:val="none" w:sz="0" w:space="0" w:color="auto"/>
        <w:right w:val="none" w:sz="0" w:space="0" w:color="auto"/>
      </w:divBdr>
    </w:div>
    <w:div w:id="93088315">
      <w:bodyDiv w:val="1"/>
      <w:marLeft w:val="0"/>
      <w:marRight w:val="0"/>
      <w:marTop w:val="0"/>
      <w:marBottom w:val="0"/>
      <w:divBdr>
        <w:top w:val="none" w:sz="0" w:space="0" w:color="auto"/>
        <w:left w:val="none" w:sz="0" w:space="0" w:color="auto"/>
        <w:bottom w:val="none" w:sz="0" w:space="0" w:color="auto"/>
        <w:right w:val="none" w:sz="0" w:space="0" w:color="auto"/>
      </w:divBdr>
    </w:div>
    <w:div w:id="94985734">
      <w:bodyDiv w:val="1"/>
      <w:marLeft w:val="0"/>
      <w:marRight w:val="0"/>
      <w:marTop w:val="0"/>
      <w:marBottom w:val="0"/>
      <w:divBdr>
        <w:top w:val="none" w:sz="0" w:space="0" w:color="auto"/>
        <w:left w:val="none" w:sz="0" w:space="0" w:color="auto"/>
        <w:bottom w:val="none" w:sz="0" w:space="0" w:color="auto"/>
        <w:right w:val="none" w:sz="0" w:space="0" w:color="auto"/>
      </w:divBdr>
    </w:div>
    <w:div w:id="105933520">
      <w:bodyDiv w:val="1"/>
      <w:marLeft w:val="0"/>
      <w:marRight w:val="0"/>
      <w:marTop w:val="0"/>
      <w:marBottom w:val="0"/>
      <w:divBdr>
        <w:top w:val="none" w:sz="0" w:space="0" w:color="auto"/>
        <w:left w:val="none" w:sz="0" w:space="0" w:color="auto"/>
        <w:bottom w:val="none" w:sz="0" w:space="0" w:color="auto"/>
        <w:right w:val="none" w:sz="0" w:space="0" w:color="auto"/>
      </w:divBdr>
    </w:div>
    <w:div w:id="109593807">
      <w:bodyDiv w:val="1"/>
      <w:marLeft w:val="0"/>
      <w:marRight w:val="0"/>
      <w:marTop w:val="0"/>
      <w:marBottom w:val="0"/>
      <w:divBdr>
        <w:top w:val="none" w:sz="0" w:space="0" w:color="auto"/>
        <w:left w:val="none" w:sz="0" w:space="0" w:color="auto"/>
        <w:bottom w:val="none" w:sz="0" w:space="0" w:color="auto"/>
        <w:right w:val="none" w:sz="0" w:space="0" w:color="auto"/>
      </w:divBdr>
    </w:div>
    <w:div w:id="114256919">
      <w:bodyDiv w:val="1"/>
      <w:marLeft w:val="0"/>
      <w:marRight w:val="0"/>
      <w:marTop w:val="0"/>
      <w:marBottom w:val="0"/>
      <w:divBdr>
        <w:top w:val="none" w:sz="0" w:space="0" w:color="auto"/>
        <w:left w:val="none" w:sz="0" w:space="0" w:color="auto"/>
        <w:bottom w:val="none" w:sz="0" w:space="0" w:color="auto"/>
        <w:right w:val="none" w:sz="0" w:space="0" w:color="auto"/>
      </w:divBdr>
    </w:div>
    <w:div w:id="116418487">
      <w:bodyDiv w:val="1"/>
      <w:marLeft w:val="0"/>
      <w:marRight w:val="0"/>
      <w:marTop w:val="0"/>
      <w:marBottom w:val="0"/>
      <w:divBdr>
        <w:top w:val="none" w:sz="0" w:space="0" w:color="auto"/>
        <w:left w:val="none" w:sz="0" w:space="0" w:color="auto"/>
        <w:bottom w:val="none" w:sz="0" w:space="0" w:color="auto"/>
        <w:right w:val="none" w:sz="0" w:space="0" w:color="auto"/>
      </w:divBdr>
    </w:div>
    <w:div w:id="117841975">
      <w:bodyDiv w:val="1"/>
      <w:marLeft w:val="0"/>
      <w:marRight w:val="0"/>
      <w:marTop w:val="0"/>
      <w:marBottom w:val="0"/>
      <w:divBdr>
        <w:top w:val="none" w:sz="0" w:space="0" w:color="auto"/>
        <w:left w:val="none" w:sz="0" w:space="0" w:color="auto"/>
        <w:bottom w:val="none" w:sz="0" w:space="0" w:color="auto"/>
        <w:right w:val="none" w:sz="0" w:space="0" w:color="auto"/>
      </w:divBdr>
    </w:div>
    <w:div w:id="121194650">
      <w:bodyDiv w:val="1"/>
      <w:marLeft w:val="0"/>
      <w:marRight w:val="0"/>
      <w:marTop w:val="0"/>
      <w:marBottom w:val="0"/>
      <w:divBdr>
        <w:top w:val="none" w:sz="0" w:space="0" w:color="auto"/>
        <w:left w:val="none" w:sz="0" w:space="0" w:color="auto"/>
        <w:bottom w:val="none" w:sz="0" w:space="0" w:color="auto"/>
        <w:right w:val="none" w:sz="0" w:space="0" w:color="auto"/>
      </w:divBdr>
    </w:div>
    <w:div w:id="134611337">
      <w:bodyDiv w:val="1"/>
      <w:marLeft w:val="0"/>
      <w:marRight w:val="0"/>
      <w:marTop w:val="0"/>
      <w:marBottom w:val="0"/>
      <w:divBdr>
        <w:top w:val="none" w:sz="0" w:space="0" w:color="auto"/>
        <w:left w:val="none" w:sz="0" w:space="0" w:color="auto"/>
        <w:bottom w:val="none" w:sz="0" w:space="0" w:color="auto"/>
        <w:right w:val="none" w:sz="0" w:space="0" w:color="auto"/>
      </w:divBdr>
    </w:div>
    <w:div w:id="146240700">
      <w:bodyDiv w:val="1"/>
      <w:marLeft w:val="0"/>
      <w:marRight w:val="0"/>
      <w:marTop w:val="0"/>
      <w:marBottom w:val="0"/>
      <w:divBdr>
        <w:top w:val="none" w:sz="0" w:space="0" w:color="auto"/>
        <w:left w:val="none" w:sz="0" w:space="0" w:color="auto"/>
        <w:bottom w:val="none" w:sz="0" w:space="0" w:color="auto"/>
        <w:right w:val="none" w:sz="0" w:space="0" w:color="auto"/>
      </w:divBdr>
    </w:div>
    <w:div w:id="150143500">
      <w:bodyDiv w:val="1"/>
      <w:marLeft w:val="0"/>
      <w:marRight w:val="0"/>
      <w:marTop w:val="0"/>
      <w:marBottom w:val="0"/>
      <w:divBdr>
        <w:top w:val="none" w:sz="0" w:space="0" w:color="auto"/>
        <w:left w:val="none" w:sz="0" w:space="0" w:color="auto"/>
        <w:bottom w:val="none" w:sz="0" w:space="0" w:color="auto"/>
        <w:right w:val="none" w:sz="0" w:space="0" w:color="auto"/>
      </w:divBdr>
    </w:div>
    <w:div w:id="155263753">
      <w:bodyDiv w:val="1"/>
      <w:marLeft w:val="0"/>
      <w:marRight w:val="0"/>
      <w:marTop w:val="0"/>
      <w:marBottom w:val="0"/>
      <w:divBdr>
        <w:top w:val="none" w:sz="0" w:space="0" w:color="auto"/>
        <w:left w:val="none" w:sz="0" w:space="0" w:color="auto"/>
        <w:bottom w:val="none" w:sz="0" w:space="0" w:color="auto"/>
        <w:right w:val="none" w:sz="0" w:space="0" w:color="auto"/>
      </w:divBdr>
    </w:div>
    <w:div w:id="156969452">
      <w:bodyDiv w:val="1"/>
      <w:marLeft w:val="0"/>
      <w:marRight w:val="0"/>
      <w:marTop w:val="0"/>
      <w:marBottom w:val="0"/>
      <w:divBdr>
        <w:top w:val="none" w:sz="0" w:space="0" w:color="auto"/>
        <w:left w:val="none" w:sz="0" w:space="0" w:color="auto"/>
        <w:bottom w:val="none" w:sz="0" w:space="0" w:color="auto"/>
        <w:right w:val="none" w:sz="0" w:space="0" w:color="auto"/>
      </w:divBdr>
    </w:div>
    <w:div w:id="157818111">
      <w:bodyDiv w:val="1"/>
      <w:marLeft w:val="0"/>
      <w:marRight w:val="0"/>
      <w:marTop w:val="0"/>
      <w:marBottom w:val="0"/>
      <w:divBdr>
        <w:top w:val="none" w:sz="0" w:space="0" w:color="auto"/>
        <w:left w:val="none" w:sz="0" w:space="0" w:color="auto"/>
        <w:bottom w:val="none" w:sz="0" w:space="0" w:color="auto"/>
        <w:right w:val="none" w:sz="0" w:space="0" w:color="auto"/>
      </w:divBdr>
    </w:div>
    <w:div w:id="164320483">
      <w:bodyDiv w:val="1"/>
      <w:marLeft w:val="0"/>
      <w:marRight w:val="0"/>
      <w:marTop w:val="0"/>
      <w:marBottom w:val="0"/>
      <w:divBdr>
        <w:top w:val="none" w:sz="0" w:space="0" w:color="auto"/>
        <w:left w:val="none" w:sz="0" w:space="0" w:color="auto"/>
        <w:bottom w:val="none" w:sz="0" w:space="0" w:color="auto"/>
        <w:right w:val="none" w:sz="0" w:space="0" w:color="auto"/>
      </w:divBdr>
    </w:div>
    <w:div w:id="177887460">
      <w:bodyDiv w:val="1"/>
      <w:marLeft w:val="0"/>
      <w:marRight w:val="0"/>
      <w:marTop w:val="0"/>
      <w:marBottom w:val="0"/>
      <w:divBdr>
        <w:top w:val="none" w:sz="0" w:space="0" w:color="auto"/>
        <w:left w:val="none" w:sz="0" w:space="0" w:color="auto"/>
        <w:bottom w:val="none" w:sz="0" w:space="0" w:color="auto"/>
        <w:right w:val="none" w:sz="0" w:space="0" w:color="auto"/>
      </w:divBdr>
    </w:div>
    <w:div w:id="178204204">
      <w:bodyDiv w:val="1"/>
      <w:marLeft w:val="0"/>
      <w:marRight w:val="0"/>
      <w:marTop w:val="0"/>
      <w:marBottom w:val="0"/>
      <w:divBdr>
        <w:top w:val="none" w:sz="0" w:space="0" w:color="auto"/>
        <w:left w:val="none" w:sz="0" w:space="0" w:color="auto"/>
        <w:bottom w:val="none" w:sz="0" w:space="0" w:color="auto"/>
        <w:right w:val="none" w:sz="0" w:space="0" w:color="auto"/>
      </w:divBdr>
    </w:div>
    <w:div w:id="181868549">
      <w:bodyDiv w:val="1"/>
      <w:marLeft w:val="0"/>
      <w:marRight w:val="0"/>
      <w:marTop w:val="0"/>
      <w:marBottom w:val="0"/>
      <w:divBdr>
        <w:top w:val="none" w:sz="0" w:space="0" w:color="auto"/>
        <w:left w:val="none" w:sz="0" w:space="0" w:color="auto"/>
        <w:bottom w:val="none" w:sz="0" w:space="0" w:color="auto"/>
        <w:right w:val="none" w:sz="0" w:space="0" w:color="auto"/>
      </w:divBdr>
    </w:div>
    <w:div w:id="182864411">
      <w:bodyDiv w:val="1"/>
      <w:marLeft w:val="0"/>
      <w:marRight w:val="0"/>
      <w:marTop w:val="0"/>
      <w:marBottom w:val="0"/>
      <w:divBdr>
        <w:top w:val="none" w:sz="0" w:space="0" w:color="auto"/>
        <w:left w:val="none" w:sz="0" w:space="0" w:color="auto"/>
        <w:bottom w:val="none" w:sz="0" w:space="0" w:color="auto"/>
        <w:right w:val="none" w:sz="0" w:space="0" w:color="auto"/>
      </w:divBdr>
    </w:div>
    <w:div w:id="191772843">
      <w:bodyDiv w:val="1"/>
      <w:marLeft w:val="0"/>
      <w:marRight w:val="0"/>
      <w:marTop w:val="0"/>
      <w:marBottom w:val="0"/>
      <w:divBdr>
        <w:top w:val="none" w:sz="0" w:space="0" w:color="auto"/>
        <w:left w:val="none" w:sz="0" w:space="0" w:color="auto"/>
        <w:bottom w:val="none" w:sz="0" w:space="0" w:color="auto"/>
        <w:right w:val="none" w:sz="0" w:space="0" w:color="auto"/>
      </w:divBdr>
    </w:div>
    <w:div w:id="199366704">
      <w:bodyDiv w:val="1"/>
      <w:marLeft w:val="0"/>
      <w:marRight w:val="0"/>
      <w:marTop w:val="0"/>
      <w:marBottom w:val="0"/>
      <w:divBdr>
        <w:top w:val="none" w:sz="0" w:space="0" w:color="auto"/>
        <w:left w:val="none" w:sz="0" w:space="0" w:color="auto"/>
        <w:bottom w:val="none" w:sz="0" w:space="0" w:color="auto"/>
        <w:right w:val="none" w:sz="0" w:space="0" w:color="auto"/>
      </w:divBdr>
    </w:div>
    <w:div w:id="207836718">
      <w:bodyDiv w:val="1"/>
      <w:marLeft w:val="0"/>
      <w:marRight w:val="0"/>
      <w:marTop w:val="0"/>
      <w:marBottom w:val="0"/>
      <w:divBdr>
        <w:top w:val="none" w:sz="0" w:space="0" w:color="auto"/>
        <w:left w:val="none" w:sz="0" w:space="0" w:color="auto"/>
        <w:bottom w:val="none" w:sz="0" w:space="0" w:color="auto"/>
        <w:right w:val="none" w:sz="0" w:space="0" w:color="auto"/>
      </w:divBdr>
    </w:div>
    <w:div w:id="210118325">
      <w:bodyDiv w:val="1"/>
      <w:marLeft w:val="0"/>
      <w:marRight w:val="0"/>
      <w:marTop w:val="0"/>
      <w:marBottom w:val="0"/>
      <w:divBdr>
        <w:top w:val="none" w:sz="0" w:space="0" w:color="auto"/>
        <w:left w:val="none" w:sz="0" w:space="0" w:color="auto"/>
        <w:bottom w:val="none" w:sz="0" w:space="0" w:color="auto"/>
        <w:right w:val="none" w:sz="0" w:space="0" w:color="auto"/>
      </w:divBdr>
    </w:div>
    <w:div w:id="211961139">
      <w:bodyDiv w:val="1"/>
      <w:marLeft w:val="0"/>
      <w:marRight w:val="0"/>
      <w:marTop w:val="0"/>
      <w:marBottom w:val="0"/>
      <w:divBdr>
        <w:top w:val="none" w:sz="0" w:space="0" w:color="auto"/>
        <w:left w:val="none" w:sz="0" w:space="0" w:color="auto"/>
        <w:bottom w:val="none" w:sz="0" w:space="0" w:color="auto"/>
        <w:right w:val="none" w:sz="0" w:space="0" w:color="auto"/>
      </w:divBdr>
    </w:div>
    <w:div w:id="212694649">
      <w:bodyDiv w:val="1"/>
      <w:marLeft w:val="0"/>
      <w:marRight w:val="0"/>
      <w:marTop w:val="0"/>
      <w:marBottom w:val="0"/>
      <w:divBdr>
        <w:top w:val="none" w:sz="0" w:space="0" w:color="auto"/>
        <w:left w:val="none" w:sz="0" w:space="0" w:color="auto"/>
        <w:bottom w:val="none" w:sz="0" w:space="0" w:color="auto"/>
        <w:right w:val="none" w:sz="0" w:space="0" w:color="auto"/>
      </w:divBdr>
    </w:div>
    <w:div w:id="218906511">
      <w:bodyDiv w:val="1"/>
      <w:marLeft w:val="0"/>
      <w:marRight w:val="0"/>
      <w:marTop w:val="0"/>
      <w:marBottom w:val="0"/>
      <w:divBdr>
        <w:top w:val="none" w:sz="0" w:space="0" w:color="auto"/>
        <w:left w:val="none" w:sz="0" w:space="0" w:color="auto"/>
        <w:bottom w:val="none" w:sz="0" w:space="0" w:color="auto"/>
        <w:right w:val="none" w:sz="0" w:space="0" w:color="auto"/>
      </w:divBdr>
    </w:div>
    <w:div w:id="226494190">
      <w:bodyDiv w:val="1"/>
      <w:marLeft w:val="0"/>
      <w:marRight w:val="0"/>
      <w:marTop w:val="0"/>
      <w:marBottom w:val="0"/>
      <w:divBdr>
        <w:top w:val="none" w:sz="0" w:space="0" w:color="auto"/>
        <w:left w:val="none" w:sz="0" w:space="0" w:color="auto"/>
        <w:bottom w:val="none" w:sz="0" w:space="0" w:color="auto"/>
        <w:right w:val="none" w:sz="0" w:space="0" w:color="auto"/>
      </w:divBdr>
    </w:div>
    <w:div w:id="227885883">
      <w:bodyDiv w:val="1"/>
      <w:marLeft w:val="0"/>
      <w:marRight w:val="0"/>
      <w:marTop w:val="0"/>
      <w:marBottom w:val="0"/>
      <w:divBdr>
        <w:top w:val="none" w:sz="0" w:space="0" w:color="auto"/>
        <w:left w:val="none" w:sz="0" w:space="0" w:color="auto"/>
        <w:bottom w:val="none" w:sz="0" w:space="0" w:color="auto"/>
        <w:right w:val="none" w:sz="0" w:space="0" w:color="auto"/>
      </w:divBdr>
    </w:div>
    <w:div w:id="238638575">
      <w:bodyDiv w:val="1"/>
      <w:marLeft w:val="0"/>
      <w:marRight w:val="0"/>
      <w:marTop w:val="0"/>
      <w:marBottom w:val="0"/>
      <w:divBdr>
        <w:top w:val="none" w:sz="0" w:space="0" w:color="auto"/>
        <w:left w:val="none" w:sz="0" w:space="0" w:color="auto"/>
        <w:bottom w:val="none" w:sz="0" w:space="0" w:color="auto"/>
        <w:right w:val="none" w:sz="0" w:space="0" w:color="auto"/>
      </w:divBdr>
    </w:div>
    <w:div w:id="242573780">
      <w:bodyDiv w:val="1"/>
      <w:marLeft w:val="0"/>
      <w:marRight w:val="0"/>
      <w:marTop w:val="0"/>
      <w:marBottom w:val="0"/>
      <w:divBdr>
        <w:top w:val="none" w:sz="0" w:space="0" w:color="auto"/>
        <w:left w:val="none" w:sz="0" w:space="0" w:color="auto"/>
        <w:bottom w:val="none" w:sz="0" w:space="0" w:color="auto"/>
        <w:right w:val="none" w:sz="0" w:space="0" w:color="auto"/>
      </w:divBdr>
    </w:div>
    <w:div w:id="248082692">
      <w:bodyDiv w:val="1"/>
      <w:marLeft w:val="0"/>
      <w:marRight w:val="0"/>
      <w:marTop w:val="0"/>
      <w:marBottom w:val="0"/>
      <w:divBdr>
        <w:top w:val="none" w:sz="0" w:space="0" w:color="auto"/>
        <w:left w:val="none" w:sz="0" w:space="0" w:color="auto"/>
        <w:bottom w:val="none" w:sz="0" w:space="0" w:color="auto"/>
        <w:right w:val="none" w:sz="0" w:space="0" w:color="auto"/>
      </w:divBdr>
    </w:div>
    <w:div w:id="253364199">
      <w:bodyDiv w:val="1"/>
      <w:marLeft w:val="0"/>
      <w:marRight w:val="0"/>
      <w:marTop w:val="0"/>
      <w:marBottom w:val="0"/>
      <w:divBdr>
        <w:top w:val="none" w:sz="0" w:space="0" w:color="auto"/>
        <w:left w:val="none" w:sz="0" w:space="0" w:color="auto"/>
        <w:bottom w:val="none" w:sz="0" w:space="0" w:color="auto"/>
        <w:right w:val="none" w:sz="0" w:space="0" w:color="auto"/>
      </w:divBdr>
    </w:div>
    <w:div w:id="260071337">
      <w:bodyDiv w:val="1"/>
      <w:marLeft w:val="0"/>
      <w:marRight w:val="0"/>
      <w:marTop w:val="0"/>
      <w:marBottom w:val="0"/>
      <w:divBdr>
        <w:top w:val="none" w:sz="0" w:space="0" w:color="auto"/>
        <w:left w:val="none" w:sz="0" w:space="0" w:color="auto"/>
        <w:bottom w:val="none" w:sz="0" w:space="0" w:color="auto"/>
        <w:right w:val="none" w:sz="0" w:space="0" w:color="auto"/>
      </w:divBdr>
    </w:div>
    <w:div w:id="262761757">
      <w:bodyDiv w:val="1"/>
      <w:marLeft w:val="0"/>
      <w:marRight w:val="0"/>
      <w:marTop w:val="0"/>
      <w:marBottom w:val="0"/>
      <w:divBdr>
        <w:top w:val="none" w:sz="0" w:space="0" w:color="auto"/>
        <w:left w:val="none" w:sz="0" w:space="0" w:color="auto"/>
        <w:bottom w:val="none" w:sz="0" w:space="0" w:color="auto"/>
        <w:right w:val="none" w:sz="0" w:space="0" w:color="auto"/>
      </w:divBdr>
    </w:div>
    <w:div w:id="267278306">
      <w:bodyDiv w:val="1"/>
      <w:marLeft w:val="0"/>
      <w:marRight w:val="0"/>
      <w:marTop w:val="0"/>
      <w:marBottom w:val="0"/>
      <w:divBdr>
        <w:top w:val="none" w:sz="0" w:space="0" w:color="auto"/>
        <w:left w:val="none" w:sz="0" w:space="0" w:color="auto"/>
        <w:bottom w:val="none" w:sz="0" w:space="0" w:color="auto"/>
        <w:right w:val="none" w:sz="0" w:space="0" w:color="auto"/>
      </w:divBdr>
    </w:div>
    <w:div w:id="271671427">
      <w:bodyDiv w:val="1"/>
      <w:marLeft w:val="0"/>
      <w:marRight w:val="0"/>
      <w:marTop w:val="0"/>
      <w:marBottom w:val="0"/>
      <w:divBdr>
        <w:top w:val="none" w:sz="0" w:space="0" w:color="auto"/>
        <w:left w:val="none" w:sz="0" w:space="0" w:color="auto"/>
        <w:bottom w:val="none" w:sz="0" w:space="0" w:color="auto"/>
        <w:right w:val="none" w:sz="0" w:space="0" w:color="auto"/>
      </w:divBdr>
    </w:div>
    <w:div w:id="276523056">
      <w:bodyDiv w:val="1"/>
      <w:marLeft w:val="0"/>
      <w:marRight w:val="0"/>
      <w:marTop w:val="0"/>
      <w:marBottom w:val="0"/>
      <w:divBdr>
        <w:top w:val="none" w:sz="0" w:space="0" w:color="auto"/>
        <w:left w:val="none" w:sz="0" w:space="0" w:color="auto"/>
        <w:bottom w:val="none" w:sz="0" w:space="0" w:color="auto"/>
        <w:right w:val="none" w:sz="0" w:space="0" w:color="auto"/>
      </w:divBdr>
      <w:divsChild>
        <w:div w:id="403994099">
          <w:marLeft w:val="0"/>
          <w:marRight w:val="0"/>
          <w:marTop w:val="0"/>
          <w:marBottom w:val="0"/>
          <w:divBdr>
            <w:top w:val="none" w:sz="0" w:space="0" w:color="auto"/>
            <w:left w:val="none" w:sz="0" w:space="0" w:color="auto"/>
            <w:bottom w:val="none" w:sz="0" w:space="0" w:color="auto"/>
            <w:right w:val="none" w:sz="0" w:space="0" w:color="auto"/>
          </w:divBdr>
          <w:divsChild>
            <w:div w:id="1062170739">
              <w:marLeft w:val="0"/>
              <w:marRight w:val="0"/>
              <w:marTop w:val="0"/>
              <w:marBottom w:val="0"/>
              <w:divBdr>
                <w:top w:val="none" w:sz="0" w:space="0" w:color="auto"/>
                <w:left w:val="none" w:sz="0" w:space="0" w:color="auto"/>
                <w:bottom w:val="none" w:sz="0" w:space="0" w:color="auto"/>
                <w:right w:val="none" w:sz="0" w:space="0" w:color="auto"/>
              </w:divBdr>
              <w:divsChild>
                <w:div w:id="10838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9608240">
      <w:bodyDiv w:val="1"/>
      <w:marLeft w:val="0"/>
      <w:marRight w:val="0"/>
      <w:marTop w:val="0"/>
      <w:marBottom w:val="0"/>
      <w:divBdr>
        <w:top w:val="none" w:sz="0" w:space="0" w:color="auto"/>
        <w:left w:val="none" w:sz="0" w:space="0" w:color="auto"/>
        <w:bottom w:val="none" w:sz="0" w:space="0" w:color="auto"/>
        <w:right w:val="none" w:sz="0" w:space="0" w:color="auto"/>
      </w:divBdr>
    </w:div>
    <w:div w:id="285936442">
      <w:bodyDiv w:val="1"/>
      <w:marLeft w:val="0"/>
      <w:marRight w:val="0"/>
      <w:marTop w:val="0"/>
      <w:marBottom w:val="0"/>
      <w:divBdr>
        <w:top w:val="none" w:sz="0" w:space="0" w:color="auto"/>
        <w:left w:val="none" w:sz="0" w:space="0" w:color="auto"/>
        <w:bottom w:val="none" w:sz="0" w:space="0" w:color="auto"/>
        <w:right w:val="none" w:sz="0" w:space="0" w:color="auto"/>
      </w:divBdr>
    </w:div>
    <w:div w:id="294678403">
      <w:bodyDiv w:val="1"/>
      <w:marLeft w:val="0"/>
      <w:marRight w:val="0"/>
      <w:marTop w:val="0"/>
      <w:marBottom w:val="0"/>
      <w:divBdr>
        <w:top w:val="none" w:sz="0" w:space="0" w:color="auto"/>
        <w:left w:val="none" w:sz="0" w:space="0" w:color="auto"/>
        <w:bottom w:val="none" w:sz="0" w:space="0" w:color="auto"/>
        <w:right w:val="none" w:sz="0" w:space="0" w:color="auto"/>
      </w:divBdr>
    </w:div>
    <w:div w:id="308831460">
      <w:bodyDiv w:val="1"/>
      <w:marLeft w:val="0"/>
      <w:marRight w:val="0"/>
      <w:marTop w:val="0"/>
      <w:marBottom w:val="0"/>
      <w:divBdr>
        <w:top w:val="none" w:sz="0" w:space="0" w:color="auto"/>
        <w:left w:val="none" w:sz="0" w:space="0" w:color="auto"/>
        <w:bottom w:val="none" w:sz="0" w:space="0" w:color="auto"/>
        <w:right w:val="none" w:sz="0" w:space="0" w:color="auto"/>
      </w:divBdr>
    </w:div>
    <w:div w:id="340812846">
      <w:bodyDiv w:val="1"/>
      <w:marLeft w:val="0"/>
      <w:marRight w:val="0"/>
      <w:marTop w:val="0"/>
      <w:marBottom w:val="0"/>
      <w:divBdr>
        <w:top w:val="none" w:sz="0" w:space="0" w:color="auto"/>
        <w:left w:val="none" w:sz="0" w:space="0" w:color="auto"/>
        <w:bottom w:val="none" w:sz="0" w:space="0" w:color="auto"/>
        <w:right w:val="none" w:sz="0" w:space="0" w:color="auto"/>
      </w:divBdr>
    </w:div>
    <w:div w:id="344285320">
      <w:bodyDiv w:val="1"/>
      <w:marLeft w:val="0"/>
      <w:marRight w:val="0"/>
      <w:marTop w:val="0"/>
      <w:marBottom w:val="0"/>
      <w:divBdr>
        <w:top w:val="none" w:sz="0" w:space="0" w:color="auto"/>
        <w:left w:val="none" w:sz="0" w:space="0" w:color="auto"/>
        <w:bottom w:val="none" w:sz="0" w:space="0" w:color="auto"/>
        <w:right w:val="none" w:sz="0" w:space="0" w:color="auto"/>
      </w:divBdr>
    </w:div>
    <w:div w:id="345982655">
      <w:bodyDiv w:val="1"/>
      <w:marLeft w:val="0"/>
      <w:marRight w:val="0"/>
      <w:marTop w:val="0"/>
      <w:marBottom w:val="0"/>
      <w:divBdr>
        <w:top w:val="none" w:sz="0" w:space="0" w:color="auto"/>
        <w:left w:val="none" w:sz="0" w:space="0" w:color="auto"/>
        <w:bottom w:val="none" w:sz="0" w:space="0" w:color="auto"/>
        <w:right w:val="none" w:sz="0" w:space="0" w:color="auto"/>
      </w:divBdr>
    </w:div>
    <w:div w:id="346955099">
      <w:bodyDiv w:val="1"/>
      <w:marLeft w:val="0"/>
      <w:marRight w:val="0"/>
      <w:marTop w:val="0"/>
      <w:marBottom w:val="0"/>
      <w:divBdr>
        <w:top w:val="none" w:sz="0" w:space="0" w:color="auto"/>
        <w:left w:val="none" w:sz="0" w:space="0" w:color="auto"/>
        <w:bottom w:val="none" w:sz="0" w:space="0" w:color="auto"/>
        <w:right w:val="none" w:sz="0" w:space="0" w:color="auto"/>
      </w:divBdr>
    </w:div>
    <w:div w:id="352998048">
      <w:bodyDiv w:val="1"/>
      <w:marLeft w:val="0"/>
      <w:marRight w:val="0"/>
      <w:marTop w:val="0"/>
      <w:marBottom w:val="0"/>
      <w:divBdr>
        <w:top w:val="none" w:sz="0" w:space="0" w:color="auto"/>
        <w:left w:val="none" w:sz="0" w:space="0" w:color="auto"/>
        <w:bottom w:val="none" w:sz="0" w:space="0" w:color="auto"/>
        <w:right w:val="none" w:sz="0" w:space="0" w:color="auto"/>
      </w:divBdr>
    </w:div>
    <w:div w:id="361169035">
      <w:bodyDiv w:val="1"/>
      <w:marLeft w:val="0"/>
      <w:marRight w:val="0"/>
      <w:marTop w:val="0"/>
      <w:marBottom w:val="0"/>
      <w:divBdr>
        <w:top w:val="none" w:sz="0" w:space="0" w:color="auto"/>
        <w:left w:val="none" w:sz="0" w:space="0" w:color="auto"/>
        <w:bottom w:val="none" w:sz="0" w:space="0" w:color="auto"/>
        <w:right w:val="none" w:sz="0" w:space="0" w:color="auto"/>
      </w:divBdr>
    </w:div>
    <w:div w:id="366491630">
      <w:bodyDiv w:val="1"/>
      <w:marLeft w:val="0"/>
      <w:marRight w:val="0"/>
      <w:marTop w:val="0"/>
      <w:marBottom w:val="0"/>
      <w:divBdr>
        <w:top w:val="none" w:sz="0" w:space="0" w:color="auto"/>
        <w:left w:val="none" w:sz="0" w:space="0" w:color="auto"/>
        <w:bottom w:val="none" w:sz="0" w:space="0" w:color="auto"/>
        <w:right w:val="none" w:sz="0" w:space="0" w:color="auto"/>
      </w:divBdr>
    </w:div>
    <w:div w:id="377896015">
      <w:bodyDiv w:val="1"/>
      <w:marLeft w:val="0"/>
      <w:marRight w:val="0"/>
      <w:marTop w:val="0"/>
      <w:marBottom w:val="0"/>
      <w:divBdr>
        <w:top w:val="none" w:sz="0" w:space="0" w:color="auto"/>
        <w:left w:val="none" w:sz="0" w:space="0" w:color="auto"/>
        <w:bottom w:val="none" w:sz="0" w:space="0" w:color="auto"/>
        <w:right w:val="none" w:sz="0" w:space="0" w:color="auto"/>
      </w:divBdr>
    </w:div>
    <w:div w:id="383263500">
      <w:bodyDiv w:val="1"/>
      <w:marLeft w:val="0"/>
      <w:marRight w:val="0"/>
      <w:marTop w:val="0"/>
      <w:marBottom w:val="0"/>
      <w:divBdr>
        <w:top w:val="none" w:sz="0" w:space="0" w:color="auto"/>
        <w:left w:val="none" w:sz="0" w:space="0" w:color="auto"/>
        <w:bottom w:val="none" w:sz="0" w:space="0" w:color="auto"/>
        <w:right w:val="none" w:sz="0" w:space="0" w:color="auto"/>
      </w:divBdr>
    </w:div>
    <w:div w:id="394859088">
      <w:bodyDiv w:val="1"/>
      <w:marLeft w:val="0"/>
      <w:marRight w:val="0"/>
      <w:marTop w:val="0"/>
      <w:marBottom w:val="0"/>
      <w:divBdr>
        <w:top w:val="none" w:sz="0" w:space="0" w:color="auto"/>
        <w:left w:val="none" w:sz="0" w:space="0" w:color="auto"/>
        <w:bottom w:val="none" w:sz="0" w:space="0" w:color="auto"/>
        <w:right w:val="none" w:sz="0" w:space="0" w:color="auto"/>
      </w:divBdr>
    </w:div>
    <w:div w:id="402684187">
      <w:bodyDiv w:val="1"/>
      <w:marLeft w:val="0"/>
      <w:marRight w:val="0"/>
      <w:marTop w:val="0"/>
      <w:marBottom w:val="0"/>
      <w:divBdr>
        <w:top w:val="none" w:sz="0" w:space="0" w:color="auto"/>
        <w:left w:val="none" w:sz="0" w:space="0" w:color="auto"/>
        <w:bottom w:val="none" w:sz="0" w:space="0" w:color="auto"/>
        <w:right w:val="none" w:sz="0" w:space="0" w:color="auto"/>
      </w:divBdr>
    </w:div>
    <w:div w:id="408045044">
      <w:bodyDiv w:val="1"/>
      <w:marLeft w:val="0"/>
      <w:marRight w:val="0"/>
      <w:marTop w:val="0"/>
      <w:marBottom w:val="0"/>
      <w:divBdr>
        <w:top w:val="none" w:sz="0" w:space="0" w:color="auto"/>
        <w:left w:val="none" w:sz="0" w:space="0" w:color="auto"/>
        <w:bottom w:val="none" w:sz="0" w:space="0" w:color="auto"/>
        <w:right w:val="none" w:sz="0" w:space="0" w:color="auto"/>
      </w:divBdr>
    </w:div>
    <w:div w:id="411975106">
      <w:bodyDiv w:val="1"/>
      <w:marLeft w:val="0"/>
      <w:marRight w:val="0"/>
      <w:marTop w:val="0"/>
      <w:marBottom w:val="0"/>
      <w:divBdr>
        <w:top w:val="none" w:sz="0" w:space="0" w:color="auto"/>
        <w:left w:val="none" w:sz="0" w:space="0" w:color="auto"/>
        <w:bottom w:val="none" w:sz="0" w:space="0" w:color="auto"/>
        <w:right w:val="none" w:sz="0" w:space="0" w:color="auto"/>
      </w:divBdr>
    </w:div>
    <w:div w:id="432937926">
      <w:bodyDiv w:val="1"/>
      <w:marLeft w:val="0"/>
      <w:marRight w:val="0"/>
      <w:marTop w:val="0"/>
      <w:marBottom w:val="0"/>
      <w:divBdr>
        <w:top w:val="none" w:sz="0" w:space="0" w:color="auto"/>
        <w:left w:val="none" w:sz="0" w:space="0" w:color="auto"/>
        <w:bottom w:val="none" w:sz="0" w:space="0" w:color="auto"/>
        <w:right w:val="none" w:sz="0" w:space="0" w:color="auto"/>
      </w:divBdr>
    </w:div>
    <w:div w:id="433399120">
      <w:bodyDiv w:val="1"/>
      <w:marLeft w:val="0"/>
      <w:marRight w:val="0"/>
      <w:marTop w:val="0"/>
      <w:marBottom w:val="0"/>
      <w:divBdr>
        <w:top w:val="none" w:sz="0" w:space="0" w:color="auto"/>
        <w:left w:val="none" w:sz="0" w:space="0" w:color="auto"/>
        <w:bottom w:val="none" w:sz="0" w:space="0" w:color="auto"/>
        <w:right w:val="none" w:sz="0" w:space="0" w:color="auto"/>
      </w:divBdr>
    </w:div>
    <w:div w:id="433523734">
      <w:bodyDiv w:val="1"/>
      <w:marLeft w:val="0"/>
      <w:marRight w:val="0"/>
      <w:marTop w:val="0"/>
      <w:marBottom w:val="0"/>
      <w:divBdr>
        <w:top w:val="none" w:sz="0" w:space="0" w:color="auto"/>
        <w:left w:val="none" w:sz="0" w:space="0" w:color="auto"/>
        <w:bottom w:val="none" w:sz="0" w:space="0" w:color="auto"/>
        <w:right w:val="none" w:sz="0" w:space="0" w:color="auto"/>
      </w:divBdr>
    </w:div>
    <w:div w:id="436947819">
      <w:bodyDiv w:val="1"/>
      <w:marLeft w:val="0"/>
      <w:marRight w:val="0"/>
      <w:marTop w:val="0"/>
      <w:marBottom w:val="0"/>
      <w:divBdr>
        <w:top w:val="none" w:sz="0" w:space="0" w:color="auto"/>
        <w:left w:val="none" w:sz="0" w:space="0" w:color="auto"/>
        <w:bottom w:val="none" w:sz="0" w:space="0" w:color="auto"/>
        <w:right w:val="none" w:sz="0" w:space="0" w:color="auto"/>
      </w:divBdr>
    </w:div>
    <w:div w:id="446779234">
      <w:bodyDiv w:val="1"/>
      <w:marLeft w:val="0"/>
      <w:marRight w:val="0"/>
      <w:marTop w:val="0"/>
      <w:marBottom w:val="0"/>
      <w:divBdr>
        <w:top w:val="none" w:sz="0" w:space="0" w:color="auto"/>
        <w:left w:val="none" w:sz="0" w:space="0" w:color="auto"/>
        <w:bottom w:val="none" w:sz="0" w:space="0" w:color="auto"/>
        <w:right w:val="none" w:sz="0" w:space="0" w:color="auto"/>
      </w:divBdr>
    </w:div>
    <w:div w:id="450976472">
      <w:bodyDiv w:val="1"/>
      <w:marLeft w:val="0"/>
      <w:marRight w:val="0"/>
      <w:marTop w:val="0"/>
      <w:marBottom w:val="0"/>
      <w:divBdr>
        <w:top w:val="none" w:sz="0" w:space="0" w:color="auto"/>
        <w:left w:val="none" w:sz="0" w:space="0" w:color="auto"/>
        <w:bottom w:val="none" w:sz="0" w:space="0" w:color="auto"/>
        <w:right w:val="none" w:sz="0" w:space="0" w:color="auto"/>
      </w:divBdr>
    </w:div>
    <w:div w:id="468787949">
      <w:bodyDiv w:val="1"/>
      <w:marLeft w:val="0"/>
      <w:marRight w:val="0"/>
      <w:marTop w:val="0"/>
      <w:marBottom w:val="0"/>
      <w:divBdr>
        <w:top w:val="none" w:sz="0" w:space="0" w:color="auto"/>
        <w:left w:val="none" w:sz="0" w:space="0" w:color="auto"/>
        <w:bottom w:val="none" w:sz="0" w:space="0" w:color="auto"/>
        <w:right w:val="none" w:sz="0" w:space="0" w:color="auto"/>
      </w:divBdr>
    </w:div>
    <w:div w:id="471408398">
      <w:bodyDiv w:val="1"/>
      <w:marLeft w:val="0"/>
      <w:marRight w:val="0"/>
      <w:marTop w:val="0"/>
      <w:marBottom w:val="0"/>
      <w:divBdr>
        <w:top w:val="none" w:sz="0" w:space="0" w:color="auto"/>
        <w:left w:val="none" w:sz="0" w:space="0" w:color="auto"/>
        <w:bottom w:val="none" w:sz="0" w:space="0" w:color="auto"/>
        <w:right w:val="none" w:sz="0" w:space="0" w:color="auto"/>
      </w:divBdr>
    </w:div>
    <w:div w:id="473301482">
      <w:bodyDiv w:val="1"/>
      <w:marLeft w:val="0"/>
      <w:marRight w:val="0"/>
      <w:marTop w:val="0"/>
      <w:marBottom w:val="0"/>
      <w:divBdr>
        <w:top w:val="none" w:sz="0" w:space="0" w:color="auto"/>
        <w:left w:val="none" w:sz="0" w:space="0" w:color="auto"/>
        <w:bottom w:val="none" w:sz="0" w:space="0" w:color="auto"/>
        <w:right w:val="none" w:sz="0" w:space="0" w:color="auto"/>
      </w:divBdr>
    </w:div>
    <w:div w:id="479231295">
      <w:bodyDiv w:val="1"/>
      <w:marLeft w:val="0"/>
      <w:marRight w:val="0"/>
      <w:marTop w:val="0"/>
      <w:marBottom w:val="0"/>
      <w:divBdr>
        <w:top w:val="none" w:sz="0" w:space="0" w:color="auto"/>
        <w:left w:val="none" w:sz="0" w:space="0" w:color="auto"/>
        <w:bottom w:val="none" w:sz="0" w:space="0" w:color="auto"/>
        <w:right w:val="none" w:sz="0" w:space="0" w:color="auto"/>
      </w:divBdr>
    </w:div>
    <w:div w:id="485122320">
      <w:bodyDiv w:val="1"/>
      <w:marLeft w:val="0"/>
      <w:marRight w:val="0"/>
      <w:marTop w:val="0"/>
      <w:marBottom w:val="0"/>
      <w:divBdr>
        <w:top w:val="none" w:sz="0" w:space="0" w:color="auto"/>
        <w:left w:val="none" w:sz="0" w:space="0" w:color="auto"/>
        <w:bottom w:val="none" w:sz="0" w:space="0" w:color="auto"/>
        <w:right w:val="none" w:sz="0" w:space="0" w:color="auto"/>
      </w:divBdr>
    </w:div>
    <w:div w:id="488790800">
      <w:bodyDiv w:val="1"/>
      <w:marLeft w:val="0"/>
      <w:marRight w:val="0"/>
      <w:marTop w:val="0"/>
      <w:marBottom w:val="0"/>
      <w:divBdr>
        <w:top w:val="none" w:sz="0" w:space="0" w:color="auto"/>
        <w:left w:val="none" w:sz="0" w:space="0" w:color="auto"/>
        <w:bottom w:val="none" w:sz="0" w:space="0" w:color="auto"/>
        <w:right w:val="none" w:sz="0" w:space="0" w:color="auto"/>
      </w:divBdr>
    </w:div>
    <w:div w:id="493882354">
      <w:bodyDiv w:val="1"/>
      <w:marLeft w:val="0"/>
      <w:marRight w:val="0"/>
      <w:marTop w:val="0"/>
      <w:marBottom w:val="0"/>
      <w:divBdr>
        <w:top w:val="none" w:sz="0" w:space="0" w:color="auto"/>
        <w:left w:val="none" w:sz="0" w:space="0" w:color="auto"/>
        <w:bottom w:val="none" w:sz="0" w:space="0" w:color="auto"/>
        <w:right w:val="none" w:sz="0" w:space="0" w:color="auto"/>
      </w:divBdr>
    </w:div>
    <w:div w:id="509415298">
      <w:bodyDiv w:val="1"/>
      <w:marLeft w:val="0"/>
      <w:marRight w:val="0"/>
      <w:marTop w:val="0"/>
      <w:marBottom w:val="0"/>
      <w:divBdr>
        <w:top w:val="none" w:sz="0" w:space="0" w:color="auto"/>
        <w:left w:val="none" w:sz="0" w:space="0" w:color="auto"/>
        <w:bottom w:val="none" w:sz="0" w:space="0" w:color="auto"/>
        <w:right w:val="none" w:sz="0" w:space="0" w:color="auto"/>
      </w:divBdr>
    </w:div>
    <w:div w:id="512383747">
      <w:bodyDiv w:val="1"/>
      <w:marLeft w:val="0"/>
      <w:marRight w:val="0"/>
      <w:marTop w:val="0"/>
      <w:marBottom w:val="0"/>
      <w:divBdr>
        <w:top w:val="none" w:sz="0" w:space="0" w:color="auto"/>
        <w:left w:val="none" w:sz="0" w:space="0" w:color="auto"/>
        <w:bottom w:val="none" w:sz="0" w:space="0" w:color="auto"/>
        <w:right w:val="none" w:sz="0" w:space="0" w:color="auto"/>
      </w:divBdr>
    </w:div>
    <w:div w:id="514418864">
      <w:bodyDiv w:val="1"/>
      <w:marLeft w:val="0"/>
      <w:marRight w:val="0"/>
      <w:marTop w:val="0"/>
      <w:marBottom w:val="0"/>
      <w:divBdr>
        <w:top w:val="none" w:sz="0" w:space="0" w:color="auto"/>
        <w:left w:val="none" w:sz="0" w:space="0" w:color="auto"/>
        <w:bottom w:val="none" w:sz="0" w:space="0" w:color="auto"/>
        <w:right w:val="none" w:sz="0" w:space="0" w:color="auto"/>
      </w:divBdr>
    </w:div>
    <w:div w:id="515271026">
      <w:bodyDiv w:val="1"/>
      <w:marLeft w:val="0"/>
      <w:marRight w:val="0"/>
      <w:marTop w:val="0"/>
      <w:marBottom w:val="0"/>
      <w:divBdr>
        <w:top w:val="none" w:sz="0" w:space="0" w:color="auto"/>
        <w:left w:val="none" w:sz="0" w:space="0" w:color="auto"/>
        <w:bottom w:val="none" w:sz="0" w:space="0" w:color="auto"/>
        <w:right w:val="none" w:sz="0" w:space="0" w:color="auto"/>
      </w:divBdr>
    </w:div>
    <w:div w:id="520632476">
      <w:bodyDiv w:val="1"/>
      <w:marLeft w:val="0"/>
      <w:marRight w:val="0"/>
      <w:marTop w:val="0"/>
      <w:marBottom w:val="0"/>
      <w:divBdr>
        <w:top w:val="none" w:sz="0" w:space="0" w:color="auto"/>
        <w:left w:val="none" w:sz="0" w:space="0" w:color="auto"/>
        <w:bottom w:val="none" w:sz="0" w:space="0" w:color="auto"/>
        <w:right w:val="none" w:sz="0" w:space="0" w:color="auto"/>
      </w:divBdr>
    </w:div>
    <w:div w:id="523519629">
      <w:bodyDiv w:val="1"/>
      <w:marLeft w:val="0"/>
      <w:marRight w:val="0"/>
      <w:marTop w:val="0"/>
      <w:marBottom w:val="0"/>
      <w:divBdr>
        <w:top w:val="none" w:sz="0" w:space="0" w:color="auto"/>
        <w:left w:val="none" w:sz="0" w:space="0" w:color="auto"/>
        <w:bottom w:val="none" w:sz="0" w:space="0" w:color="auto"/>
        <w:right w:val="none" w:sz="0" w:space="0" w:color="auto"/>
      </w:divBdr>
    </w:div>
    <w:div w:id="526413420">
      <w:bodyDiv w:val="1"/>
      <w:marLeft w:val="0"/>
      <w:marRight w:val="0"/>
      <w:marTop w:val="0"/>
      <w:marBottom w:val="0"/>
      <w:divBdr>
        <w:top w:val="none" w:sz="0" w:space="0" w:color="auto"/>
        <w:left w:val="none" w:sz="0" w:space="0" w:color="auto"/>
        <w:bottom w:val="none" w:sz="0" w:space="0" w:color="auto"/>
        <w:right w:val="none" w:sz="0" w:space="0" w:color="auto"/>
      </w:divBdr>
    </w:div>
    <w:div w:id="533352041">
      <w:bodyDiv w:val="1"/>
      <w:marLeft w:val="0"/>
      <w:marRight w:val="0"/>
      <w:marTop w:val="0"/>
      <w:marBottom w:val="0"/>
      <w:divBdr>
        <w:top w:val="none" w:sz="0" w:space="0" w:color="auto"/>
        <w:left w:val="none" w:sz="0" w:space="0" w:color="auto"/>
        <w:bottom w:val="none" w:sz="0" w:space="0" w:color="auto"/>
        <w:right w:val="none" w:sz="0" w:space="0" w:color="auto"/>
      </w:divBdr>
    </w:div>
    <w:div w:id="539778843">
      <w:bodyDiv w:val="1"/>
      <w:marLeft w:val="0"/>
      <w:marRight w:val="0"/>
      <w:marTop w:val="0"/>
      <w:marBottom w:val="0"/>
      <w:divBdr>
        <w:top w:val="none" w:sz="0" w:space="0" w:color="auto"/>
        <w:left w:val="none" w:sz="0" w:space="0" w:color="auto"/>
        <w:bottom w:val="none" w:sz="0" w:space="0" w:color="auto"/>
        <w:right w:val="none" w:sz="0" w:space="0" w:color="auto"/>
      </w:divBdr>
    </w:div>
    <w:div w:id="543294672">
      <w:bodyDiv w:val="1"/>
      <w:marLeft w:val="0"/>
      <w:marRight w:val="0"/>
      <w:marTop w:val="0"/>
      <w:marBottom w:val="0"/>
      <w:divBdr>
        <w:top w:val="none" w:sz="0" w:space="0" w:color="auto"/>
        <w:left w:val="none" w:sz="0" w:space="0" w:color="auto"/>
        <w:bottom w:val="none" w:sz="0" w:space="0" w:color="auto"/>
        <w:right w:val="none" w:sz="0" w:space="0" w:color="auto"/>
      </w:divBdr>
    </w:div>
    <w:div w:id="544801962">
      <w:bodyDiv w:val="1"/>
      <w:marLeft w:val="0"/>
      <w:marRight w:val="0"/>
      <w:marTop w:val="0"/>
      <w:marBottom w:val="0"/>
      <w:divBdr>
        <w:top w:val="none" w:sz="0" w:space="0" w:color="auto"/>
        <w:left w:val="none" w:sz="0" w:space="0" w:color="auto"/>
        <w:bottom w:val="none" w:sz="0" w:space="0" w:color="auto"/>
        <w:right w:val="none" w:sz="0" w:space="0" w:color="auto"/>
      </w:divBdr>
    </w:div>
    <w:div w:id="545144482">
      <w:bodyDiv w:val="1"/>
      <w:marLeft w:val="0"/>
      <w:marRight w:val="0"/>
      <w:marTop w:val="0"/>
      <w:marBottom w:val="0"/>
      <w:divBdr>
        <w:top w:val="none" w:sz="0" w:space="0" w:color="auto"/>
        <w:left w:val="none" w:sz="0" w:space="0" w:color="auto"/>
        <w:bottom w:val="none" w:sz="0" w:space="0" w:color="auto"/>
        <w:right w:val="none" w:sz="0" w:space="0" w:color="auto"/>
      </w:divBdr>
    </w:div>
    <w:div w:id="546113761">
      <w:bodyDiv w:val="1"/>
      <w:marLeft w:val="0"/>
      <w:marRight w:val="0"/>
      <w:marTop w:val="0"/>
      <w:marBottom w:val="0"/>
      <w:divBdr>
        <w:top w:val="none" w:sz="0" w:space="0" w:color="auto"/>
        <w:left w:val="none" w:sz="0" w:space="0" w:color="auto"/>
        <w:bottom w:val="none" w:sz="0" w:space="0" w:color="auto"/>
        <w:right w:val="none" w:sz="0" w:space="0" w:color="auto"/>
      </w:divBdr>
    </w:div>
    <w:div w:id="558440853">
      <w:bodyDiv w:val="1"/>
      <w:marLeft w:val="0"/>
      <w:marRight w:val="0"/>
      <w:marTop w:val="0"/>
      <w:marBottom w:val="0"/>
      <w:divBdr>
        <w:top w:val="none" w:sz="0" w:space="0" w:color="auto"/>
        <w:left w:val="none" w:sz="0" w:space="0" w:color="auto"/>
        <w:bottom w:val="none" w:sz="0" w:space="0" w:color="auto"/>
        <w:right w:val="none" w:sz="0" w:space="0" w:color="auto"/>
      </w:divBdr>
    </w:div>
    <w:div w:id="560865163">
      <w:bodyDiv w:val="1"/>
      <w:marLeft w:val="0"/>
      <w:marRight w:val="0"/>
      <w:marTop w:val="0"/>
      <w:marBottom w:val="0"/>
      <w:divBdr>
        <w:top w:val="none" w:sz="0" w:space="0" w:color="auto"/>
        <w:left w:val="none" w:sz="0" w:space="0" w:color="auto"/>
        <w:bottom w:val="none" w:sz="0" w:space="0" w:color="auto"/>
        <w:right w:val="none" w:sz="0" w:space="0" w:color="auto"/>
      </w:divBdr>
    </w:div>
    <w:div w:id="568272443">
      <w:bodyDiv w:val="1"/>
      <w:marLeft w:val="0"/>
      <w:marRight w:val="0"/>
      <w:marTop w:val="0"/>
      <w:marBottom w:val="0"/>
      <w:divBdr>
        <w:top w:val="none" w:sz="0" w:space="0" w:color="auto"/>
        <w:left w:val="none" w:sz="0" w:space="0" w:color="auto"/>
        <w:bottom w:val="none" w:sz="0" w:space="0" w:color="auto"/>
        <w:right w:val="none" w:sz="0" w:space="0" w:color="auto"/>
      </w:divBdr>
    </w:div>
    <w:div w:id="569079288">
      <w:bodyDiv w:val="1"/>
      <w:marLeft w:val="0"/>
      <w:marRight w:val="0"/>
      <w:marTop w:val="0"/>
      <w:marBottom w:val="0"/>
      <w:divBdr>
        <w:top w:val="none" w:sz="0" w:space="0" w:color="auto"/>
        <w:left w:val="none" w:sz="0" w:space="0" w:color="auto"/>
        <w:bottom w:val="none" w:sz="0" w:space="0" w:color="auto"/>
        <w:right w:val="none" w:sz="0" w:space="0" w:color="auto"/>
      </w:divBdr>
    </w:div>
    <w:div w:id="585264164">
      <w:bodyDiv w:val="1"/>
      <w:marLeft w:val="0"/>
      <w:marRight w:val="0"/>
      <w:marTop w:val="0"/>
      <w:marBottom w:val="0"/>
      <w:divBdr>
        <w:top w:val="none" w:sz="0" w:space="0" w:color="auto"/>
        <w:left w:val="none" w:sz="0" w:space="0" w:color="auto"/>
        <w:bottom w:val="none" w:sz="0" w:space="0" w:color="auto"/>
        <w:right w:val="none" w:sz="0" w:space="0" w:color="auto"/>
      </w:divBdr>
    </w:div>
    <w:div w:id="592325723">
      <w:bodyDiv w:val="1"/>
      <w:marLeft w:val="0"/>
      <w:marRight w:val="0"/>
      <w:marTop w:val="0"/>
      <w:marBottom w:val="0"/>
      <w:divBdr>
        <w:top w:val="none" w:sz="0" w:space="0" w:color="auto"/>
        <w:left w:val="none" w:sz="0" w:space="0" w:color="auto"/>
        <w:bottom w:val="none" w:sz="0" w:space="0" w:color="auto"/>
        <w:right w:val="none" w:sz="0" w:space="0" w:color="auto"/>
      </w:divBdr>
    </w:div>
    <w:div w:id="600917640">
      <w:bodyDiv w:val="1"/>
      <w:marLeft w:val="0"/>
      <w:marRight w:val="0"/>
      <w:marTop w:val="0"/>
      <w:marBottom w:val="0"/>
      <w:divBdr>
        <w:top w:val="none" w:sz="0" w:space="0" w:color="auto"/>
        <w:left w:val="none" w:sz="0" w:space="0" w:color="auto"/>
        <w:bottom w:val="none" w:sz="0" w:space="0" w:color="auto"/>
        <w:right w:val="none" w:sz="0" w:space="0" w:color="auto"/>
      </w:divBdr>
    </w:div>
    <w:div w:id="610555172">
      <w:bodyDiv w:val="1"/>
      <w:marLeft w:val="0"/>
      <w:marRight w:val="0"/>
      <w:marTop w:val="0"/>
      <w:marBottom w:val="0"/>
      <w:divBdr>
        <w:top w:val="none" w:sz="0" w:space="0" w:color="auto"/>
        <w:left w:val="none" w:sz="0" w:space="0" w:color="auto"/>
        <w:bottom w:val="none" w:sz="0" w:space="0" w:color="auto"/>
        <w:right w:val="none" w:sz="0" w:space="0" w:color="auto"/>
      </w:divBdr>
    </w:div>
    <w:div w:id="614139268">
      <w:bodyDiv w:val="1"/>
      <w:marLeft w:val="0"/>
      <w:marRight w:val="0"/>
      <w:marTop w:val="0"/>
      <w:marBottom w:val="0"/>
      <w:divBdr>
        <w:top w:val="none" w:sz="0" w:space="0" w:color="auto"/>
        <w:left w:val="none" w:sz="0" w:space="0" w:color="auto"/>
        <w:bottom w:val="none" w:sz="0" w:space="0" w:color="auto"/>
        <w:right w:val="none" w:sz="0" w:space="0" w:color="auto"/>
      </w:divBdr>
    </w:div>
    <w:div w:id="616183352">
      <w:bodyDiv w:val="1"/>
      <w:marLeft w:val="0"/>
      <w:marRight w:val="0"/>
      <w:marTop w:val="0"/>
      <w:marBottom w:val="0"/>
      <w:divBdr>
        <w:top w:val="none" w:sz="0" w:space="0" w:color="auto"/>
        <w:left w:val="none" w:sz="0" w:space="0" w:color="auto"/>
        <w:bottom w:val="none" w:sz="0" w:space="0" w:color="auto"/>
        <w:right w:val="none" w:sz="0" w:space="0" w:color="auto"/>
      </w:divBdr>
    </w:div>
    <w:div w:id="642809230">
      <w:bodyDiv w:val="1"/>
      <w:marLeft w:val="0"/>
      <w:marRight w:val="0"/>
      <w:marTop w:val="0"/>
      <w:marBottom w:val="0"/>
      <w:divBdr>
        <w:top w:val="none" w:sz="0" w:space="0" w:color="auto"/>
        <w:left w:val="none" w:sz="0" w:space="0" w:color="auto"/>
        <w:bottom w:val="none" w:sz="0" w:space="0" w:color="auto"/>
        <w:right w:val="none" w:sz="0" w:space="0" w:color="auto"/>
      </w:divBdr>
    </w:div>
    <w:div w:id="643775648">
      <w:bodyDiv w:val="1"/>
      <w:marLeft w:val="0"/>
      <w:marRight w:val="0"/>
      <w:marTop w:val="0"/>
      <w:marBottom w:val="0"/>
      <w:divBdr>
        <w:top w:val="none" w:sz="0" w:space="0" w:color="auto"/>
        <w:left w:val="none" w:sz="0" w:space="0" w:color="auto"/>
        <w:bottom w:val="none" w:sz="0" w:space="0" w:color="auto"/>
        <w:right w:val="none" w:sz="0" w:space="0" w:color="auto"/>
      </w:divBdr>
    </w:div>
    <w:div w:id="645167603">
      <w:bodyDiv w:val="1"/>
      <w:marLeft w:val="0"/>
      <w:marRight w:val="0"/>
      <w:marTop w:val="0"/>
      <w:marBottom w:val="0"/>
      <w:divBdr>
        <w:top w:val="none" w:sz="0" w:space="0" w:color="auto"/>
        <w:left w:val="none" w:sz="0" w:space="0" w:color="auto"/>
        <w:bottom w:val="none" w:sz="0" w:space="0" w:color="auto"/>
        <w:right w:val="none" w:sz="0" w:space="0" w:color="auto"/>
      </w:divBdr>
    </w:div>
    <w:div w:id="645286230">
      <w:bodyDiv w:val="1"/>
      <w:marLeft w:val="0"/>
      <w:marRight w:val="0"/>
      <w:marTop w:val="0"/>
      <w:marBottom w:val="0"/>
      <w:divBdr>
        <w:top w:val="none" w:sz="0" w:space="0" w:color="auto"/>
        <w:left w:val="none" w:sz="0" w:space="0" w:color="auto"/>
        <w:bottom w:val="none" w:sz="0" w:space="0" w:color="auto"/>
        <w:right w:val="none" w:sz="0" w:space="0" w:color="auto"/>
      </w:divBdr>
    </w:div>
    <w:div w:id="662508088">
      <w:bodyDiv w:val="1"/>
      <w:marLeft w:val="0"/>
      <w:marRight w:val="0"/>
      <w:marTop w:val="0"/>
      <w:marBottom w:val="0"/>
      <w:divBdr>
        <w:top w:val="none" w:sz="0" w:space="0" w:color="auto"/>
        <w:left w:val="none" w:sz="0" w:space="0" w:color="auto"/>
        <w:bottom w:val="none" w:sz="0" w:space="0" w:color="auto"/>
        <w:right w:val="none" w:sz="0" w:space="0" w:color="auto"/>
      </w:divBdr>
    </w:div>
    <w:div w:id="668141003">
      <w:bodyDiv w:val="1"/>
      <w:marLeft w:val="0"/>
      <w:marRight w:val="0"/>
      <w:marTop w:val="0"/>
      <w:marBottom w:val="0"/>
      <w:divBdr>
        <w:top w:val="none" w:sz="0" w:space="0" w:color="auto"/>
        <w:left w:val="none" w:sz="0" w:space="0" w:color="auto"/>
        <w:bottom w:val="none" w:sz="0" w:space="0" w:color="auto"/>
        <w:right w:val="none" w:sz="0" w:space="0" w:color="auto"/>
      </w:divBdr>
    </w:div>
    <w:div w:id="668141987">
      <w:bodyDiv w:val="1"/>
      <w:marLeft w:val="0"/>
      <w:marRight w:val="0"/>
      <w:marTop w:val="0"/>
      <w:marBottom w:val="0"/>
      <w:divBdr>
        <w:top w:val="none" w:sz="0" w:space="0" w:color="auto"/>
        <w:left w:val="none" w:sz="0" w:space="0" w:color="auto"/>
        <w:bottom w:val="none" w:sz="0" w:space="0" w:color="auto"/>
        <w:right w:val="none" w:sz="0" w:space="0" w:color="auto"/>
      </w:divBdr>
    </w:div>
    <w:div w:id="669672343">
      <w:bodyDiv w:val="1"/>
      <w:marLeft w:val="0"/>
      <w:marRight w:val="0"/>
      <w:marTop w:val="0"/>
      <w:marBottom w:val="0"/>
      <w:divBdr>
        <w:top w:val="none" w:sz="0" w:space="0" w:color="auto"/>
        <w:left w:val="none" w:sz="0" w:space="0" w:color="auto"/>
        <w:bottom w:val="none" w:sz="0" w:space="0" w:color="auto"/>
        <w:right w:val="none" w:sz="0" w:space="0" w:color="auto"/>
      </w:divBdr>
    </w:div>
    <w:div w:id="670526849">
      <w:bodyDiv w:val="1"/>
      <w:marLeft w:val="0"/>
      <w:marRight w:val="0"/>
      <w:marTop w:val="0"/>
      <w:marBottom w:val="0"/>
      <w:divBdr>
        <w:top w:val="none" w:sz="0" w:space="0" w:color="auto"/>
        <w:left w:val="none" w:sz="0" w:space="0" w:color="auto"/>
        <w:bottom w:val="none" w:sz="0" w:space="0" w:color="auto"/>
        <w:right w:val="none" w:sz="0" w:space="0" w:color="auto"/>
      </w:divBdr>
    </w:div>
    <w:div w:id="674108546">
      <w:bodyDiv w:val="1"/>
      <w:marLeft w:val="0"/>
      <w:marRight w:val="0"/>
      <w:marTop w:val="0"/>
      <w:marBottom w:val="0"/>
      <w:divBdr>
        <w:top w:val="none" w:sz="0" w:space="0" w:color="auto"/>
        <w:left w:val="none" w:sz="0" w:space="0" w:color="auto"/>
        <w:bottom w:val="none" w:sz="0" w:space="0" w:color="auto"/>
        <w:right w:val="none" w:sz="0" w:space="0" w:color="auto"/>
      </w:divBdr>
    </w:div>
    <w:div w:id="674501965">
      <w:bodyDiv w:val="1"/>
      <w:marLeft w:val="0"/>
      <w:marRight w:val="0"/>
      <w:marTop w:val="0"/>
      <w:marBottom w:val="0"/>
      <w:divBdr>
        <w:top w:val="none" w:sz="0" w:space="0" w:color="auto"/>
        <w:left w:val="none" w:sz="0" w:space="0" w:color="auto"/>
        <w:bottom w:val="none" w:sz="0" w:space="0" w:color="auto"/>
        <w:right w:val="none" w:sz="0" w:space="0" w:color="auto"/>
      </w:divBdr>
    </w:div>
    <w:div w:id="679744247">
      <w:bodyDiv w:val="1"/>
      <w:marLeft w:val="0"/>
      <w:marRight w:val="0"/>
      <w:marTop w:val="0"/>
      <w:marBottom w:val="0"/>
      <w:divBdr>
        <w:top w:val="none" w:sz="0" w:space="0" w:color="auto"/>
        <w:left w:val="none" w:sz="0" w:space="0" w:color="auto"/>
        <w:bottom w:val="none" w:sz="0" w:space="0" w:color="auto"/>
        <w:right w:val="none" w:sz="0" w:space="0" w:color="auto"/>
      </w:divBdr>
    </w:div>
    <w:div w:id="685519524">
      <w:bodyDiv w:val="1"/>
      <w:marLeft w:val="0"/>
      <w:marRight w:val="0"/>
      <w:marTop w:val="0"/>
      <w:marBottom w:val="0"/>
      <w:divBdr>
        <w:top w:val="none" w:sz="0" w:space="0" w:color="auto"/>
        <w:left w:val="none" w:sz="0" w:space="0" w:color="auto"/>
        <w:bottom w:val="none" w:sz="0" w:space="0" w:color="auto"/>
        <w:right w:val="none" w:sz="0" w:space="0" w:color="auto"/>
      </w:divBdr>
    </w:div>
    <w:div w:id="688145436">
      <w:bodyDiv w:val="1"/>
      <w:marLeft w:val="0"/>
      <w:marRight w:val="0"/>
      <w:marTop w:val="0"/>
      <w:marBottom w:val="0"/>
      <w:divBdr>
        <w:top w:val="none" w:sz="0" w:space="0" w:color="auto"/>
        <w:left w:val="none" w:sz="0" w:space="0" w:color="auto"/>
        <w:bottom w:val="none" w:sz="0" w:space="0" w:color="auto"/>
        <w:right w:val="none" w:sz="0" w:space="0" w:color="auto"/>
      </w:divBdr>
    </w:div>
    <w:div w:id="699863999">
      <w:bodyDiv w:val="1"/>
      <w:marLeft w:val="0"/>
      <w:marRight w:val="0"/>
      <w:marTop w:val="0"/>
      <w:marBottom w:val="0"/>
      <w:divBdr>
        <w:top w:val="none" w:sz="0" w:space="0" w:color="auto"/>
        <w:left w:val="none" w:sz="0" w:space="0" w:color="auto"/>
        <w:bottom w:val="none" w:sz="0" w:space="0" w:color="auto"/>
        <w:right w:val="none" w:sz="0" w:space="0" w:color="auto"/>
      </w:divBdr>
    </w:div>
    <w:div w:id="703478935">
      <w:bodyDiv w:val="1"/>
      <w:marLeft w:val="0"/>
      <w:marRight w:val="0"/>
      <w:marTop w:val="0"/>
      <w:marBottom w:val="0"/>
      <w:divBdr>
        <w:top w:val="none" w:sz="0" w:space="0" w:color="auto"/>
        <w:left w:val="none" w:sz="0" w:space="0" w:color="auto"/>
        <w:bottom w:val="none" w:sz="0" w:space="0" w:color="auto"/>
        <w:right w:val="none" w:sz="0" w:space="0" w:color="auto"/>
      </w:divBdr>
    </w:div>
    <w:div w:id="721442732">
      <w:bodyDiv w:val="1"/>
      <w:marLeft w:val="0"/>
      <w:marRight w:val="0"/>
      <w:marTop w:val="0"/>
      <w:marBottom w:val="0"/>
      <w:divBdr>
        <w:top w:val="none" w:sz="0" w:space="0" w:color="auto"/>
        <w:left w:val="none" w:sz="0" w:space="0" w:color="auto"/>
        <w:bottom w:val="none" w:sz="0" w:space="0" w:color="auto"/>
        <w:right w:val="none" w:sz="0" w:space="0" w:color="auto"/>
      </w:divBdr>
    </w:div>
    <w:div w:id="738864627">
      <w:bodyDiv w:val="1"/>
      <w:marLeft w:val="0"/>
      <w:marRight w:val="0"/>
      <w:marTop w:val="0"/>
      <w:marBottom w:val="0"/>
      <w:divBdr>
        <w:top w:val="none" w:sz="0" w:space="0" w:color="auto"/>
        <w:left w:val="none" w:sz="0" w:space="0" w:color="auto"/>
        <w:bottom w:val="none" w:sz="0" w:space="0" w:color="auto"/>
        <w:right w:val="none" w:sz="0" w:space="0" w:color="auto"/>
      </w:divBdr>
    </w:div>
    <w:div w:id="744424642">
      <w:bodyDiv w:val="1"/>
      <w:marLeft w:val="0"/>
      <w:marRight w:val="0"/>
      <w:marTop w:val="0"/>
      <w:marBottom w:val="0"/>
      <w:divBdr>
        <w:top w:val="none" w:sz="0" w:space="0" w:color="auto"/>
        <w:left w:val="none" w:sz="0" w:space="0" w:color="auto"/>
        <w:bottom w:val="none" w:sz="0" w:space="0" w:color="auto"/>
        <w:right w:val="none" w:sz="0" w:space="0" w:color="auto"/>
      </w:divBdr>
    </w:div>
    <w:div w:id="749549423">
      <w:bodyDiv w:val="1"/>
      <w:marLeft w:val="0"/>
      <w:marRight w:val="0"/>
      <w:marTop w:val="0"/>
      <w:marBottom w:val="0"/>
      <w:divBdr>
        <w:top w:val="none" w:sz="0" w:space="0" w:color="auto"/>
        <w:left w:val="none" w:sz="0" w:space="0" w:color="auto"/>
        <w:bottom w:val="none" w:sz="0" w:space="0" w:color="auto"/>
        <w:right w:val="none" w:sz="0" w:space="0" w:color="auto"/>
      </w:divBdr>
    </w:div>
    <w:div w:id="756249702">
      <w:bodyDiv w:val="1"/>
      <w:marLeft w:val="0"/>
      <w:marRight w:val="0"/>
      <w:marTop w:val="0"/>
      <w:marBottom w:val="0"/>
      <w:divBdr>
        <w:top w:val="none" w:sz="0" w:space="0" w:color="auto"/>
        <w:left w:val="none" w:sz="0" w:space="0" w:color="auto"/>
        <w:bottom w:val="none" w:sz="0" w:space="0" w:color="auto"/>
        <w:right w:val="none" w:sz="0" w:space="0" w:color="auto"/>
      </w:divBdr>
    </w:div>
    <w:div w:id="770050031">
      <w:bodyDiv w:val="1"/>
      <w:marLeft w:val="0"/>
      <w:marRight w:val="0"/>
      <w:marTop w:val="0"/>
      <w:marBottom w:val="0"/>
      <w:divBdr>
        <w:top w:val="none" w:sz="0" w:space="0" w:color="auto"/>
        <w:left w:val="none" w:sz="0" w:space="0" w:color="auto"/>
        <w:bottom w:val="none" w:sz="0" w:space="0" w:color="auto"/>
        <w:right w:val="none" w:sz="0" w:space="0" w:color="auto"/>
      </w:divBdr>
    </w:div>
    <w:div w:id="780102568">
      <w:bodyDiv w:val="1"/>
      <w:marLeft w:val="0"/>
      <w:marRight w:val="0"/>
      <w:marTop w:val="0"/>
      <w:marBottom w:val="0"/>
      <w:divBdr>
        <w:top w:val="none" w:sz="0" w:space="0" w:color="auto"/>
        <w:left w:val="none" w:sz="0" w:space="0" w:color="auto"/>
        <w:bottom w:val="none" w:sz="0" w:space="0" w:color="auto"/>
        <w:right w:val="none" w:sz="0" w:space="0" w:color="auto"/>
      </w:divBdr>
    </w:div>
    <w:div w:id="798032148">
      <w:bodyDiv w:val="1"/>
      <w:marLeft w:val="0"/>
      <w:marRight w:val="0"/>
      <w:marTop w:val="0"/>
      <w:marBottom w:val="0"/>
      <w:divBdr>
        <w:top w:val="none" w:sz="0" w:space="0" w:color="auto"/>
        <w:left w:val="none" w:sz="0" w:space="0" w:color="auto"/>
        <w:bottom w:val="none" w:sz="0" w:space="0" w:color="auto"/>
        <w:right w:val="none" w:sz="0" w:space="0" w:color="auto"/>
      </w:divBdr>
    </w:div>
    <w:div w:id="798257982">
      <w:bodyDiv w:val="1"/>
      <w:marLeft w:val="0"/>
      <w:marRight w:val="0"/>
      <w:marTop w:val="0"/>
      <w:marBottom w:val="0"/>
      <w:divBdr>
        <w:top w:val="none" w:sz="0" w:space="0" w:color="auto"/>
        <w:left w:val="none" w:sz="0" w:space="0" w:color="auto"/>
        <w:bottom w:val="none" w:sz="0" w:space="0" w:color="auto"/>
        <w:right w:val="none" w:sz="0" w:space="0" w:color="auto"/>
      </w:divBdr>
    </w:div>
    <w:div w:id="804808903">
      <w:bodyDiv w:val="1"/>
      <w:marLeft w:val="0"/>
      <w:marRight w:val="0"/>
      <w:marTop w:val="0"/>
      <w:marBottom w:val="0"/>
      <w:divBdr>
        <w:top w:val="none" w:sz="0" w:space="0" w:color="auto"/>
        <w:left w:val="none" w:sz="0" w:space="0" w:color="auto"/>
        <w:bottom w:val="none" w:sz="0" w:space="0" w:color="auto"/>
        <w:right w:val="none" w:sz="0" w:space="0" w:color="auto"/>
      </w:divBdr>
    </w:div>
    <w:div w:id="814954057">
      <w:bodyDiv w:val="1"/>
      <w:marLeft w:val="0"/>
      <w:marRight w:val="0"/>
      <w:marTop w:val="0"/>
      <w:marBottom w:val="0"/>
      <w:divBdr>
        <w:top w:val="none" w:sz="0" w:space="0" w:color="auto"/>
        <w:left w:val="none" w:sz="0" w:space="0" w:color="auto"/>
        <w:bottom w:val="none" w:sz="0" w:space="0" w:color="auto"/>
        <w:right w:val="none" w:sz="0" w:space="0" w:color="auto"/>
      </w:divBdr>
    </w:div>
    <w:div w:id="816149051">
      <w:bodyDiv w:val="1"/>
      <w:marLeft w:val="0"/>
      <w:marRight w:val="0"/>
      <w:marTop w:val="0"/>
      <w:marBottom w:val="0"/>
      <w:divBdr>
        <w:top w:val="none" w:sz="0" w:space="0" w:color="auto"/>
        <w:left w:val="none" w:sz="0" w:space="0" w:color="auto"/>
        <w:bottom w:val="none" w:sz="0" w:space="0" w:color="auto"/>
        <w:right w:val="none" w:sz="0" w:space="0" w:color="auto"/>
      </w:divBdr>
    </w:div>
    <w:div w:id="821434204">
      <w:bodyDiv w:val="1"/>
      <w:marLeft w:val="0"/>
      <w:marRight w:val="0"/>
      <w:marTop w:val="0"/>
      <w:marBottom w:val="0"/>
      <w:divBdr>
        <w:top w:val="none" w:sz="0" w:space="0" w:color="auto"/>
        <w:left w:val="none" w:sz="0" w:space="0" w:color="auto"/>
        <w:bottom w:val="none" w:sz="0" w:space="0" w:color="auto"/>
        <w:right w:val="none" w:sz="0" w:space="0" w:color="auto"/>
      </w:divBdr>
    </w:div>
    <w:div w:id="823087894">
      <w:bodyDiv w:val="1"/>
      <w:marLeft w:val="0"/>
      <w:marRight w:val="0"/>
      <w:marTop w:val="0"/>
      <w:marBottom w:val="0"/>
      <w:divBdr>
        <w:top w:val="none" w:sz="0" w:space="0" w:color="auto"/>
        <w:left w:val="none" w:sz="0" w:space="0" w:color="auto"/>
        <w:bottom w:val="none" w:sz="0" w:space="0" w:color="auto"/>
        <w:right w:val="none" w:sz="0" w:space="0" w:color="auto"/>
      </w:divBdr>
    </w:div>
    <w:div w:id="834959424">
      <w:bodyDiv w:val="1"/>
      <w:marLeft w:val="0"/>
      <w:marRight w:val="0"/>
      <w:marTop w:val="0"/>
      <w:marBottom w:val="0"/>
      <w:divBdr>
        <w:top w:val="none" w:sz="0" w:space="0" w:color="auto"/>
        <w:left w:val="none" w:sz="0" w:space="0" w:color="auto"/>
        <w:bottom w:val="none" w:sz="0" w:space="0" w:color="auto"/>
        <w:right w:val="none" w:sz="0" w:space="0" w:color="auto"/>
      </w:divBdr>
    </w:div>
    <w:div w:id="857352452">
      <w:bodyDiv w:val="1"/>
      <w:marLeft w:val="0"/>
      <w:marRight w:val="0"/>
      <w:marTop w:val="0"/>
      <w:marBottom w:val="0"/>
      <w:divBdr>
        <w:top w:val="none" w:sz="0" w:space="0" w:color="auto"/>
        <w:left w:val="none" w:sz="0" w:space="0" w:color="auto"/>
        <w:bottom w:val="none" w:sz="0" w:space="0" w:color="auto"/>
        <w:right w:val="none" w:sz="0" w:space="0" w:color="auto"/>
      </w:divBdr>
    </w:div>
    <w:div w:id="872890494">
      <w:bodyDiv w:val="1"/>
      <w:marLeft w:val="0"/>
      <w:marRight w:val="0"/>
      <w:marTop w:val="0"/>
      <w:marBottom w:val="0"/>
      <w:divBdr>
        <w:top w:val="none" w:sz="0" w:space="0" w:color="auto"/>
        <w:left w:val="none" w:sz="0" w:space="0" w:color="auto"/>
        <w:bottom w:val="none" w:sz="0" w:space="0" w:color="auto"/>
        <w:right w:val="none" w:sz="0" w:space="0" w:color="auto"/>
      </w:divBdr>
    </w:div>
    <w:div w:id="875040074">
      <w:bodyDiv w:val="1"/>
      <w:marLeft w:val="0"/>
      <w:marRight w:val="0"/>
      <w:marTop w:val="0"/>
      <w:marBottom w:val="0"/>
      <w:divBdr>
        <w:top w:val="none" w:sz="0" w:space="0" w:color="auto"/>
        <w:left w:val="none" w:sz="0" w:space="0" w:color="auto"/>
        <w:bottom w:val="none" w:sz="0" w:space="0" w:color="auto"/>
        <w:right w:val="none" w:sz="0" w:space="0" w:color="auto"/>
      </w:divBdr>
    </w:div>
    <w:div w:id="879631024">
      <w:bodyDiv w:val="1"/>
      <w:marLeft w:val="0"/>
      <w:marRight w:val="0"/>
      <w:marTop w:val="0"/>
      <w:marBottom w:val="0"/>
      <w:divBdr>
        <w:top w:val="none" w:sz="0" w:space="0" w:color="auto"/>
        <w:left w:val="none" w:sz="0" w:space="0" w:color="auto"/>
        <w:bottom w:val="none" w:sz="0" w:space="0" w:color="auto"/>
        <w:right w:val="none" w:sz="0" w:space="0" w:color="auto"/>
      </w:divBdr>
    </w:div>
    <w:div w:id="894243017">
      <w:bodyDiv w:val="1"/>
      <w:marLeft w:val="0"/>
      <w:marRight w:val="0"/>
      <w:marTop w:val="0"/>
      <w:marBottom w:val="0"/>
      <w:divBdr>
        <w:top w:val="none" w:sz="0" w:space="0" w:color="auto"/>
        <w:left w:val="none" w:sz="0" w:space="0" w:color="auto"/>
        <w:bottom w:val="none" w:sz="0" w:space="0" w:color="auto"/>
        <w:right w:val="none" w:sz="0" w:space="0" w:color="auto"/>
      </w:divBdr>
    </w:div>
    <w:div w:id="908811333">
      <w:bodyDiv w:val="1"/>
      <w:marLeft w:val="0"/>
      <w:marRight w:val="0"/>
      <w:marTop w:val="0"/>
      <w:marBottom w:val="0"/>
      <w:divBdr>
        <w:top w:val="none" w:sz="0" w:space="0" w:color="auto"/>
        <w:left w:val="none" w:sz="0" w:space="0" w:color="auto"/>
        <w:bottom w:val="none" w:sz="0" w:space="0" w:color="auto"/>
        <w:right w:val="none" w:sz="0" w:space="0" w:color="auto"/>
      </w:divBdr>
    </w:div>
    <w:div w:id="913320316">
      <w:bodyDiv w:val="1"/>
      <w:marLeft w:val="0"/>
      <w:marRight w:val="0"/>
      <w:marTop w:val="0"/>
      <w:marBottom w:val="0"/>
      <w:divBdr>
        <w:top w:val="none" w:sz="0" w:space="0" w:color="auto"/>
        <w:left w:val="none" w:sz="0" w:space="0" w:color="auto"/>
        <w:bottom w:val="none" w:sz="0" w:space="0" w:color="auto"/>
        <w:right w:val="none" w:sz="0" w:space="0" w:color="auto"/>
      </w:divBdr>
    </w:div>
    <w:div w:id="919752671">
      <w:bodyDiv w:val="1"/>
      <w:marLeft w:val="0"/>
      <w:marRight w:val="0"/>
      <w:marTop w:val="0"/>
      <w:marBottom w:val="0"/>
      <w:divBdr>
        <w:top w:val="none" w:sz="0" w:space="0" w:color="auto"/>
        <w:left w:val="none" w:sz="0" w:space="0" w:color="auto"/>
        <w:bottom w:val="none" w:sz="0" w:space="0" w:color="auto"/>
        <w:right w:val="none" w:sz="0" w:space="0" w:color="auto"/>
      </w:divBdr>
    </w:div>
    <w:div w:id="921915467">
      <w:bodyDiv w:val="1"/>
      <w:marLeft w:val="0"/>
      <w:marRight w:val="0"/>
      <w:marTop w:val="0"/>
      <w:marBottom w:val="0"/>
      <w:divBdr>
        <w:top w:val="none" w:sz="0" w:space="0" w:color="auto"/>
        <w:left w:val="none" w:sz="0" w:space="0" w:color="auto"/>
        <w:bottom w:val="none" w:sz="0" w:space="0" w:color="auto"/>
        <w:right w:val="none" w:sz="0" w:space="0" w:color="auto"/>
      </w:divBdr>
    </w:div>
    <w:div w:id="946237775">
      <w:bodyDiv w:val="1"/>
      <w:marLeft w:val="0"/>
      <w:marRight w:val="0"/>
      <w:marTop w:val="0"/>
      <w:marBottom w:val="0"/>
      <w:divBdr>
        <w:top w:val="none" w:sz="0" w:space="0" w:color="auto"/>
        <w:left w:val="none" w:sz="0" w:space="0" w:color="auto"/>
        <w:bottom w:val="none" w:sz="0" w:space="0" w:color="auto"/>
        <w:right w:val="none" w:sz="0" w:space="0" w:color="auto"/>
      </w:divBdr>
    </w:div>
    <w:div w:id="950740585">
      <w:bodyDiv w:val="1"/>
      <w:marLeft w:val="0"/>
      <w:marRight w:val="0"/>
      <w:marTop w:val="0"/>
      <w:marBottom w:val="0"/>
      <w:divBdr>
        <w:top w:val="none" w:sz="0" w:space="0" w:color="auto"/>
        <w:left w:val="none" w:sz="0" w:space="0" w:color="auto"/>
        <w:bottom w:val="none" w:sz="0" w:space="0" w:color="auto"/>
        <w:right w:val="none" w:sz="0" w:space="0" w:color="auto"/>
      </w:divBdr>
    </w:div>
    <w:div w:id="958296447">
      <w:bodyDiv w:val="1"/>
      <w:marLeft w:val="0"/>
      <w:marRight w:val="0"/>
      <w:marTop w:val="0"/>
      <w:marBottom w:val="0"/>
      <w:divBdr>
        <w:top w:val="none" w:sz="0" w:space="0" w:color="auto"/>
        <w:left w:val="none" w:sz="0" w:space="0" w:color="auto"/>
        <w:bottom w:val="none" w:sz="0" w:space="0" w:color="auto"/>
        <w:right w:val="none" w:sz="0" w:space="0" w:color="auto"/>
      </w:divBdr>
    </w:div>
    <w:div w:id="958993451">
      <w:bodyDiv w:val="1"/>
      <w:marLeft w:val="0"/>
      <w:marRight w:val="0"/>
      <w:marTop w:val="0"/>
      <w:marBottom w:val="0"/>
      <w:divBdr>
        <w:top w:val="none" w:sz="0" w:space="0" w:color="auto"/>
        <w:left w:val="none" w:sz="0" w:space="0" w:color="auto"/>
        <w:bottom w:val="none" w:sz="0" w:space="0" w:color="auto"/>
        <w:right w:val="none" w:sz="0" w:space="0" w:color="auto"/>
      </w:divBdr>
    </w:div>
    <w:div w:id="965430749">
      <w:bodyDiv w:val="1"/>
      <w:marLeft w:val="0"/>
      <w:marRight w:val="0"/>
      <w:marTop w:val="0"/>
      <w:marBottom w:val="0"/>
      <w:divBdr>
        <w:top w:val="none" w:sz="0" w:space="0" w:color="auto"/>
        <w:left w:val="none" w:sz="0" w:space="0" w:color="auto"/>
        <w:bottom w:val="none" w:sz="0" w:space="0" w:color="auto"/>
        <w:right w:val="none" w:sz="0" w:space="0" w:color="auto"/>
      </w:divBdr>
    </w:div>
    <w:div w:id="970014688">
      <w:bodyDiv w:val="1"/>
      <w:marLeft w:val="0"/>
      <w:marRight w:val="0"/>
      <w:marTop w:val="0"/>
      <w:marBottom w:val="0"/>
      <w:divBdr>
        <w:top w:val="none" w:sz="0" w:space="0" w:color="auto"/>
        <w:left w:val="none" w:sz="0" w:space="0" w:color="auto"/>
        <w:bottom w:val="none" w:sz="0" w:space="0" w:color="auto"/>
        <w:right w:val="none" w:sz="0" w:space="0" w:color="auto"/>
      </w:divBdr>
    </w:div>
    <w:div w:id="982855538">
      <w:bodyDiv w:val="1"/>
      <w:marLeft w:val="0"/>
      <w:marRight w:val="0"/>
      <w:marTop w:val="0"/>
      <w:marBottom w:val="0"/>
      <w:divBdr>
        <w:top w:val="none" w:sz="0" w:space="0" w:color="auto"/>
        <w:left w:val="none" w:sz="0" w:space="0" w:color="auto"/>
        <w:bottom w:val="none" w:sz="0" w:space="0" w:color="auto"/>
        <w:right w:val="none" w:sz="0" w:space="0" w:color="auto"/>
      </w:divBdr>
    </w:div>
    <w:div w:id="983390229">
      <w:bodyDiv w:val="1"/>
      <w:marLeft w:val="0"/>
      <w:marRight w:val="0"/>
      <w:marTop w:val="0"/>
      <w:marBottom w:val="0"/>
      <w:divBdr>
        <w:top w:val="none" w:sz="0" w:space="0" w:color="auto"/>
        <w:left w:val="none" w:sz="0" w:space="0" w:color="auto"/>
        <w:bottom w:val="none" w:sz="0" w:space="0" w:color="auto"/>
        <w:right w:val="none" w:sz="0" w:space="0" w:color="auto"/>
      </w:divBdr>
    </w:div>
    <w:div w:id="988826475">
      <w:bodyDiv w:val="1"/>
      <w:marLeft w:val="0"/>
      <w:marRight w:val="0"/>
      <w:marTop w:val="0"/>
      <w:marBottom w:val="0"/>
      <w:divBdr>
        <w:top w:val="none" w:sz="0" w:space="0" w:color="auto"/>
        <w:left w:val="none" w:sz="0" w:space="0" w:color="auto"/>
        <w:bottom w:val="none" w:sz="0" w:space="0" w:color="auto"/>
        <w:right w:val="none" w:sz="0" w:space="0" w:color="auto"/>
      </w:divBdr>
    </w:div>
    <w:div w:id="996422320">
      <w:bodyDiv w:val="1"/>
      <w:marLeft w:val="0"/>
      <w:marRight w:val="0"/>
      <w:marTop w:val="0"/>
      <w:marBottom w:val="0"/>
      <w:divBdr>
        <w:top w:val="none" w:sz="0" w:space="0" w:color="auto"/>
        <w:left w:val="none" w:sz="0" w:space="0" w:color="auto"/>
        <w:bottom w:val="none" w:sz="0" w:space="0" w:color="auto"/>
        <w:right w:val="none" w:sz="0" w:space="0" w:color="auto"/>
      </w:divBdr>
    </w:div>
    <w:div w:id="1002777327">
      <w:bodyDiv w:val="1"/>
      <w:marLeft w:val="0"/>
      <w:marRight w:val="0"/>
      <w:marTop w:val="0"/>
      <w:marBottom w:val="0"/>
      <w:divBdr>
        <w:top w:val="none" w:sz="0" w:space="0" w:color="auto"/>
        <w:left w:val="none" w:sz="0" w:space="0" w:color="auto"/>
        <w:bottom w:val="none" w:sz="0" w:space="0" w:color="auto"/>
        <w:right w:val="none" w:sz="0" w:space="0" w:color="auto"/>
      </w:divBdr>
    </w:div>
    <w:div w:id="1008022154">
      <w:bodyDiv w:val="1"/>
      <w:marLeft w:val="0"/>
      <w:marRight w:val="0"/>
      <w:marTop w:val="0"/>
      <w:marBottom w:val="0"/>
      <w:divBdr>
        <w:top w:val="none" w:sz="0" w:space="0" w:color="auto"/>
        <w:left w:val="none" w:sz="0" w:space="0" w:color="auto"/>
        <w:bottom w:val="none" w:sz="0" w:space="0" w:color="auto"/>
        <w:right w:val="none" w:sz="0" w:space="0" w:color="auto"/>
      </w:divBdr>
    </w:div>
    <w:div w:id="1022589311">
      <w:bodyDiv w:val="1"/>
      <w:marLeft w:val="0"/>
      <w:marRight w:val="0"/>
      <w:marTop w:val="0"/>
      <w:marBottom w:val="0"/>
      <w:divBdr>
        <w:top w:val="none" w:sz="0" w:space="0" w:color="auto"/>
        <w:left w:val="none" w:sz="0" w:space="0" w:color="auto"/>
        <w:bottom w:val="none" w:sz="0" w:space="0" w:color="auto"/>
        <w:right w:val="none" w:sz="0" w:space="0" w:color="auto"/>
      </w:divBdr>
    </w:div>
    <w:div w:id="1025786687">
      <w:bodyDiv w:val="1"/>
      <w:marLeft w:val="0"/>
      <w:marRight w:val="0"/>
      <w:marTop w:val="0"/>
      <w:marBottom w:val="0"/>
      <w:divBdr>
        <w:top w:val="none" w:sz="0" w:space="0" w:color="auto"/>
        <w:left w:val="none" w:sz="0" w:space="0" w:color="auto"/>
        <w:bottom w:val="none" w:sz="0" w:space="0" w:color="auto"/>
        <w:right w:val="none" w:sz="0" w:space="0" w:color="auto"/>
      </w:divBdr>
    </w:div>
    <w:div w:id="1055395550">
      <w:bodyDiv w:val="1"/>
      <w:marLeft w:val="0"/>
      <w:marRight w:val="0"/>
      <w:marTop w:val="0"/>
      <w:marBottom w:val="0"/>
      <w:divBdr>
        <w:top w:val="none" w:sz="0" w:space="0" w:color="auto"/>
        <w:left w:val="none" w:sz="0" w:space="0" w:color="auto"/>
        <w:bottom w:val="none" w:sz="0" w:space="0" w:color="auto"/>
        <w:right w:val="none" w:sz="0" w:space="0" w:color="auto"/>
      </w:divBdr>
    </w:div>
    <w:div w:id="1056706401">
      <w:bodyDiv w:val="1"/>
      <w:marLeft w:val="0"/>
      <w:marRight w:val="0"/>
      <w:marTop w:val="0"/>
      <w:marBottom w:val="0"/>
      <w:divBdr>
        <w:top w:val="none" w:sz="0" w:space="0" w:color="auto"/>
        <w:left w:val="none" w:sz="0" w:space="0" w:color="auto"/>
        <w:bottom w:val="none" w:sz="0" w:space="0" w:color="auto"/>
        <w:right w:val="none" w:sz="0" w:space="0" w:color="auto"/>
      </w:divBdr>
    </w:div>
    <w:div w:id="1057585902">
      <w:bodyDiv w:val="1"/>
      <w:marLeft w:val="0"/>
      <w:marRight w:val="0"/>
      <w:marTop w:val="0"/>
      <w:marBottom w:val="0"/>
      <w:divBdr>
        <w:top w:val="none" w:sz="0" w:space="0" w:color="auto"/>
        <w:left w:val="none" w:sz="0" w:space="0" w:color="auto"/>
        <w:bottom w:val="none" w:sz="0" w:space="0" w:color="auto"/>
        <w:right w:val="none" w:sz="0" w:space="0" w:color="auto"/>
      </w:divBdr>
    </w:div>
    <w:div w:id="1065756903">
      <w:bodyDiv w:val="1"/>
      <w:marLeft w:val="0"/>
      <w:marRight w:val="0"/>
      <w:marTop w:val="0"/>
      <w:marBottom w:val="0"/>
      <w:divBdr>
        <w:top w:val="none" w:sz="0" w:space="0" w:color="auto"/>
        <w:left w:val="none" w:sz="0" w:space="0" w:color="auto"/>
        <w:bottom w:val="none" w:sz="0" w:space="0" w:color="auto"/>
        <w:right w:val="none" w:sz="0" w:space="0" w:color="auto"/>
      </w:divBdr>
    </w:div>
    <w:div w:id="1072890063">
      <w:bodyDiv w:val="1"/>
      <w:marLeft w:val="0"/>
      <w:marRight w:val="0"/>
      <w:marTop w:val="0"/>
      <w:marBottom w:val="0"/>
      <w:divBdr>
        <w:top w:val="none" w:sz="0" w:space="0" w:color="auto"/>
        <w:left w:val="none" w:sz="0" w:space="0" w:color="auto"/>
        <w:bottom w:val="none" w:sz="0" w:space="0" w:color="auto"/>
        <w:right w:val="none" w:sz="0" w:space="0" w:color="auto"/>
      </w:divBdr>
    </w:div>
    <w:div w:id="1076393247">
      <w:bodyDiv w:val="1"/>
      <w:marLeft w:val="0"/>
      <w:marRight w:val="0"/>
      <w:marTop w:val="0"/>
      <w:marBottom w:val="0"/>
      <w:divBdr>
        <w:top w:val="none" w:sz="0" w:space="0" w:color="auto"/>
        <w:left w:val="none" w:sz="0" w:space="0" w:color="auto"/>
        <w:bottom w:val="none" w:sz="0" w:space="0" w:color="auto"/>
        <w:right w:val="none" w:sz="0" w:space="0" w:color="auto"/>
      </w:divBdr>
    </w:div>
    <w:div w:id="1088422114">
      <w:bodyDiv w:val="1"/>
      <w:marLeft w:val="0"/>
      <w:marRight w:val="0"/>
      <w:marTop w:val="0"/>
      <w:marBottom w:val="0"/>
      <w:divBdr>
        <w:top w:val="none" w:sz="0" w:space="0" w:color="auto"/>
        <w:left w:val="none" w:sz="0" w:space="0" w:color="auto"/>
        <w:bottom w:val="none" w:sz="0" w:space="0" w:color="auto"/>
        <w:right w:val="none" w:sz="0" w:space="0" w:color="auto"/>
      </w:divBdr>
    </w:div>
    <w:div w:id="1103499900">
      <w:bodyDiv w:val="1"/>
      <w:marLeft w:val="0"/>
      <w:marRight w:val="0"/>
      <w:marTop w:val="0"/>
      <w:marBottom w:val="0"/>
      <w:divBdr>
        <w:top w:val="none" w:sz="0" w:space="0" w:color="auto"/>
        <w:left w:val="none" w:sz="0" w:space="0" w:color="auto"/>
        <w:bottom w:val="none" w:sz="0" w:space="0" w:color="auto"/>
        <w:right w:val="none" w:sz="0" w:space="0" w:color="auto"/>
      </w:divBdr>
    </w:div>
    <w:div w:id="1104306128">
      <w:bodyDiv w:val="1"/>
      <w:marLeft w:val="0"/>
      <w:marRight w:val="0"/>
      <w:marTop w:val="0"/>
      <w:marBottom w:val="0"/>
      <w:divBdr>
        <w:top w:val="none" w:sz="0" w:space="0" w:color="auto"/>
        <w:left w:val="none" w:sz="0" w:space="0" w:color="auto"/>
        <w:bottom w:val="none" w:sz="0" w:space="0" w:color="auto"/>
        <w:right w:val="none" w:sz="0" w:space="0" w:color="auto"/>
      </w:divBdr>
    </w:div>
    <w:div w:id="1109859769">
      <w:bodyDiv w:val="1"/>
      <w:marLeft w:val="0"/>
      <w:marRight w:val="0"/>
      <w:marTop w:val="0"/>
      <w:marBottom w:val="0"/>
      <w:divBdr>
        <w:top w:val="none" w:sz="0" w:space="0" w:color="auto"/>
        <w:left w:val="none" w:sz="0" w:space="0" w:color="auto"/>
        <w:bottom w:val="none" w:sz="0" w:space="0" w:color="auto"/>
        <w:right w:val="none" w:sz="0" w:space="0" w:color="auto"/>
      </w:divBdr>
    </w:div>
    <w:div w:id="1123226492">
      <w:bodyDiv w:val="1"/>
      <w:marLeft w:val="0"/>
      <w:marRight w:val="0"/>
      <w:marTop w:val="0"/>
      <w:marBottom w:val="0"/>
      <w:divBdr>
        <w:top w:val="none" w:sz="0" w:space="0" w:color="auto"/>
        <w:left w:val="none" w:sz="0" w:space="0" w:color="auto"/>
        <w:bottom w:val="none" w:sz="0" w:space="0" w:color="auto"/>
        <w:right w:val="none" w:sz="0" w:space="0" w:color="auto"/>
      </w:divBdr>
    </w:div>
    <w:div w:id="1123574084">
      <w:bodyDiv w:val="1"/>
      <w:marLeft w:val="0"/>
      <w:marRight w:val="0"/>
      <w:marTop w:val="0"/>
      <w:marBottom w:val="0"/>
      <w:divBdr>
        <w:top w:val="none" w:sz="0" w:space="0" w:color="auto"/>
        <w:left w:val="none" w:sz="0" w:space="0" w:color="auto"/>
        <w:bottom w:val="none" w:sz="0" w:space="0" w:color="auto"/>
        <w:right w:val="none" w:sz="0" w:space="0" w:color="auto"/>
      </w:divBdr>
      <w:divsChild>
        <w:div w:id="771126909">
          <w:marLeft w:val="0"/>
          <w:marRight w:val="34"/>
          <w:marTop w:val="0"/>
          <w:marBottom w:val="0"/>
          <w:divBdr>
            <w:top w:val="none" w:sz="0" w:space="0" w:color="auto"/>
            <w:left w:val="none" w:sz="0" w:space="0" w:color="auto"/>
            <w:bottom w:val="none" w:sz="0" w:space="0" w:color="auto"/>
            <w:right w:val="none" w:sz="0" w:space="0" w:color="auto"/>
          </w:divBdr>
        </w:div>
      </w:divsChild>
    </w:div>
    <w:div w:id="1125537710">
      <w:bodyDiv w:val="1"/>
      <w:marLeft w:val="0"/>
      <w:marRight w:val="0"/>
      <w:marTop w:val="0"/>
      <w:marBottom w:val="0"/>
      <w:divBdr>
        <w:top w:val="none" w:sz="0" w:space="0" w:color="auto"/>
        <w:left w:val="none" w:sz="0" w:space="0" w:color="auto"/>
        <w:bottom w:val="none" w:sz="0" w:space="0" w:color="auto"/>
        <w:right w:val="none" w:sz="0" w:space="0" w:color="auto"/>
      </w:divBdr>
    </w:div>
    <w:div w:id="1126201109">
      <w:bodyDiv w:val="1"/>
      <w:marLeft w:val="0"/>
      <w:marRight w:val="0"/>
      <w:marTop w:val="0"/>
      <w:marBottom w:val="0"/>
      <w:divBdr>
        <w:top w:val="none" w:sz="0" w:space="0" w:color="auto"/>
        <w:left w:val="none" w:sz="0" w:space="0" w:color="auto"/>
        <w:bottom w:val="none" w:sz="0" w:space="0" w:color="auto"/>
        <w:right w:val="none" w:sz="0" w:space="0" w:color="auto"/>
      </w:divBdr>
    </w:div>
    <w:div w:id="1138374714">
      <w:bodyDiv w:val="1"/>
      <w:marLeft w:val="0"/>
      <w:marRight w:val="0"/>
      <w:marTop w:val="0"/>
      <w:marBottom w:val="0"/>
      <w:divBdr>
        <w:top w:val="none" w:sz="0" w:space="0" w:color="auto"/>
        <w:left w:val="none" w:sz="0" w:space="0" w:color="auto"/>
        <w:bottom w:val="none" w:sz="0" w:space="0" w:color="auto"/>
        <w:right w:val="none" w:sz="0" w:space="0" w:color="auto"/>
      </w:divBdr>
    </w:div>
    <w:div w:id="1147819238">
      <w:bodyDiv w:val="1"/>
      <w:marLeft w:val="0"/>
      <w:marRight w:val="0"/>
      <w:marTop w:val="0"/>
      <w:marBottom w:val="0"/>
      <w:divBdr>
        <w:top w:val="none" w:sz="0" w:space="0" w:color="auto"/>
        <w:left w:val="none" w:sz="0" w:space="0" w:color="auto"/>
        <w:bottom w:val="none" w:sz="0" w:space="0" w:color="auto"/>
        <w:right w:val="none" w:sz="0" w:space="0" w:color="auto"/>
      </w:divBdr>
    </w:div>
    <w:div w:id="1148014434">
      <w:bodyDiv w:val="1"/>
      <w:marLeft w:val="0"/>
      <w:marRight w:val="0"/>
      <w:marTop w:val="0"/>
      <w:marBottom w:val="0"/>
      <w:divBdr>
        <w:top w:val="none" w:sz="0" w:space="0" w:color="auto"/>
        <w:left w:val="none" w:sz="0" w:space="0" w:color="auto"/>
        <w:bottom w:val="none" w:sz="0" w:space="0" w:color="auto"/>
        <w:right w:val="none" w:sz="0" w:space="0" w:color="auto"/>
      </w:divBdr>
    </w:div>
    <w:div w:id="1178233598">
      <w:bodyDiv w:val="1"/>
      <w:marLeft w:val="0"/>
      <w:marRight w:val="0"/>
      <w:marTop w:val="0"/>
      <w:marBottom w:val="0"/>
      <w:divBdr>
        <w:top w:val="none" w:sz="0" w:space="0" w:color="auto"/>
        <w:left w:val="none" w:sz="0" w:space="0" w:color="auto"/>
        <w:bottom w:val="none" w:sz="0" w:space="0" w:color="auto"/>
        <w:right w:val="none" w:sz="0" w:space="0" w:color="auto"/>
      </w:divBdr>
    </w:div>
    <w:div w:id="1196694491">
      <w:bodyDiv w:val="1"/>
      <w:marLeft w:val="0"/>
      <w:marRight w:val="0"/>
      <w:marTop w:val="0"/>
      <w:marBottom w:val="0"/>
      <w:divBdr>
        <w:top w:val="none" w:sz="0" w:space="0" w:color="auto"/>
        <w:left w:val="none" w:sz="0" w:space="0" w:color="auto"/>
        <w:bottom w:val="none" w:sz="0" w:space="0" w:color="auto"/>
        <w:right w:val="none" w:sz="0" w:space="0" w:color="auto"/>
      </w:divBdr>
    </w:div>
    <w:div w:id="1201629985">
      <w:bodyDiv w:val="1"/>
      <w:marLeft w:val="0"/>
      <w:marRight w:val="0"/>
      <w:marTop w:val="0"/>
      <w:marBottom w:val="0"/>
      <w:divBdr>
        <w:top w:val="none" w:sz="0" w:space="0" w:color="auto"/>
        <w:left w:val="none" w:sz="0" w:space="0" w:color="auto"/>
        <w:bottom w:val="none" w:sz="0" w:space="0" w:color="auto"/>
        <w:right w:val="none" w:sz="0" w:space="0" w:color="auto"/>
      </w:divBdr>
    </w:div>
    <w:div w:id="1207336743">
      <w:bodyDiv w:val="1"/>
      <w:marLeft w:val="0"/>
      <w:marRight w:val="0"/>
      <w:marTop w:val="0"/>
      <w:marBottom w:val="0"/>
      <w:divBdr>
        <w:top w:val="none" w:sz="0" w:space="0" w:color="auto"/>
        <w:left w:val="none" w:sz="0" w:space="0" w:color="auto"/>
        <w:bottom w:val="none" w:sz="0" w:space="0" w:color="auto"/>
        <w:right w:val="none" w:sz="0" w:space="0" w:color="auto"/>
      </w:divBdr>
    </w:div>
    <w:div w:id="1208032682">
      <w:bodyDiv w:val="1"/>
      <w:marLeft w:val="0"/>
      <w:marRight w:val="0"/>
      <w:marTop w:val="0"/>
      <w:marBottom w:val="0"/>
      <w:divBdr>
        <w:top w:val="none" w:sz="0" w:space="0" w:color="auto"/>
        <w:left w:val="none" w:sz="0" w:space="0" w:color="auto"/>
        <w:bottom w:val="none" w:sz="0" w:space="0" w:color="auto"/>
        <w:right w:val="none" w:sz="0" w:space="0" w:color="auto"/>
      </w:divBdr>
    </w:div>
    <w:div w:id="1210385762">
      <w:bodyDiv w:val="1"/>
      <w:marLeft w:val="0"/>
      <w:marRight w:val="0"/>
      <w:marTop w:val="0"/>
      <w:marBottom w:val="0"/>
      <w:divBdr>
        <w:top w:val="none" w:sz="0" w:space="0" w:color="auto"/>
        <w:left w:val="none" w:sz="0" w:space="0" w:color="auto"/>
        <w:bottom w:val="none" w:sz="0" w:space="0" w:color="auto"/>
        <w:right w:val="none" w:sz="0" w:space="0" w:color="auto"/>
      </w:divBdr>
    </w:div>
    <w:div w:id="1225992593">
      <w:bodyDiv w:val="1"/>
      <w:marLeft w:val="0"/>
      <w:marRight w:val="0"/>
      <w:marTop w:val="0"/>
      <w:marBottom w:val="0"/>
      <w:divBdr>
        <w:top w:val="none" w:sz="0" w:space="0" w:color="auto"/>
        <w:left w:val="none" w:sz="0" w:space="0" w:color="auto"/>
        <w:bottom w:val="none" w:sz="0" w:space="0" w:color="auto"/>
        <w:right w:val="none" w:sz="0" w:space="0" w:color="auto"/>
      </w:divBdr>
    </w:div>
    <w:div w:id="1231117050">
      <w:bodyDiv w:val="1"/>
      <w:marLeft w:val="0"/>
      <w:marRight w:val="0"/>
      <w:marTop w:val="0"/>
      <w:marBottom w:val="0"/>
      <w:divBdr>
        <w:top w:val="none" w:sz="0" w:space="0" w:color="auto"/>
        <w:left w:val="none" w:sz="0" w:space="0" w:color="auto"/>
        <w:bottom w:val="none" w:sz="0" w:space="0" w:color="auto"/>
        <w:right w:val="none" w:sz="0" w:space="0" w:color="auto"/>
      </w:divBdr>
    </w:div>
    <w:div w:id="1231236257">
      <w:bodyDiv w:val="1"/>
      <w:marLeft w:val="0"/>
      <w:marRight w:val="0"/>
      <w:marTop w:val="0"/>
      <w:marBottom w:val="0"/>
      <w:divBdr>
        <w:top w:val="none" w:sz="0" w:space="0" w:color="auto"/>
        <w:left w:val="none" w:sz="0" w:space="0" w:color="auto"/>
        <w:bottom w:val="none" w:sz="0" w:space="0" w:color="auto"/>
        <w:right w:val="none" w:sz="0" w:space="0" w:color="auto"/>
      </w:divBdr>
    </w:div>
    <w:div w:id="1233200194">
      <w:bodyDiv w:val="1"/>
      <w:marLeft w:val="0"/>
      <w:marRight w:val="0"/>
      <w:marTop w:val="0"/>
      <w:marBottom w:val="0"/>
      <w:divBdr>
        <w:top w:val="none" w:sz="0" w:space="0" w:color="auto"/>
        <w:left w:val="none" w:sz="0" w:space="0" w:color="auto"/>
        <w:bottom w:val="none" w:sz="0" w:space="0" w:color="auto"/>
        <w:right w:val="none" w:sz="0" w:space="0" w:color="auto"/>
      </w:divBdr>
    </w:div>
    <w:div w:id="1237396750">
      <w:bodyDiv w:val="1"/>
      <w:marLeft w:val="0"/>
      <w:marRight w:val="0"/>
      <w:marTop w:val="0"/>
      <w:marBottom w:val="0"/>
      <w:divBdr>
        <w:top w:val="none" w:sz="0" w:space="0" w:color="auto"/>
        <w:left w:val="none" w:sz="0" w:space="0" w:color="auto"/>
        <w:bottom w:val="none" w:sz="0" w:space="0" w:color="auto"/>
        <w:right w:val="none" w:sz="0" w:space="0" w:color="auto"/>
      </w:divBdr>
    </w:div>
    <w:div w:id="1238050912">
      <w:bodyDiv w:val="1"/>
      <w:marLeft w:val="0"/>
      <w:marRight w:val="0"/>
      <w:marTop w:val="0"/>
      <w:marBottom w:val="0"/>
      <w:divBdr>
        <w:top w:val="none" w:sz="0" w:space="0" w:color="auto"/>
        <w:left w:val="none" w:sz="0" w:space="0" w:color="auto"/>
        <w:bottom w:val="none" w:sz="0" w:space="0" w:color="auto"/>
        <w:right w:val="none" w:sz="0" w:space="0" w:color="auto"/>
      </w:divBdr>
    </w:div>
    <w:div w:id="1243952304">
      <w:bodyDiv w:val="1"/>
      <w:marLeft w:val="0"/>
      <w:marRight w:val="0"/>
      <w:marTop w:val="0"/>
      <w:marBottom w:val="0"/>
      <w:divBdr>
        <w:top w:val="none" w:sz="0" w:space="0" w:color="auto"/>
        <w:left w:val="none" w:sz="0" w:space="0" w:color="auto"/>
        <w:bottom w:val="none" w:sz="0" w:space="0" w:color="auto"/>
        <w:right w:val="none" w:sz="0" w:space="0" w:color="auto"/>
      </w:divBdr>
    </w:div>
    <w:div w:id="1254901359">
      <w:bodyDiv w:val="1"/>
      <w:marLeft w:val="0"/>
      <w:marRight w:val="0"/>
      <w:marTop w:val="0"/>
      <w:marBottom w:val="0"/>
      <w:divBdr>
        <w:top w:val="none" w:sz="0" w:space="0" w:color="auto"/>
        <w:left w:val="none" w:sz="0" w:space="0" w:color="auto"/>
        <w:bottom w:val="none" w:sz="0" w:space="0" w:color="auto"/>
        <w:right w:val="none" w:sz="0" w:space="0" w:color="auto"/>
      </w:divBdr>
    </w:div>
    <w:div w:id="1262373349">
      <w:bodyDiv w:val="1"/>
      <w:marLeft w:val="0"/>
      <w:marRight w:val="0"/>
      <w:marTop w:val="0"/>
      <w:marBottom w:val="0"/>
      <w:divBdr>
        <w:top w:val="none" w:sz="0" w:space="0" w:color="auto"/>
        <w:left w:val="none" w:sz="0" w:space="0" w:color="auto"/>
        <w:bottom w:val="none" w:sz="0" w:space="0" w:color="auto"/>
        <w:right w:val="none" w:sz="0" w:space="0" w:color="auto"/>
      </w:divBdr>
    </w:div>
    <w:div w:id="1265726752">
      <w:bodyDiv w:val="1"/>
      <w:marLeft w:val="0"/>
      <w:marRight w:val="0"/>
      <w:marTop w:val="0"/>
      <w:marBottom w:val="0"/>
      <w:divBdr>
        <w:top w:val="none" w:sz="0" w:space="0" w:color="auto"/>
        <w:left w:val="none" w:sz="0" w:space="0" w:color="auto"/>
        <w:bottom w:val="none" w:sz="0" w:space="0" w:color="auto"/>
        <w:right w:val="none" w:sz="0" w:space="0" w:color="auto"/>
      </w:divBdr>
    </w:div>
    <w:div w:id="1266116544">
      <w:bodyDiv w:val="1"/>
      <w:marLeft w:val="0"/>
      <w:marRight w:val="0"/>
      <w:marTop w:val="0"/>
      <w:marBottom w:val="0"/>
      <w:divBdr>
        <w:top w:val="none" w:sz="0" w:space="0" w:color="auto"/>
        <w:left w:val="none" w:sz="0" w:space="0" w:color="auto"/>
        <w:bottom w:val="none" w:sz="0" w:space="0" w:color="auto"/>
        <w:right w:val="none" w:sz="0" w:space="0" w:color="auto"/>
      </w:divBdr>
    </w:div>
    <w:div w:id="1267231648">
      <w:bodyDiv w:val="1"/>
      <w:marLeft w:val="0"/>
      <w:marRight w:val="0"/>
      <w:marTop w:val="0"/>
      <w:marBottom w:val="0"/>
      <w:divBdr>
        <w:top w:val="none" w:sz="0" w:space="0" w:color="auto"/>
        <w:left w:val="none" w:sz="0" w:space="0" w:color="auto"/>
        <w:bottom w:val="none" w:sz="0" w:space="0" w:color="auto"/>
        <w:right w:val="none" w:sz="0" w:space="0" w:color="auto"/>
      </w:divBdr>
    </w:div>
    <w:div w:id="1271355310">
      <w:bodyDiv w:val="1"/>
      <w:marLeft w:val="0"/>
      <w:marRight w:val="0"/>
      <w:marTop w:val="0"/>
      <w:marBottom w:val="0"/>
      <w:divBdr>
        <w:top w:val="none" w:sz="0" w:space="0" w:color="auto"/>
        <w:left w:val="none" w:sz="0" w:space="0" w:color="auto"/>
        <w:bottom w:val="none" w:sz="0" w:space="0" w:color="auto"/>
        <w:right w:val="none" w:sz="0" w:space="0" w:color="auto"/>
      </w:divBdr>
    </w:div>
    <w:div w:id="1274551213">
      <w:bodyDiv w:val="1"/>
      <w:marLeft w:val="0"/>
      <w:marRight w:val="0"/>
      <w:marTop w:val="0"/>
      <w:marBottom w:val="0"/>
      <w:divBdr>
        <w:top w:val="none" w:sz="0" w:space="0" w:color="auto"/>
        <w:left w:val="none" w:sz="0" w:space="0" w:color="auto"/>
        <w:bottom w:val="none" w:sz="0" w:space="0" w:color="auto"/>
        <w:right w:val="none" w:sz="0" w:space="0" w:color="auto"/>
      </w:divBdr>
    </w:div>
    <w:div w:id="1278757939">
      <w:bodyDiv w:val="1"/>
      <w:marLeft w:val="0"/>
      <w:marRight w:val="0"/>
      <w:marTop w:val="0"/>
      <w:marBottom w:val="0"/>
      <w:divBdr>
        <w:top w:val="none" w:sz="0" w:space="0" w:color="auto"/>
        <w:left w:val="none" w:sz="0" w:space="0" w:color="auto"/>
        <w:bottom w:val="none" w:sz="0" w:space="0" w:color="auto"/>
        <w:right w:val="none" w:sz="0" w:space="0" w:color="auto"/>
      </w:divBdr>
    </w:div>
    <w:div w:id="1293169586">
      <w:bodyDiv w:val="1"/>
      <w:marLeft w:val="0"/>
      <w:marRight w:val="0"/>
      <w:marTop w:val="0"/>
      <w:marBottom w:val="0"/>
      <w:divBdr>
        <w:top w:val="none" w:sz="0" w:space="0" w:color="auto"/>
        <w:left w:val="none" w:sz="0" w:space="0" w:color="auto"/>
        <w:bottom w:val="none" w:sz="0" w:space="0" w:color="auto"/>
        <w:right w:val="none" w:sz="0" w:space="0" w:color="auto"/>
      </w:divBdr>
    </w:div>
    <w:div w:id="1299728380">
      <w:bodyDiv w:val="1"/>
      <w:marLeft w:val="0"/>
      <w:marRight w:val="0"/>
      <w:marTop w:val="0"/>
      <w:marBottom w:val="0"/>
      <w:divBdr>
        <w:top w:val="none" w:sz="0" w:space="0" w:color="auto"/>
        <w:left w:val="none" w:sz="0" w:space="0" w:color="auto"/>
        <w:bottom w:val="none" w:sz="0" w:space="0" w:color="auto"/>
        <w:right w:val="none" w:sz="0" w:space="0" w:color="auto"/>
      </w:divBdr>
    </w:div>
    <w:div w:id="1309285399">
      <w:bodyDiv w:val="1"/>
      <w:marLeft w:val="0"/>
      <w:marRight w:val="0"/>
      <w:marTop w:val="0"/>
      <w:marBottom w:val="0"/>
      <w:divBdr>
        <w:top w:val="none" w:sz="0" w:space="0" w:color="auto"/>
        <w:left w:val="none" w:sz="0" w:space="0" w:color="auto"/>
        <w:bottom w:val="none" w:sz="0" w:space="0" w:color="auto"/>
        <w:right w:val="none" w:sz="0" w:space="0" w:color="auto"/>
      </w:divBdr>
    </w:div>
    <w:div w:id="1321423022">
      <w:bodyDiv w:val="1"/>
      <w:marLeft w:val="0"/>
      <w:marRight w:val="0"/>
      <w:marTop w:val="0"/>
      <w:marBottom w:val="0"/>
      <w:divBdr>
        <w:top w:val="none" w:sz="0" w:space="0" w:color="auto"/>
        <w:left w:val="none" w:sz="0" w:space="0" w:color="auto"/>
        <w:bottom w:val="none" w:sz="0" w:space="0" w:color="auto"/>
        <w:right w:val="none" w:sz="0" w:space="0" w:color="auto"/>
      </w:divBdr>
    </w:div>
    <w:div w:id="1326086700">
      <w:bodyDiv w:val="1"/>
      <w:marLeft w:val="0"/>
      <w:marRight w:val="0"/>
      <w:marTop w:val="0"/>
      <w:marBottom w:val="0"/>
      <w:divBdr>
        <w:top w:val="none" w:sz="0" w:space="0" w:color="auto"/>
        <w:left w:val="none" w:sz="0" w:space="0" w:color="auto"/>
        <w:bottom w:val="none" w:sz="0" w:space="0" w:color="auto"/>
        <w:right w:val="none" w:sz="0" w:space="0" w:color="auto"/>
      </w:divBdr>
    </w:div>
    <w:div w:id="1326588297">
      <w:bodyDiv w:val="1"/>
      <w:marLeft w:val="0"/>
      <w:marRight w:val="0"/>
      <w:marTop w:val="0"/>
      <w:marBottom w:val="0"/>
      <w:divBdr>
        <w:top w:val="none" w:sz="0" w:space="0" w:color="auto"/>
        <w:left w:val="none" w:sz="0" w:space="0" w:color="auto"/>
        <w:bottom w:val="none" w:sz="0" w:space="0" w:color="auto"/>
        <w:right w:val="none" w:sz="0" w:space="0" w:color="auto"/>
      </w:divBdr>
    </w:div>
    <w:div w:id="1327788062">
      <w:bodyDiv w:val="1"/>
      <w:marLeft w:val="0"/>
      <w:marRight w:val="0"/>
      <w:marTop w:val="0"/>
      <w:marBottom w:val="0"/>
      <w:divBdr>
        <w:top w:val="none" w:sz="0" w:space="0" w:color="auto"/>
        <w:left w:val="none" w:sz="0" w:space="0" w:color="auto"/>
        <w:bottom w:val="none" w:sz="0" w:space="0" w:color="auto"/>
        <w:right w:val="none" w:sz="0" w:space="0" w:color="auto"/>
      </w:divBdr>
    </w:div>
    <w:div w:id="1330987967">
      <w:bodyDiv w:val="1"/>
      <w:marLeft w:val="0"/>
      <w:marRight w:val="0"/>
      <w:marTop w:val="0"/>
      <w:marBottom w:val="0"/>
      <w:divBdr>
        <w:top w:val="none" w:sz="0" w:space="0" w:color="auto"/>
        <w:left w:val="none" w:sz="0" w:space="0" w:color="auto"/>
        <w:bottom w:val="none" w:sz="0" w:space="0" w:color="auto"/>
        <w:right w:val="none" w:sz="0" w:space="0" w:color="auto"/>
      </w:divBdr>
    </w:div>
    <w:div w:id="1333219563">
      <w:bodyDiv w:val="1"/>
      <w:marLeft w:val="0"/>
      <w:marRight w:val="0"/>
      <w:marTop w:val="0"/>
      <w:marBottom w:val="0"/>
      <w:divBdr>
        <w:top w:val="none" w:sz="0" w:space="0" w:color="auto"/>
        <w:left w:val="none" w:sz="0" w:space="0" w:color="auto"/>
        <w:bottom w:val="none" w:sz="0" w:space="0" w:color="auto"/>
        <w:right w:val="none" w:sz="0" w:space="0" w:color="auto"/>
      </w:divBdr>
    </w:div>
    <w:div w:id="1336608861">
      <w:bodyDiv w:val="1"/>
      <w:marLeft w:val="0"/>
      <w:marRight w:val="0"/>
      <w:marTop w:val="0"/>
      <w:marBottom w:val="0"/>
      <w:divBdr>
        <w:top w:val="none" w:sz="0" w:space="0" w:color="auto"/>
        <w:left w:val="none" w:sz="0" w:space="0" w:color="auto"/>
        <w:bottom w:val="none" w:sz="0" w:space="0" w:color="auto"/>
        <w:right w:val="none" w:sz="0" w:space="0" w:color="auto"/>
      </w:divBdr>
    </w:div>
    <w:div w:id="1352605642">
      <w:bodyDiv w:val="1"/>
      <w:marLeft w:val="0"/>
      <w:marRight w:val="0"/>
      <w:marTop w:val="0"/>
      <w:marBottom w:val="0"/>
      <w:divBdr>
        <w:top w:val="none" w:sz="0" w:space="0" w:color="auto"/>
        <w:left w:val="none" w:sz="0" w:space="0" w:color="auto"/>
        <w:bottom w:val="none" w:sz="0" w:space="0" w:color="auto"/>
        <w:right w:val="none" w:sz="0" w:space="0" w:color="auto"/>
      </w:divBdr>
    </w:div>
    <w:div w:id="1365247824">
      <w:bodyDiv w:val="1"/>
      <w:marLeft w:val="0"/>
      <w:marRight w:val="0"/>
      <w:marTop w:val="0"/>
      <w:marBottom w:val="0"/>
      <w:divBdr>
        <w:top w:val="none" w:sz="0" w:space="0" w:color="auto"/>
        <w:left w:val="none" w:sz="0" w:space="0" w:color="auto"/>
        <w:bottom w:val="none" w:sz="0" w:space="0" w:color="auto"/>
        <w:right w:val="none" w:sz="0" w:space="0" w:color="auto"/>
      </w:divBdr>
    </w:div>
    <w:div w:id="1383138045">
      <w:bodyDiv w:val="1"/>
      <w:marLeft w:val="0"/>
      <w:marRight w:val="0"/>
      <w:marTop w:val="0"/>
      <w:marBottom w:val="0"/>
      <w:divBdr>
        <w:top w:val="none" w:sz="0" w:space="0" w:color="auto"/>
        <w:left w:val="none" w:sz="0" w:space="0" w:color="auto"/>
        <w:bottom w:val="none" w:sz="0" w:space="0" w:color="auto"/>
        <w:right w:val="none" w:sz="0" w:space="0" w:color="auto"/>
      </w:divBdr>
    </w:div>
    <w:div w:id="1386877800">
      <w:bodyDiv w:val="1"/>
      <w:marLeft w:val="0"/>
      <w:marRight w:val="0"/>
      <w:marTop w:val="0"/>
      <w:marBottom w:val="0"/>
      <w:divBdr>
        <w:top w:val="none" w:sz="0" w:space="0" w:color="auto"/>
        <w:left w:val="none" w:sz="0" w:space="0" w:color="auto"/>
        <w:bottom w:val="none" w:sz="0" w:space="0" w:color="auto"/>
        <w:right w:val="none" w:sz="0" w:space="0" w:color="auto"/>
      </w:divBdr>
    </w:div>
    <w:div w:id="1387293945">
      <w:bodyDiv w:val="1"/>
      <w:marLeft w:val="0"/>
      <w:marRight w:val="0"/>
      <w:marTop w:val="0"/>
      <w:marBottom w:val="0"/>
      <w:divBdr>
        <w:top w:val="none" w:sz="0" w:space="0" w:color="auto"/>
        <w:left w:val="none" w:sz="0" w:space="0" w:color="auto"/>
        <w:bottom w:val="none" w:sz="0" w:space="0" w:color="auto"/>
        <w:right w:val="none" w:sz="0" w:space="0" w:color="auto"/>
      </w:divBdr>
    </w:div>
    <w:div w:id="1387528822">
      <w:bodyDiv w:val="1"/>
      <w:marLeft w:val="0"/>
      <w:marRight w:val="0"/>
      <w:marTop w:val="0"/>
      <w:marBottom w:val="0"/>
      <w:divBdr>
        <w:top w:val="none" w:sz="0" w:space="0" w:color="auto"/>
        <w:left w:val="none" w:sz="0" w:space="0" w:color="auto"/>
        <w:bottom w:val="none" w:sz="0" w:space="0" w:color="auto"/>
        <w:right w:val="none" w:sz="0" w:space="0" w:color="auto"/>
      </w:divBdr>
    </w:div>
    <w:div w:id="1395812781">
      <w:bodyDiv w:val="1"/>
      <w:marLeft w:val="0"/>
      <w:marRight w:val="0"/>
      <w:marTop w:val="0"/>
      <w:marBottom w:val="0"/>
      <w:divBdr>
        <w:top w:val="none" w:sz="0" w:space="0" w:color="auto"/>
        <w:left w:val="none" w:sz="0" w:space="0" w:color="auto"/>
        <w:bottom w:val="none" w:sz="0" w:space="0" w:color="auto"/>
        <w:right w:val="none" w:sz="0" w:space="0" w:color="auto"/>
      </w:divBdr>
    </w:div>
    <w:div w:id="1396854157">
      <w:bodyDiv w:val="1"/>
      <w:marLeft w:val="0"/>
      <w:marRight w:val="0"/>
      <w:marTop w:val="0"/>
      <w:marBottom w:val="0"/>
      <w:divBdr>
        <w:top w:val="none" w:sz="0" w:space="0" w:color="auto"/>
        <w:left w:val="none" w:sz="0" w:space="0" w:color="auto"/>
        <w:bottom w:val="none" w:sz="0" w:space="0" w:color="auto"/>
        <w:right w:val="none" w:sz="0" w:space="0" w:color="auto"/>
      </w:divBdr>
    </w:div>
    <w:div w:id="1405950165">
      <w:bodyDiv w:val="1"/>
      <w:marLeft w:val="0"/>
      <w:marRight w:val="0"/>
      <w:marTop w:val="0"/>
      <w:marBottom w:val="0"/>
      <w:divBdr>
        <w:top w:val="none" w:sz="0" w:space="0" w:color="auto"/>
        <w:left w:val="none" w:sz="0" w:space="0" w:color="auto"/>
        <w:bottom w:val="none" w:sz="0" w:space="0" w:color="auto"/>
        <w:right w:val="none" w:sz="0" w:space="0" w:color="auto"/>
      </w:divBdr>
    </w:div>
    <w:div w:id="1412896309">
      <w:bodyDiv w:val="1"/>
      <w:marLeft w:val="0"/>
      <w:marRight w:val="0"/>
      <w:marTop w:val="0"/>
      <w:marBottom w:val="0"/>
      <w:divBdr>
        <w:top w:val="none" w:sz="0" w:space="0" w:color="auto"/>
        <w:left w:val="none" w:sz="0" w:space="0" w:color="auto"/>
        <w:bottom w:val="none" w:sz="0" w:space="0" w:color="auto"/>
        <w:right w:val="none" w:sz="0" w:space="0" w:color="auto"/>
      </w:divBdr>
    </w:div>
    <w:div w:id="1425685763">
      <w:bodyDiv w:val="1"/>
      <w:marLeft w:val="0"/>
      <w:marRight w:val="0"/>
      <w:marTop w:val="0"/>
      <w:marBottom w:val="0"/>
      <w:divBdr>
        <w:top w:val="none" w:sz="0" w:space="0" w:color="auto"/>
        <w:left w:val="none" w:sz="0" w:space="0" w:color="auto"/>
        <w:bottom w:val="none" w:sz="0" w:space="0" w:color="auto"/>
        <w:right w:val="none" w:sz="0" w:space="0" w:color="auto"/>
      </w:divBdr>
    </w:div>
    <w:div w:id="1436826206">
      <w:bodyDiv w:val="1"/>
      <w:marLeft w:val="0"/>
      <w:marRight w:val="0"/>
      <w:marTop w:val="0"/>
      <w:marBottom w:val="0"/>
      <w:divBdr>
        <w:top w:val="none" w:sz="0" w:space="0" w:color="auto"/>
        <w:left w:val="none" w:sz="0" w:space="0" w:color="auto"/>
        <w:bottom w:val="none" w:sz="0" w:space="0" w:color="auto"/>
        <w:right w:val="none" w:sz="0" w:space="0" w:color="auto"/>
      </w:divBdr>
    </w:div>
    <w:div w:id="1444418857">
      <w:bodyDiv w:val="1"/>
      <w:marLeft w:val="0"/>
      <w:marRight w:val="0"/>
      <w:marTop w:val="0"/>
      <w:marBottom w:val="0"/>
      <w:divBdr>
        <w:top w:val="none" w:sz="0" w:space="0" w:color="auto"/>
        <w:left w:val="none" w:sz="0" w:space="0" w:color="auto"/>
        <w:bottom w:val="none" w:sz="0" w:space="0" w:color="auto"/>
        <w:right w:val="none" w:sz="0" w:space="0" w:color="auto"/>
      </w:divBdr>
    </w:div>
    <w:div w:id="1464034377">
      <w:bodyDiv w:val="1"/>
      <w:marLeft w:val="0"/>
      <w:marRight w:val="0"/>
      <w:marTop w:val="0"/>
      <w:marBottom w:val="0"/>
      <w:divBdr>
        <w:top w:val="none" w:sz="0" w:space="0" w:color="auto"/>
        <w:left w:val="none" w:sz="0" w:space="0" w:color="auto"/>
        <w:bottom w:val="none" w:sz="0" w:space="0" w:color="auto"/>
        <w:right w:val="none" w:sz="0" w:space="0" w:color="auto"/>
      </w:divBdr>
    </w:div>
    <w:div w:id="1480152954">
      <w:bodyDiv w:val="1"/>
      <w:marLeft w:val="0"/>
      <w:marRight w:val="0"/>
      <w:marTop w:val="0"/>
      <w:marBottom w:val="0"/>
      <w:divBdr>
        <w:top w:val="none" w:sz="0" w:space="0" w:color="auto"/>
        <w:left w:val="none" w:sz="0" w:space="0" w:color="auto"/>
        <w:bottom w:val="none" w:sz="0" w:space="0" w:color="auto"/>
        <w:right w:val="none" w:sz="0" w:space="0" w:color="auto"/>
      </w:divBdr>
    </w:div>
    <w:div w:id="1482456608">
      <w:bodyDiv w:val="1"/>
      <w:marLeft w:val="0"/>
      <w:marRight w:val="0"/>
      <w:marTop w:val="0"/>
      <w:marBottom w:val="0"/>
      <w:divBdr>
        <w:top w:val="none" w:sz="0" w:space="0" w:color="auto"/>
        <w:left w:val="none" w:sz="0" w:space="0" w:color="auto"/>
        <w:bottom w:val="none" w:sz="0" w:space="0" w:color="auto"/>
        <w:right w:val="none" w:sz="0" w:space="0" w:color="auto"/>
      </w:divBdr>
    </w:div>
    <w:div w:id="1484661480">
      <w:bodyDiv w:val="1"/>
      <w:marLeft w:val="0"/>
      <w:marRight w:val="0"/>
      <w:marTop w:val="0"/>
      <w:marBottom w:val="0"/>
      <w:divBdr>
        <w:top w:val="none" w:sz="0" w:space="0" w:color="auto"/>
        <w:left w:val="none" w:sz="0" w:space="0" w:color="auto"/>
        <w:bottom w:val="none" w:sz="0" w:space="0" w:color="auto"/>
        <w:right w:val="none" w:sz="0" w:space="0" w:color="auto"/>
      </w:divBdr>
    </w:div>
    <w:div w:id="1492791068">
      <w:bodyDiv w:val="1"/>
      <w:marLeft w:val="0"/>
      <w:marRight w:val="0"/>
      <w:marTop w:val="0"/>
      <w:marBottom w:val="0"/>
      <w:divBdr>
        <w:top w:val="none" w:sz="0" w:space="0" w:color="auto"/>
        <w:left w:val="none" w:sz="0" w:space="0" w:color="auto"/>
        <w:bottom w:val="none" w:sz="0" w:space="0" w:color="auto"/>
        <w:right w:val="none" w:sz="0" w:space="0" w:color="auto"/>
      </w:divBdr>
    </w:div>
    <w:div w:id="1496149749">
      <w:bodyDiv w:val="1"/>
      <w:marLeft w:val="0"/>
      <w:marRight w:val="0"/>
      <w:marTop w:val="0"/>
      <w:marBottom w:val="0"/>
      <w:divBdr>
        <w:top w:val="none" w:sz="0" w:space="0" w:color="auto"/>
        <w:left w:val="none" w:sz="0" w:space="0" w:color="auto"/>
        <w:bottom w:val="none" w:sz="0" w:space="0" w:color="auto"/>
        <w:right w:val="none" w:sz="0" w:space="0" w:color="auto"/>
      </w:divBdr>
    </w:div>
    <w:div w:id="1497189136">
      <w:bodyDiv w:val="1"/>
      <w:marLeft w:val="0"/>
      <w:marRight w:val="0"/>
      <w:marTop w:val="0"/>
      <w:marBottom w:val="0"/>
      <w:divBdr>
        <w:top w:val="none" w:sz="0" w:space="0" w:color="auto"/>
        <w:left w:val="none" w:sz="0" w:space="0" w:color="auto"/>
        <w:bottom w:val="none" w:sz="0" w:space="0" w:color="auto"/>
        <w:right w:val="none" w:sz="0" w:space="0" w:color="auto"/>
      </w:divBdr>
    </w:div>
    <w:div w:id="1525901175">
      <w:bodyDiv w:val="1"/>
      <w:marLeft w:val="0"/>
      <w:marRight w:val="0"/>
      <w:marTop w:val="0"/>
      <w:marBottom w:val="0"/>
      <w:divBdr>
        <w:top w:val="none" w:sz="0" w:space="0" w:color="auto"/>
        <w:left w:val="none" w:sz="0" w:space="0" w:color="auto"/>
        <w:bottom w:val="none" w:sz="0" w:space="0" w:color="auto"/>
        <w:right w:val="none" w:sz="0" w:space="0" w:color="auto"/>
      </w:divBdr>
    </w:div>
    <w:div w:id="1535264015">
      <w:bodyDiv w:val="1"/>
      <w:marLeft w:val="0"/>
      <w:marRight w:val="0"/>
      <w:marTop w:val="0"/>
      <w:marBottom w:val="0"/>
      <w:divBdr>
        <w:top w:val="none" w:sz="0" w:space="0" w:color="auto"/>
        <w:left w:val="none" w:sz="0" w:space="0" w:color="auto"/>
        <w:bottom w:val="none" w:sz="0" w:space="0" w:color="auto"/>
        <w:right w:val="none" w:sz="0" w:space="0" w:color="auto"/>
      </w:divBdr>
    </w:div>
    <w:div w:id="1539977113">
      <w:bodyDiv w:val="1"/>
      <w:marLeft w:val="0"/>
      <w:marRight w:val="0"/>
      <w:marTop w:val="0"/>
      <w:marBottom w:val="0"/>
      <w:divBdr>
        <w:top w:val="none" w:sz="0" w:space="0" w:color="auto"/>
        <w:left w:val="none" w:sz="0" w:space="0" w:color="auto"/>
        <w:bottom w:val="none" w:sz="0" w:space="0" w:color="auto"/>
        <w:right w:val="none" w:sz="0" w:space="0" w:color="auto"/>
      </w:divBdr>
    </w:div>
    <w:div w:id="1543208224">
      <w:bodyDiv w:val="1"/>
      <w:marLeft w:val="0"/>
      <w:marRight w:val="0"/>
      <w:marTop w:val="0"/>
      <w:marBottom w:val="0"/>
      <w:divBdr>
        <w:top w:val="none" w:sz="0" w:space="0" w:color="auto"/>
        <w:left w:val="none" w:sz="0" w:space="0" w:color="auto"/>
        <w:bottom w:val="none" w:sz="0" w:space="0" w:color="auto"/>
        <w:right w:val="none" w:sz="0" w:space="0" w:color="auto"/>
      </w:divBdr>
    </w:div>
    <w:div w:id="1558542402">
      <w:bodyDiv w:val="1"/>
      <w:marLeft w:val="0"/>
      <w:marRight w:val="0"/>
      <w:marTop w:val="0"/>
      <w:marBottom w:val="0"/>
      <w:divBdr>
        <w:top w:val="none" w:sz="0" w:space="0" w:color="auto"/>
        <w:left w:val="none" w:sz="0" w:space="0" w:color="auto"/>
        <w:bottom w:val="none" w:sz="0" w:space="0" w:color="auto"/>
        <w:right w:val="none" w:sz="0" w:space="0" w:color="auto"/>
      </w:divBdr>
    </w:div>
    <w:div w:id="1567455885">
      <w:bodyDiv w:val="1"/>
      <w:marLeft w:val="0"/>
      <w:marRight w:val="0"/>
      <w:marTop w:val="0"/>
      <w:marBottom w:val="0"/>
      <w:divBdr>
        <w:top w:val="none" w:sz="0" w:space="0" w:color="auto"/>
        <w:left w:val="none" w:sz="0" w:space="0" w:color="auto"/>
        <w:bottom w:val="none" w:sz="0" w:space="0" w:color="auto"/>
        <w:right w:val="none" w:sz="0" w:space="0" w:color="auto"/>
      </w:divBdr>
    </w:div>
    <w:div w:id="1574706366">
      <w:bodyDiv w:val="1"/>
      <w:marLeft w:val="0"/>
      <w:marRight w:val="0"/>
      <w:marTop w:val="0"/>
      <w:marBottom w:val="0"/>
      <w:divBdr>
        <w:top w:val="none" w:sz="0" w:space="0" w:color="auto"/>
        <w:left w:val="none" w:sz="0" w:space="0" w:color="auto"/>
        <w:bottom w:val="none" w:sz="0" w:space="0" w:color="auto"/>
        <w:right w:val="none" w:sz="0" w:space="0" w:color="auto"/>
      </w:divBdr>
    </w:div>
    <w:div w:id="1581014898">
      <w:bodyDiv w:val="1"/>
      <w:marLeft w:val="0"/>
      <w:marRight w:val="0"/>
      <w:marTop w:val="0"/>
      <w:marBottom w:val="0"/>
      <w:divBdr>
        <w:top w:val="none" w:sz="0" w:space="0" w:color="auto"/>
        <w:left w:val="none" w:sz="0" w:space="0" w:color="auto"/>
        <w:bottom w:val="none" w:sz="0" w:space="0" w:color="auto"/>
        <w:right w:val="none" w:sz="0" w:space="0" w:color="auto"/>
      </w:divBdr>
    </w:div>
    <w:div w:id="1581325226">
      <w:bodyDiv w:val="1"/>
      <w:marLeft w:val="0"/>
      <w:marRight w:val="0"/>
      <w:marTop w:val="0"/>
      <w:marBottom w:val="0"/>
      <w:divBdr>
        <w:top w:val="none" w:sz="0" w:space="0" w:color="auto"/>
        <w:left w:val="none" w:sz="0" w:space="0" w:color="auto"/>
        <w:bottom w:val="none" w:sz="0" w:space="0" w:color="auto"/>
        <w:right w:val="none" w:sz="0" w:space="0" w:color="auto"/>
      </w:divBdr>
    </w:div>
    <w:div w:id="1582179485">
      <w:bodyDiv w:val="1"/>
      <w:marLeft w:val="0"/>
      <w:marRight w:val="0"/>
      <w:marTop w:val="0"/>
      <w:marBottom w:val="0"/>
      <w:divBdr>
        <w:top w:val="none" w:sz="0" w:space="0" w:color="auto"/>
        <w:left w:val="none" w:sz="0" w:space="0" w:color="auto"/>
        <w:bottom w:val="none" w:sz="0" w:space="0" w:color="auto"/>
        <w:right w:val="none" w:sz="0" w:space="0" w:color="auto"/>
      </w:divBdr>
    </w:div>
    <w:div w:id="1584803209">
      <w:bodyDiv w:val="1"/>
      <w:marLeft w:val="0"/>
      <w:marRight w:val="0"/>
      <w:marTop w:val="0"/>
      <w:marBottom w:val="0"/>
      <w:divBdr>
        <w:top w:val="none" w:sz="0" w:space="0" w:color="auto"/>
        <w:left w:val="none" w:sz="0" w:space="0" w:color="auto"/>
        <w:bottom w:val="none" w:sz="0" w:space="0" w:color="auto"/>
        <w:right w:val="none" w:sz="0" w:space="0" w:color="auto"/>
      </w:divBdr>
    </w:div>
    <w:div w:id="1604655173">
      <w:bodyDiv w:val="1"/>
      <w:marLeft w:val="0"/>
      <w:marRight w:val="0"/>
      <w:marTop w:val="0"/>
      <w:marBottom w:val="0"/>
      <w:divBdr>
        <w:top w:val="none" w:sz="0" w:space="0" w:color="auto"/>
        <w:left w:val="none" w:sz="0" w:space="0" w:color="auto"/>
        <w:bottom w:val="none" w:sz="0" w:space="0" w:color="auto"/>
        <w:right w:val="none" w:sz="0" w:space="0" w:color="auto"/>
      </w:divBdr>
    </w:div>
    <w:div w:id="1610890341">
      <w:bodyDiv w:val="1"/>
      <w:marLeft w:val="0"/>
      <w:marRight w:val="0"/>
      <w:marTop w:val="0"/>
      <w:marBottom w:val="0"/>
      <w:divBdr>
        <w:top w:val="none" w:sz="0" w:space="0" w:color="auto"/>
        <w:left w:val="none" w:sz="0" w:space="0" w:color="auto"/>
        <w:bottom w:val="none" w:sz="0" w:space="0" w:color="auto"/>
        <w:right w:val="none" w:sz="0" w:space="0" w:color="auto"/>
      </w:divBdr>
    </w:div>
    <w:div w:id="1611626424">
      <w:bodyDiv w:val="1"/>
      <w:marLeft w:val="0"/>
      <w:marRight w:val="0"/>
      <w:marTop w:val="0"/>
      <w:marBottom w:val="0"/>
      <w:divBdr>
        <w:top w:val="none" w:sz="0" w:space="0" w:color="auto"/>
        <w:left w:val="none" w:sz="0" w:space="0" w:color="auto"/>
        <w:bottom w:val="none" w:sz="0" w:space="0" w:color="auto"/>
        <w:right w:val="none" w:sz="0" w:space="0" w:color="auto"/>
      </w:divBdr>
    </w:div>
    <w:div w:id="1624923356">
      <w:bodyDiv w:val="1"/>
      <w:marLeft w:val="0"/>
      <w:marRight w:val="0"/>
      <w:marTop w:val="0"/>
      <w:marBottom w:val="0"/>
      <w:divBdr>
        <w:top w:val="none" w:sz="0" w:space="0" w:color="auto"/>
        <w:left w:val="none" w:sz="0" w:space="0" w:color="auto"/>
        <w:bottom w:val="none" w:sz="0" w:space="0" w:color="auto"/>
        <w:right w:val="none" w:sz="0" w:space="0" w:color="auto"/>
      </w:divBdr>
    </w:div>
    <w:div w:id="1633058144">
      <w:bodyDiv w:val="1"/>
      <w:marLeft w:val="0"/>
      <w:marRight w:val="0"/>
      <w:marTop w:val="0"/>
      <w:marBottom w:val="0"/>
      <w:divBdr>
        <w:top w:val="none" w:sz="0" w:space="0" w:color="auto"/>
        <w:left w:val="none" w:sz="0" w:space="0" w:color="auto"/>
        <w:bottom w:val="none" w:sz="0" w:space="0" w:color="auto"/>
        <w:right w:val="none" w:sz="0" w:space="0" w:color="auto"/>
      </w:divBdr>
    </w:div>
    <w:div w:id="1641836175">
      <w:bodyDiv w:val="1"/>
      <w:marLeft w:val="0"/>
      <w:marRight w:val="0"/>
      <w:marTop w:val="0"/>
      <w:marBottom w:val="0"/>
      <w:divBdr>
        <w:top w:val="none" w:sz="0" w:space="0" w:color="auto"/>
        <w:left w:val="none" w:sz="0" w:space="0" w:color="auto"/>
        <w:bottom w:val="none" w:sz="0" w:space="0" w:color="auto"/>
        <w:right w:val="none" w:sz="0" w:space="0" w:color="auto"/>
      </w:divBdr>
    </w:div>
    <w:div w:id="1643004829">
      <w:bodyDiv w:val="1"/>
      <w:marLeft w:val="0"/>
      <w:marRight w:val="0"/>
      <w:marTop w:val="0"/>
      <w:marBottom w:val="0"/>
      <w:divBdr>
        <w:top w:val="none" w:sz="0" w:space="0" w:color="auto"/>
        <w:left w:val="none" w:sz="0" w:space="0" w:color="auto"/>
        <w:bottom w:val="none" w:sz="0" w:space="0" w:color="auto"/>
        <w:right w:val="none" w:sz="0" w:space="0" w:color="auto"/>
      </w:divBdr>
    </w:div>
    <w:div w:id="1659386450">
      <w:bodyDiv w:val="1"/>
      <w:marLeft w:val="0"/>
      <w:marRight w:val="0"/>
      <w:marTop w:val="0"/>
      <w:marBottom w:val="0"/>
      <w:divBdr>
        <w:top w:val="none" w:sz="0" w:space="0" w:color="auto"/>
        <w:left w:val="none" w:sz="0" w:space="0" w:color="auto"/>
        <w:bottom w:val="none" w:sz="0" w:space="0" w:color="auto"/>
        <w:right w:val="none" w:sz="0" w:space="0" w:color="auto"/>
      </w:divBdr>
    </w:div>
    <w:div w:id="1671254292">
      <w:bodyDiv w:val="1"/>
      <w:marLeft w:val="0"/>
      <w:marRight w:val="0"/>
      <w:marTop w:val="0"/>
      <w:marBottom w:val="0"/>
      <w:divBdr>
        <w:top w:val="none" w:sz="0" w:space="0" w:color="auto"/>
        <w:left w:val="none" w:sz="0" w:space="0" w:color="auto"/>
        <w:bottom w:val="none" w:sz="0" w:space="0" w:color="auto"/>
        <w:right w:val="none" w:sz="0" w:space="0" w:color="auto"/>
      </w:divBdr>
    </w:div>
    <w:div w:id="1673755047">
      <w:bodyDiv w:val="1"/>
      <w:marLeft w:val="0"/>
      <w:marRight w:val="0"/>
      <w:marTop w:val="0"/>
      <w:marBottom w:val="0"/>
      <w:divBdr>
        <w:top w:val="none" w:sz="0" w:space="0" w:color="auto"/>
        <w:left w:val="none" w:sz="0" w:space="0" w:color="auto"/>
        <w:bottom w:val="none" w:sz="0" w:space="0" w:color="auto"/>
        <w:right w:val="none" w:sz="0" w:space="0" w:color="auto"/>
      </w:divBdr>
    </w:div>
    <w:div w:id="1681926157">
      <w:bodyDiv w:val="1"/>
      <w:marLeft w:val="0"/>
      <w:marRight w:val="0"/>
      <w:marTop w:val="0"/>
      <w:marBottom w:val="0"/>
      <w:divBdr>
        <w:top w:val="none" w:sz="0" w:space="0" w:color="auto"/>
        <w:left w:val="none" w:sz="0" w:space="0" w:color="auto"/>
        <w:bottom w:val="none" w:sz="0" w:space="0" w:color="auto"/>
        <w:right w:val="none" w:sz="0" w:space="0" w:color="auto"/>
      </w:divBdr>
    </w:div>
    <w:div w:id="1682969528">
      <w:bodyDiv w:val="1"/>
      <w:marLeft w:val="0"/>
      <w:marRight w:val="0"/>
      <w:marTop w:val="0"/>
      <w:marBottom w:val="0"/>
      <w:divBdr>
        <w:top w:val="none" w:sz="0" w:space="0" w:color="auto"/>
        <w:left w:val="none" w:sz="0" w:space="0" w:color="auto"/>
        <w:bottom w:val="none" w:sz="0" w:space="0" w:color="auto"/>
        <w:right w:val="none" w:sz="0" w:space="0" w:color="auto"/>
      </w:divBdr>
    </w:div>
    <w:div w:id="1685744233">
      <w:bodyDiv w:val="1"/>
      <w:marLeft w:val="0"/>
      <w:marRight w:val="0"/>
      <w:marTop w:val="0"/>
      <w:marBottom w:val="0"/>
      <w:divBdr>
        <w:top w:val="none" w:sz="0" w:space="0" w:color="auto"/>
        <w:left w:val="none" w:sz="0" w:space="0" w:color="auto"/>
        <w:bottom w:val="none" w:sz="0" w:space="0" w:color="auto"/>
        <w:right w:val="none" w:sz="0" w:space="0" w:color="auto"/>
      </w:divBdr>
    </w:div>
    <w:div w:id="1689141969">
      <w:bodyDiv w:val="1"/>
      <w:marLeft w:val="0"/>
      <w:marRight w:val="0"/>
      <w:marTop w:val="0"/>
      <w:marBottom w:val="0"/>
      <w:divBdr>
        <w:top w:val="none" w:sz="0" w:space="0" w:color="auto"/>
        <w:left w:val="none" w:sz="0" w:space="0" w:color="auto"/>
        <w:bottom w:val="none" w:sz="0" w:space="0" w:color="auto"/>
        <w:right w:val="none" w:sz="0" w:space="0" w:color="auto"/>
      </w:divBdr>
    </w:div>
    <w:div w:id="1697808306">
      <w:bodyDiv w:val="1"/>
      <w:marLeft w:val="0"/>
      <w:marRight w:val="0"/>
      <w:marTop w:val="0"/>
      <w:marBottom w:val="0"/>
      <w:divBdr>
        <w:top w:val="none" w:sz="0" w:space="0" w:color="auto"/>
        <w:left w:val="none" w:sz="0" w:space="0" w:color="auto"/>
        <w:bottom w:val="none" w:sz="0" w:space="0" w:color="auto"/>
        <w:right w:val="none" w:sz="0" w:space="0" w:color="auto"/>
      </w:divBdr>
    </w:div>
    <w:div w:id="1699307274">
      <w:bodyDiv w:val="1"/>
      <w:marLeft w:val="0"/>
      <w:marRight w:val="0"/>
      <w:marTop w:val="0"/>
      <w:marBottom w:val="0"/>
      <w:divBdr>
        <w:top w:val="none" w:sz="0" w:space="0" w:color="auto"/>
        <w:left w:val="none" w:sz="0" w:space="0" w:color="auto"/>
        <w:bottom w:val="none" w:sz="0" w:space="0" w:color="auto"/>
        <w:right w:val="none" w:sz="0" w:space="0" w:color="auto"/>
      </w:divBdr>
    </w:div>
    <w:div w:id="1699546760">
      <w:bodyDiv w:val="1"/>
      <w:marLeft w:val="0"/>
      <w:marRight w:val="0"/>
      <w:marTop w:val="0"/>
      <w:marBottom w:val="0"/>
      <w:divBdr>
        <w:top w:val="none" w:sz="0" w:space="0" w:color="auto"/>
        <w:left w:val="none" w:sz="0" w:space="0" w:color="auto"/>
        <w:bottom w:val="none" w:sz="0" w:space="0" w:color="auto"/>
        <w:right w:val="none" w:sz="0" w:space="0" w:color="auto"/>
      </w:divBdr>
    </w:div>
    <w:div w:id="1702319461">
      <w:bodyDiv w:val="1"/>
      <w:marLeft w:val="0"/>
      <w:marRight w:val="0"/>
      <w:marTop w:val="0"/>
      <w:marBottom w:val="0"/>
      <w:divBdr>
        <w:top w:val="none" w:sz="0" w:space="0" w:color="auto"/>
        <w:left w:val="none" w:sz="0" w:space="0" w:color="auto"/>
        <w:bottom w:val="none" w:sz="0" w:space="0" w:color="auto"/>
        <w:right w:val="none" w:sz="0" w:space="0" w:color="auto"/>
      </w:divBdr>
    </w:div>
    <w:div w:id="1709144195">
      <w:bodyDiv w:val="1"/>
      <w:marLeft w:val="0"/>
      <w:marRight w:val="0"/>
      <w:marTop w:val="0"/>
      <w:marBottom w:val="0"/>
      <w:divBdr>
        <w:top w:val="none" w:sz="0" w:space="0" w:color="auto"/>
        <w:left w:val="none" w:sz="0" w:space="0" w:color="auto"/>
        <w:bottom w:val="none" w:sz="0" w:space="0" w:color="auto"/>
        <w:right w:val="none" w:sz="0" w:space="0" w:color="auto"/>
      </w:divBdr>
    </w:div>
    <w:div w:id="1712339946">
      <w:bodyDiv w:val="1"/>
      <w:marLeft w:val="0"/>
      <w:marRight w:val="0"/>
      <w:marTop w:val="0"/>
      <w:marBottom w:val="0"/>
      <w:divBdr>
        <w:top w:val="none" w:sz="0" w:space="0" w:color="auto"/>
        <w:left w:val="none" w:sz="0" w:space="0" w:color="auto"/>
        <w:bottom w:val="none" w:sz="0" w:space="0" w:color="auto"/>
        <w:right w:val="none" w:sz="0" w:space="0" w:color="auto"/>
      </w:divBdr>
    </w:div>
    <w:div w:id="1713966022">
      <w:bodyDiv w:val="1"/>
      <w:marLeft w:val="0"/>
      <w:marRight w:val="0"/>
      <w:marTop w:val="0"/>
      <w:marBottom w:val="0"/>
      <w:divBdr>
        <w:top w:val="none" w:sz="0" w:space="0" w:color="auto"/>
        <w:left w:val="none" w:sz="0" w:space="0" w:color="auto"/>
        <w:bottom w:val="none" w:sz="0" w:space="0" w:color="auto"/>
        <w:right w:val="none" w:sz="0" w:space="0" w:color="auto"/>
      </w:divBdr>
    </w:div>
    <w:div w:id="1719014489">
      <w:bodyDiv w:val="1"/>
      <w:marLeft w:val="0"/>
      <w:marRight w:val="0"/>
      <w:marTop w:val="0"/>
      <w:marBottom w:val="0"/>
      <w:divBdr>
        <w:top w:val="none" w:sz="0" w:space="0" w:color="auto"/>
        <w:left w:val="none" w:sz="0" w:space="0" w:color="auto"/>
        <w:bottom w:val="none" w:sz="0" w:space="0" w:color="auto"/>
        <w:right w:val="none" w:sz="0" w:space="0" w:color="auto"/>
      </w:divBdr>
    </w:div>
    <w:div w:id="1723212972">
      <w:bodyDiv w:val="1"/>
      <w:marLeft w:val="0"/>
      <w:marRight w:val="0"/>
      <w:marTop w:val="0"/>
      <w:marBottom w:val="0"/>
      <w:divBdr>
        <w:top w:val="none" w:sz="0" w:space="0" w:color="auto"/>
        <w:left w:val="none" w:sz="0" w:space="0" w:color="auto"/>
        <w:bottom w:val="none" w:sz="0" w:space="0" w:color="auto"/>
        <w:right w:val="none" w:sz="0" w:space="0" w:color="auto"/>
      </w:divBdr>
    </w:div>
    <w:div w:id="1732191181">
      <w:bodyDiv w:val="1"/>
      <w:marLeft w:val="0"/>
      <w:marRight w:val="0"/>
      <w:marTop w:val="0"/>
      <w:marBottom w:val="0"/>
      <w:divBdr>
        <w:top w:val="none" w:sz="0" w:space="0" w:color="auto"/>
        <w:left w:val="none" w:sz="0" w:space="0" w:color="auto"/>
        <w:bottom w:val="none" w:sz="0" w:space="0" w:color="auto"/>
        <w:right w:val="none" w:sz="0" w:space="0" w:color="auto"/>
      </w:divBdr>
    </w:div>
    <w:div w:id="1732460317">
      <w:bodyDiv w:val="1"/>
      <w:marLeft w:val="0"/>
      <w:marRight w:val="0"/>
      <w:marTop w:val="0"/>
      <w:marBottom w:val="0"/>
      <w:divBdr>
        <w:top w:val="none" w:sz="0" w:space="0" w:color="auto"/>
        <w:left w:val="none" w:sz="0" w:space="0" w:color="auto"/>
        <w:bottom w:val="none" w:sz="0" w:space="0" w:color="auto"/>
        <w:right w:val="none" w:sz="0" w:space="0" w:color="auto"/>
      </w:divBdr>
    </w:div>
    <w:div w:id="1737434928">
      <w:bodyDiv w:val="1"/>
      <w:marLeft w:val="0"/>
      <w:marRight w:val="0"/>
      <w:marTop w:val="0"/>
      <w:marBottom w:val="0"/>
      <w:divBdr>
        <w:top w:val="none" w:sz="0" w:space="0" w:color="auto"/>
        <w:left w:val="none" w:sz="0" w:space="0" w:color="auto"/>
        <w:bottom w:val="none" w:sz="0" w:space="0" w:color="auto"/>
        <w:right w:val="none" w:sz="0" w:space="0" w:color="auto"/>
      </w:divBdr>
    </w:div>
    <w:div w:id="1744598839">
      <w:bodyDiv w:val="1"/>
      <w:marLeft w:val="0"/>
      <w:marRight w:val="0"/>
      <w:marTop w:val="0"/>
      <w:marBottom w:val="0"/>
      <w:divBdr>
        <w:top w:val="none" w:sz="0" w:space="0" w:color="auto"/>
        <w:left w:val="none" w:sz="0" w:space="0" w:color="auto"/>
        <w:bottom w:val="none" w:sz="0" w:space="0" w:color="auto"/>
        <w:right w:val="none" w:sz="0" w:space="0" w:color="auto"/>
      </w:divBdr>
    </w:div>
    <w:div w:id="1744988432">
      <w:bodyDiv w:val="1"/>
      <w:marLeft w:val="0"/>
      <w:marRight w:val="0"/>
      <w:marTop w:val="0"/>
      <w:marBottom w:val="0"/>
      <w:divBdr>
        <w:top w:val="none" w:sz="0" w:space="0" w:color="auto"/>
        <w:left w:val="none" w:sz="0" w:space="0" w:color="auto"/>
        <w:bottom w:val="none" w:sz="0" w:space="0" w:color="auto"/>
        <w:right w:val="none" w:sz="0" w:space="0" w:color="auto"/>
      </w:divBdr>
    </w:div>
    <w:div w:id="1745369250">
      <w:bodyDiv w:val="1"/>
      <w:marLeft w:val="0"/>
      <w:marRight w:val="0"/>
      <w:marTop w:val="0"/>
      <w:marBottom w:val="0"/>
      <w:divBdr>
        <w:top w:val="none" w:sz="0" w:space="0" w:color="auto"/>
        <w:left w:val="none" w:sz="0" w:space="0" w:color="auto"/>
        <w:bottom w:val="none" w:sz="0" w:space="0" w:color="auto"/>
        <w:right w:val="none" w:sz="0" w:space="0" w:color="auto"/>
      </w:divBdr>
    </w:div>
    <w:div w:id="1753159380">
      <w:bodyDiv w:val="1"/>
      <w:marLeft w:val="0"/>
      <w:marRight w:val="0"/>
      <w:marTop w:val="0"/>
      <w:marBottom w:val="0"/>
      <w:divBdr>
        <w:top w:val="none" w:sz="0" w:space="0" w:color="auto"/>
        <w:left w:val="none" w:sz="0" w:space="0" w:color="auto"/>
        <w:bottom w:val="none" w:sz="0" w:space="0" w:color="auto"/>
        <w:right w:val="none" w:sz="0" w:space="0" w:color="auto"/>
      </w:divBdr>
    </w:div>
    <w:div w:id="1754937737">
      <w:bodyDiv w:val="1"/>
      <w:marLeft w:val="0"/>
      <w:marRight w:val="0"/>
      <w:marTop w:val="0"/>
      <w:marBottom w:val="0"/>
      <w:divBdr>
        <w:top w:val="none" w:sz="0" w:space="0" w:color="auto"/>
        <w:left w:val="none" w:sz="0" w:space="0" w:color="auto"/>
        <w:bottom w:val="none" w:sz="0" w:space="0" w:color="auto"/>
        <w:right w:val="none" w:sz="0" w:space="0" w:color="auto"/>
      </w:divBdr>
    </w:div>
    <w:div w:id="1760638270">
      <w:bodyDiv w:val="1"/>
      <w:marLeft w:val="0"/>
      <w:marRight w:val="0"/>
      <w:marTop w:val="0"/>
      <w:marBottom w:val="0"/>
      <w:divBdr>
        <w:top w:val="none" w:sz="0" w:space="0" w:color="auto"/>
        <w:left w:val="none" w:sz="0" w:space="0" w:color="auto"/>
        <w:bottom w:val="none" w:sz="0" w:space="0" w:color="auto"/>
        <w:right w:val="none" w:sz="0" w:space="0" w:color="auto"/>
      </w:divBdr>
    </w:div>
    <w:div w:id="1765103088">
      <w:bodyDiv w:val="1"/>
      <w:marLeft w:val="0"/>
      <w:marRight w:val="0"/>
      <w:marTop w:val="0"/>
      <w:marBottom w:val="0"/>
      <w:divBdr>
        <w:top w:val="none" w:sz="0" w:space="0" w:color="auto"/>
        <w:left w:val="none" w:sz="0" w:space="0" w:color="auto"/>
        <w:bottom w:val="none" w:sz="0" w:space="0" w:color="auto"/>
        <w:right w:val="none" w:sz="0" w:space="0" w:color="auto"/>
      </w:divBdr>
    </w:div>
    <w:div w:id="1768307336">
      <w:bodyDiv w:val="1"/>
      <w:marLeft w:val="0"/>
      <w:marRight w:val="0"/>
      <w:marTop w:val="0"/>
      <w:marBottom w:val="0"/>
      <w:divBdr>
        <w:top w:val="none" w:sz="0" w:space="0" w:color="auto"/>
        <w:left w:val="none" w:sz="0" w:space="0" w:color="auto"/>
        <w:bottom w:val="none" w:sz="0" w:space="0" w:color="auto"/>
        <w:right w:val="none" w:sz="0" w:space="0" w:color="auto"/>
      </w:divBdr>
    </w:div>
    <w:div w:id="1772896932">
      <w:bodyDiv w:val="1"/>
      <w:marLeft w:val="0"/>
      <w:marRight w:val="0"/>
      <w:marTop w:val="0"/>
      <w:marBottom w:val="0"/>
      <w:divBdr>
        <w:top w:val="none" w:sz="0" w:space="0" w:color="auto"/>
        <w:left w:val="none" w:sz="0" w:space="0" w:color="auto"/>
        <w:bottom w:val="none" w:sz="0" w:space="0" w:color="auto"/>
        <w:right w:val="none" w:sz="0" w:space="0" w:color="auto"/>
      </w:divBdr>
    </w:div>
    <w:div w:id="1777290556">
      <w:bodyDiv w:val="1"/>
      <w:marLeft w:val="0"/>
      <w:marRight w:val="0"/>
      <w:marTop w:val="0"/>
      <w:marBottom w:val="0"/>
      <w:divBdr>
        <w:top w:val="none" w:sz="0" w:space="0" w:color="auto"/>
        <w:left w:val="none" w:sz="0" w:space="0" w:color="auto"/>
        <w:bottom w:val="none" w:sz="0" w:space="0" w:color="auto"/>
        <w:right w:val="none" w:sz="0" w:space="0" w:color="auto"/>
      </w:divBdr>
    </w:div>
    <w:div w:id="1779059361">
      <w:bodyDiv w:val="1"/>
      <w:marLeft w:val="0"/>
      <w:marRight w:val="0"/>
      <w:marTop w:val="0"/>
      <w:marBottom w:val="0"/>
      <w:divBdr>
        <w:top w:val="none" w:sz="0" w:space="0" w:color="auto"/>
        <w:left w:val="none" w:sz="0" w:space="0" w:color="auto"/>
        <w:bottom w:val="none" w:sz="0" w:space="0" w:color="auto"/>
        <w:right w:val="none" w:sz="0" w:space="0" w:color="auto"/>
      </w:divBdr>
    </w:div>
    <w:div w:id="1782071919">
      <w:bodyDiv w:val="1"/>
      <w:marLeft w:val="0"/>
      <w:marRight w:val="0"/>
      <w:marTop w:val="0"/>
      <w:marBottom w:val="0"/>
      <w:divBdr>
        <w:top w:val="none" w:sz="0" w:space="0" w:color="auto"/>
        <w:left w:val="none" w:sz="0" w:space="0" w:color="auto"/>
        <w:bottom w:val="none" w:sz="0" w:space="0" w:color="auto"/>
        <w:right w:val="none" w:sz="0" w:space="0" w:color="auto"/>
      </w:divBdr>
    </w:div>
    <w:div w:id="1800798619">
      <w:bodyDiv w:val="1"/>
      <w:marLeft w:val="0"/>
      <w:marRight w:val="0"/>
      <w:marTop w:val="0"/>
      <w:marBottom w:val="0"/>
      <w:divBdr>
        <w:top w:val="none" w:sz="0" w:space="0" w:color="auto"/>
        <w:left w:val="none" w:sz="0" w:space="0" w:color="auto"/>
        <w:bottom w:val="none" w:sz="0" w:space="0" w:color="auto"/>
        <w:right w:val="none" w:sz="0" w:space="0" w:color="auto"/>
      </w:divBdr>
    </w:div>
    <w:div w:id="1820077368">
      <w:bodyDiv w:val="1"/>
      <w:marLeft w:val="0"/>
      <w:marRight w:val="0"/>
      <w:marTop w:val="0"/>
      <w:marBottom w:val="0"/>
      <w:divBdr>
        <w:top w:val="none" w:sz="0" w:space="0" w:color="auto"/>
        <w:left w:val="none" w:sz="0" w:space="0" w:color="auto"/>
        <w:bottom w:val="none" w:sz="0" w:space="0" w:color="auto"/>
        <w:right w:val="none" w:sz="0" w:space="0" w:color="auto"/>
      </w:divBdr>
    </w:div>
    <w:div w:id="1820733408">
      <w:bodyDiv w:val="1"/>
      <w:marLeft w:val="0"/>
      <w:marRight w:val="0"/>
      <w:marTop w:val="0"/>
      <w:marBottom w:val="0"/>
      <w:divBdr>
        <w:top w:val="none" w:sz="0" w:space="0" w:color="auto"/>
        <w:left w:val="none" w:sz="0" w:space="0" w:color="auto"/>
        <w:bottom w:val="none" w:sz="0" w:space="0" w:color="auto"/>
        <w:right w:val="none" w:sz="0" w:space="0" w:color="auto"/>
      </w:divBdr>
    </w:div>
    <w:div w:id="1839148813">
      <w:bodyDiv w:val="1"/>
      <w:marLeft w:val="0"/>
      <w:marRight w:val="0"/>
      <w:marTop w:val="0"/>
      <w:marBottom w:val="0"/>
      <w:divBdr>
        <w:top w:val="none" w:sz="0" w:space="0" w:color="auto"/>
        <w:left w:val="none" w:sz="0" w:space="0" w:color="auto"/>
        <w:bottom w:val="none" w:sz="0" w:space="0" w:color="auto"/>
        <w:right w:val="none" w:sz="0" w:space="0" w:color="auto"/>
      </w:divBdr>
    </w:div>
    <w:div w:id="1841459605">
      <w:bodyDiv w:val="1"/>
      <w:marLeft w:val="0"/>
      <w:marRight w:val="0"/>
      <w:marTop w:val="0"/>
      <w:marBottom w:val="0"/>
      <w:divBdr>
        <w:top w:val="none" w:sz="0" w:space="0" w:color="auto"/>
        <w:left w:val="none" w:sz="0" w:space="0" w:color="auto"/>
        <w:bottom w:val="none" w:sz="0" w:space="0" w:color="auto"/>
        <w:right w:val="none" w:sz="0" w:space="0" w:color="auto"/>
      </w:divBdr>
    </w:div>
    <w:div w:id="1842964245">
      <w:bodyDiv w:val="1"/>
      <w:marLeft w:val="0"/>
      <w:marRight w:val="0"/>
      <w:marTop w:val="0"/>
      <w:marBottom w:val="0"/>
      <w:divBdr>
        <w:top w:val="none" w:sz="0" w:space="0" w:color="auto"/>
        <w:left w:val="none" w:sz="0" w:space="0" w:color="auto"/>
        <w:bottom w:val="none" w:sz="0" w:space="0" w:color="auto"/>
        <w:right w:val="none" w:sz="0" w:space="0" w:color="auto"/>
      </w:divBdr>
    </w:div>
    <w:div w:id="1846050813">
      <w:bodyDiv w:val="1"/>
      <w:marLeft w:val="0"/>
      <w:marRight w:val="0"/>
      <w:marTop w:val="0"/>
      <w:marBottom w:val="0"/>
      <w:divBdr>
        <w:top w:val="none" w:sz="0" w:space="0" w:color="auto"/>
        <w:left w:val="none" w:sz="0" w:space="0" w:color="auto"/>
        <w:bottom w:val="none" w:sz="0" w:space="0" w:color="auto"/>
        <w:right w:val="none" w:sz="0" w:space="0" w:color="auto"/>
      </w:divBdr>
    </w:div>
    <w:div w:id="1848980169">
      <w:bodyDiv w:val="1"/>
      <w:marLeft w:val="0"/>
      <w:marRight w:val="0"/>
      <w:marTop w:val="0"/>
      <w:marBottom w:val="0"/>
      <w:divBdr>
        <w:top w:val="none" w:sz="0" w:space="0" w:color="auto"/>
        <w:left w:val="none" w:sz="0" w:space="0" w:color="auto"/>
        <w:bottom w:val="none" w:sz="0" w:space="0" w:color="auto"/>
        <w:right w:val="none" w:sz="0" w:space="0" w:color="auto"/>
      </w:divBdr>
    </w:div>
    <w:div w:id="1877697941">
      <w:bodyDiv w:val="1"/>
      <w:marLeft w:val="0"/>
      <w:marRight w:val="0"/>
      <w:marTop w:val="0"/>
      <w:marBottom w:val="0"/>
      <w:divBdr>
        <w:top w:val="none" w:sz="0" w:space="0" w:color="auto"/>
        <w:left w:val="none" w:sz="0" w:space="0" w:color="auto"/>
        <w:bottom w:val="none" w:sz="0" w:space="0" w:color="auto"/>
        <w:right w:val="none" w:sz="0" w:space="0" w:color="auto"/>
      </w:divBdr>
    </w:div>
    <w:div w:id="1886486233">
      <w:bodyDiv w:val="1"/>
      <w:marLeft w:val="0"/>
      <w:marRight w:val="0"/>
      <w:marTop w:val="0"/>
      <w:marBottom w:val="0"/>
      <w:divBdr>
        <w:top w:val="none" w:sz="0" w:space="0" w:color="auto"/>
        <w:left w:val="none" w:sz="0" w:space="0" w:color="auto"/>
        <w:bottom w:val="none" w:sz="0" w:space="0" w:color="auto"/>
        <w:right w:val="none" w:sz="0" w:space="0" w:color="auto"/>
      </w:divBdr>
    </w:div>
    <w:div w:id="1891728113">
      <w:bodyDiv w:val="1"/>
      <w:marLeft w:val="0"/>
      <w:marRight w:val="0"/>
      <w:marTop w:val="0"/>
      <w:marBottom w:val="0"/>
      <w:divBdr>
        <w:top w:val="none" w:sz="0" w:space="0" w:color="auto"/>
        <w:left w:val="none" w:sz="0" w:space="0" w:color="auto"/>
        <w:bottom w:val="none" w:sz="0" w:space="0" w:color="auto"/>
        <w:right w:val="none" w:sz="0" w:space="0" w:color="auto"/>
      </w:divBdr>
    </w:div>
    <w:div w:id="1893537085">
      <w:bodyDiv w:val="1"/>
      <w:marLeft w:val="0"/>
      <w:marRight w:val="0"/>
      <w:marTop w:val="0"/>
      <w:marBottom w:val="0"/>
      <w:divBdr>
        <w:top w:val="none" w:sz="0" w:space="0" w:color="auto"/>
        <w:left w:val="none" w:sz="0" w:space="0" w:color="auto"/>
        <w:bottom w:val="none" w:sz="0" w:space="0" w:color="auto"/>
        <w:right w:val="none" w:sz="0" w:space="0" w:color="auto"/>
      </w:divBdr>
    </w:div>
    <w:div w:id="1902791448">
      <w:bodyDiv w:val="1"/>
      <w:marLeft w:val="0"/>
      <w:marRight w:val="0"/>
      <w:marTop w:val="0"/>
      <w:marBottom w:val="0"/>
      <w:divBdr>
        <w:top w:val="none" w:sz="0" w:space="0" w:color="auto"/>
        <w:left w:val="none" w:sz="0" w:space="0" w:color="auto"/>
        <w:bottom w:val="none" w:sz="0" w:space="0" w:color="auto"/>
        <w:right w:val="none" w:sz="0" w:space="0" w:color="auto"/>
      </w:divBdr>
    </w:div>
    <w:div w:id="1907690680">
      <w:bodyDiv w:val="1"/>
      <w:marLeft w:val="0"/>
      <w:marRight w:val="0"/>
      <w:marTop w:val="0"/>
      <w:marBottom w:val="0"/>
      <w:divBdr>
        <w:top w:val="none" w:sz="0" w:space="0" w:color="auto"/>
        <w:left w:val="none" w:sz="0" w:space="0" w:color="auto"/>
        <w:bottom w:val="none" w:sz="0" w:space="0" w:color="auto"/>
        <w:right w:val="none" w:sz="0" w:space="0" w:color="auto"/>
      </w:divBdr>
    </w:div>
    <w:div w:id="1910918376">
      <w:bodyDiv w:val="1"/>
      <w:marLeft w:val="0"/>
      <w:marRight w:val="0"/>
      <w:marTop w:val="0"/>
      <w:marBottom w:val="0"/>
      <w:divBdr>
        <w:top w:val="none" w:sz="0" w:space="0" w:color="auto"/>
        <w:left w:val="none" w:sz="0" w:space="0" w:color="auto"/>
        <w:bottom w:val="none" w:sz="0" w:space="0" w:color="auto"/>
        <w:right w:val="none" w:sz="0" w:space="0" w:color="auto"/>
      </w:divBdr>
    </w:div>
    <w:div w:id="1916817869">
      <w:bodyDiv w:val="1"/>
      <w:marLeft w:val="0"/>
      <w:marRight w:val="0"/>
      <w:marTop w:val="0"/>
      <w:marBottom w:val="0"/>
      <w:divBdr>
        <w:top w:val="none" w:sz="0" w:space="0" w:color="auto"/>
        <w:left w:val="none" w:sz="0" w:space="0" w:color="auto"/>
        <w:bottom w:val="none" w:sz="0" w:space="0" w:color="auto"/>
        <w:right w:val="none" w:sz="0" w:space="0" w:color="auto"/>
      </w:divBdr>
    </w:div>
    <w:div w:id="1924490855">
      <w:bodyDiv w:val="1"/>
      <w:marLeft w:val="0"/>
      <w:marRight w:val="0"/>
      <w:marTop w:val="0"/>
      <w:marBottom w:val="0"/>
      <w:divBdr>
        <w:top w:val="none" w:sz="0" w:space="0" w:color="auto"/>
        <w:left w:val="none" w:sz="0" w:space="0" w:color="auto"/>
        <w:bottom w:val="none" w:sz="0" w:space="0" w:color="auto"/>
        <w:right w:val="none" w:sz="0" w:space="0" w:color="auto"/>
      </w:divBdr>
    </w:div>
    <w:div w:id="1925261154">
      <w:bodyDiv w:val="1"/>
      <w:marLeft w:val="0"/>
      <w:marRight w:val="0"/>
      <w:marTop w:val="0"/>
      <w:marBottom w:val="0"/>
      <w:divBdr>
        <w:top w:val="none" w:sz="0" w:space="0" w:color="auto"/>
        <w:left w:val="none" w:sz="0" w:space="0" w:color="auto"/>
        <w:bottom w:val="none" w:sz="0" w:space="0" w:color="auto"/>
        <w:right w:val="none" w:sz="0" w:space="0" w:color="auto"/>
      </w:divBdr>
    </w:div>
    <w:div w:id="1927691643">
      <w:bodyDiv w:val="1"/>
      <w:marLeft w:val="0"/>
      <w:marRight w:val="0"/>
      <w:marTop w:val="0"/>
      <w:marBottom w:val="0"/>
      <w:divBdr>
        <w:top w:val="none" w:sz="0" w:space="0" w:color="auto"/>
        <w:left w:val="none" w:sz="0" w:space="0" w:color="auto"/>
        <w:bottom w:val="none" w:sz="0" w:space="0" w:color="auto"/>
        <w:right w:val="none" w:sz="0" w:space="0" w:color="auto"/>
      </w:divBdr>
    </w:div>
    <w:div w:id="1935285748">
      <w:bodyDiv w:val="1"/>
      <w:marLeft w:val="0"/>
      <w:marRight w:val="0"/>
      <w:marTop w:val="0"/>
      <w:marBottom w:val="0"/>
      <w:divBdr>
        <w:top w:val="none" w:sz="0" w:space="0" w:color="auto"/>
        <w:left w:val="none" w:sz="0" w:space="0" w:color="auto"/>
        <w:bottom w:val="none" w:sz="0" w:space="0" w:color="auto"/>
        <w:right w:val="none" w:sz="0" w:space="0" w:color="auto"/>
      </w:divBdr>
    </w:div>
    <w:div w:id="1946375730">
      <w:bodyDiv w:val="1"/>
      <w:marLeft w:val="0"/>
      <w:marRight w:val="0"/>
      <w:marTop w:val="0"/>
      <w:marBottom w:val="0"/>
      <w:divBdr>
        <w:top w:val="none" w:sz="0" w:space="0" w:color="auto"/>
        <w:left w:val="none" w:sz="0" w:space="0" w:color="auto"/>
        <w:bottom w:val="none" w:sz="0" w:space="0" w:color="auto"/>
        <w:right w:val="none" w:sz="0" w:space="0" w:color="auto"/>
      </w:divBdr>
    </w:div>
    <w:div w:id="1956017266">
      <w:bodyDiv w:val="1"/>
      <w:marLeft w:val="0"/>
      <w:marRight w:val="0"/>
      <w:marTop w:val="0"/>
      <w:marBottom w:val="0"/>
      <w:divBdr>
        <w:top w:val="none" w:sz="0" w:space="0" w:color="auto"/>
        <w:left w:val="none" w:sz="0" w:space="0" w:color="auto"/>
        <w:bottom w:val="none" w:sz="0" w:space="0" w:color="auto"/>
        <w:right w:val="none" w:sz="0" w:space="0" w:color="auto"/>
      </w:divBdr>
    </w:div>
    <w:div w:id="1966496971">
      <w:bodyDiv w:val="1"/>
      <w:marLeft w:val="0"/>
      <w:marRight w:val="0"/>
      <w:marTop w:val="0"/>
      <w:marBottom w:val="0"/>
      <w:divBdr>
        <w:top w:val="none" w:sz="0" w:space="0" w:color="auto"/>
        <w:left w:val="none" w:sz="0" w:space="0" w:color="auto"/>
        <w:bottom w:val="none" w:sz="0" w:space="0" w:color="auto"/>
        <w:right w:val="none" w:sz="0" w:space="0" w:color="auto"/>
      </w:divBdr>
    </w:div>
    <w:div w:id="1969553672">
      <w:bodyDiv w:val="1"/>
      <w:marLeft w:val="0"/>
      <w:marRight w:val="0"/>
      <w:marTop w:val="0"/>
      <w:marBottom w:val="0"/>
      <w:divBdr>
        <w:top w:val="none" w:sz="0" w:space="0" w:color="auto"/>
        <w:left w:val="none" w:sz="0" w:space="0" w:color="auto"/>
        <w:bottom w:val="none" w:sz="0" w:space="0" w:color="auto"/>
        <w:right w:val="none" w:sz="0" w:space="0" w:color="auto"/>
      </w:divBdr>
    </w:div>
    <w:div w:id="1973169163">
      <w:bodyDiv w:val="1"/>
      <w:marLeft w:val="0"/>
      <w:marRight w:val="0"/>
      <w:marTop w:val="0"/>
      <w:marBottom w:val="0"/>
      <w:divBdr>
        <w:top w:val="none" w:sz="0" w:space="0" w:color="auto"/>
        <w:left w:val="none" w:sz="0" w:space="0" w:color="auto"/>
        <w:bottom w:val="none" w:sz="0" w:space="0" w:color="auto"/>
        <w:right w:val="none" w:sz="0" w:space="0" w:color="auto"/>
      </w:divBdr>
    </w:div>
    <w:div w:id="1988583477">
      <w:bodyDiv w:val="1"/>
      <w:marLeft w:val="0"/>
      <w:marRight w:val="0"/>
      <w:marTop w:val="0"/>
      <w:marBottom w:val="0"/>
      <w:divBdr>
        <w:top w:val="none" w:sz="0" w:space="0" w:color="auto"/>
        <w:left w:val="none" w:sz="0" w:space="0" w:color="auto"/>
        <w:bottom w:val="none" w:sz="0" w:space="0" w:color="auto"/>
        <w:right w:val="none" w:sz="0" w:space="0" w:color="auto"/>
      </w:divBdr>
    </w:div>
    <w:div w:id="1989937244">
      <w:bodyDiv w:val="1"/>
      <w:marLeft w:val="0"/>
      <w:marRight w:val="0"/>
      <w:marTop w:val="0"/>
      <w:marBottom w:val="0"/>
      <w:divBdr>
        <w:top w:val="none" w:sz="0" w:space="0" w:color="auto"/>
        <w:left w:val="none" w:sz="0" w:space="0" w:color="auto"/>
        <w:bottom w:val="none" w:sz="0" w:space="0" w:color="auto"/>
        <w:right w:val="none" w:sz="0" w:space="0" w:color="auto"/>
      </w:divBdr>
    </w:div>
    <w:div w:id="1994792744">
      <w:bodyDiv w:val="1"/>
      <w:marLeft w:val="0"/>
      <w:marRight w:val="0"/>
      <w:marTop w:val="0"/>
      <w:marBottom w:val="0"/>
      <w:divBdr>
        <w:top w:val="none" w:sz="0" w:space="0" w:color="auto"/>
        <w:left w:val="none" w:sz="0" w:space="0" w:color="auto"/>
        <w:bottom w:val="none" w:sz="0" w:space="0" w:color="auto"/>
        <w:right w:val="none" w:sz="0" w:space="0" w:color="auto"/>
      </w:divBdr>
    </w:div>
    <w:div w:id="1998417485">
      <w:bodyDiv w:val="1"/>
      <w:marLeft w:val="0"/>
      <w:marRight w:val="0"/>
      <w:marTop w:val="0"/>
      <w:marBottom w:val="0"/>
      <w:divBdr>
        <w:top w:val="none" w:sz="0" w:space="0" w:color="auto"/>
        <w:left w:val="none" w:sz="0" w:space="0" w:color="auto"/>
        <w:bottom w:val="none" w:sz="0" w:space="0" w:color="auto"/>
        <w:right w:val="none" w:sz="0" w:space="0" w:color="auto"/>
      </w:divBdr>
    </w:div>
    <w:div w:id="2002810157">
      <w:bodyDiv w:val="1"/>
      <w:marLeft w:val="0"/>
      <w:marRight w:val="0"/>
      <w:marTop w:val="0"/>
      <w:marBottom w:val="0"/>
      <w:divBdr>
        <w:top w:val="none" w:sz="0" w:space="0" w:color="auto"/>
        <w:left w:val="none" w:sz="0" w:space="0" w:color="auto"/>
        <w:bottom w:val="none" w:sz="0" w:space="0" w:color="auto"/>
        <w:right w:val="none" w:sz="0" w:space="0" w:color="auto"/>
      </w:divBdr>
    </w:div>
    <w:div w:id="2032685815">
      <w:bodyDiv w:val="1"/>
      <w:marLeft w:val="0"/>
      <w:marRight w:val="0"/>
      <w:marTop w:val="0"/>
      <w:marBottom w:val="0"/>
      <w:divBdr>
        <w:top w:val="none" w:sz="0" w:space="0" w:color="auto"/>
        <w:left w:val="none" w:sz="0" w:space="0" w:color="auto"/>
        <w:bottom w:val="none" w:sz="0" w:space="0" w:color="auto"/>
        <w:right w:val="none" w:sz="0" w:space="0" w:color="auto"/>
      </w:divBdr>
    </w:div>
    <w:div w:id="2040083313">
      <w:bodyDiv w:val="1"/>
      <w:marLeft w:val="0"/>
      <w:marRight w:val="0"/>
      <w:marTop w:val="0"/>
      <w:marBottom w:val="0"/>
      <w:divBdr>
        <w:top w:val="none" w:sz="0" w:space="0" w:color="auto"/>
        <w:left w:val="none" w:sz="0" w:space="0" w:color="auto"/>
        <w:bottom w:val="none" w:sz="0" w:space="0" w:color="auto"/>
        <w:right w:val="none" w:sz="0" w:space="0" w:color="auto"/>
      </w:divBdr>
    </w:div>
    <w:div w:id="2040930186">
      <w:bodyDiv w:val="1"/>
      <w:marLeft w:val="0"/>
      <w:marRight w:val="0"/>
      <w:marTop w:val="0"/>
      <w:marBottom w:val="0"/>
      <w:divBdr>
        <w:top w:val="none" w:sz="0" w:space="0" w:color="auto"/>
        <w:left w:val="none" w:sz="0" w:space="0" w:color="auto"/>
        <w:bottom w:val="none" w:sz="0" w:space="0" w:color="auto"/>
        <w:right w:val="none" w:sz="0" w:space="0" w:color="auto"/>
      </w:divBdr>
    </w:div>
    <w:div w:id="2047951555">
      <w:bodyDiv w:val="1"/>
      <w:marLeft w:val="0"/>
      <w:marRight w:val="0"/>
      <w:marTop w:val="0"/>
      <w:marBottom w:val="0"/>
      <w:divBdr>
        <w:top w:val="none" w:sz="0" w:space="0" w:color="auto"/>
        <w:left w:val="none" w:sz="0" w:space="0" w:color="auto"/>
        <w:bottom w:val="none" w:sz="0" w:space="0" w:color="auto"/>
        <w:right w:val="none" w:sz="0" w:space="0" w:color="auto"/>
      </w:divBdr>
    </w:div>
    <w:div w:id="2056586764">
      <w:bodyDiv w:val="1"/>
      <w:marLeft w:val="0"/>
      <w:marRight w:val="0"/>
      <w:marTop w:val="0"/>
      <w:marBottom w:val="0"/>
      <w:divBdr>
        <w:top w:val="none" w:sz="0" w:space="0" w:color="auto"/>
        <w:left w:val="none" w:sz="0" w:space="0" w:color="auto"/>
        <w:bottom w:val="none" w:sz="0" w:space="0" w:color="auto"/>
        <w:right w:val="none" w:sz="0" w:space="0" w:color="auto"/>
      </w:divBdr>
    </w:div>
    <w:div w:id="2058889120">
      <w:bodyDiv w:val="1"/>
      <w:marLeft w:val="0"/>
      <w:marRight w:val="0"/>
      <w:marTop w:val="0"/>
      <w:marBottom w:val="0"/>
      <w:divBdr>
        <w:top w:val="none" w:sz="0" w:space="0" w:color="auto"/>
        <w:left w:val="none" w:sz="0" w:space="0" w:color="auto"/>
        <w:bottom w:val="none" w:sz="0" w:space="0" w:color="auto"/>
        <w:right w:val="none" w:sz="0" w:space="0" w:color="auto"/>
      </w:divBdr>
    </w:div>
    <w:div w:id="2059547044">
      <w:bodyDiv w:val="1"/>
      <w:marLeft w:val="0"/>
      <w:marRight w:val="0"/>
      <w:marTop w:val="0"/>
      <w:marBottom w:val="0"/>
      <w:divBdr>
        <w:top w:val="none" w:sz="0" w:space="0" w:color="auto"/>
        <w:left w:val="none" w:sz="0" w:space="0" w:color="auto"/>
        <w:bottom w:val="none" w:sz="0" w:space="0" w:color="auto"/>
        <w:right w:val="none" w:sz="0" w:space="0" w:color="auto"/>
      </w:divBdr>
    </w:div>
    <w:div w:id="2064139077">
      <w:bodyDiv w:val="1"/>
      <w:marLeft w:val="0"/>
      <w:marRight w:val="0"/>
      <w:marTop w:val="0"/>
      <w:marBottom w:val="0"/>
      <w:divBdr>
        <w:top w:val="none" w:sz="0" w:space="0" w:color="auto"/>
        <w:left w:val="none" w:sz="0" w:space="0" w:color="auto"/>
        <w:bottom w:val="none" w:sz="0" w:space="0" w:color="auto"/>
        <w:right w:val="none" w:sz="0" w:space="0" w:color="auto"/>
      </w:divBdr>
    </w:div>
    <w:div w:id="2066487602">
      <w:bodyDiv w:val="1"/>
      <w:marLeft w:val="0"/>
      <w:marRight w:val="0"/>
      <w:marTop w:val="0"/>
      <w:marBottom w:val="0"/>
      <w:divBdr>
        <w:top w:val="none" w:sz="0" w:space="0" w:color="auto"/>
        <w:left w:val="none" w:sz="0" w:space="0" w:color="auto"/>
        <w:bottom w:val="none" w:sz="0" w:space="0" w:color="auto"/>
        <w:right w:val="none" w:sz="0" w:space="0" w:color="auto"/>
      </w:divBdr>
    </w:div>
    <w:div w:id="2070765323">
      <w:bodyDiv w:val="1"/>
      <w:marLeft w:val="0"/>
      <w:marRight w:val="0"/>
      <w:marTop w:val="0"/>
      <w:marBottom w:val="0"/>
      <w:divBdr>
        <w:top w:val="none" w:sz="0" w:space="0" w:color="auto"/>
        <w:left w:val="none" w:sz="0" w:space="0" w:color="auto"/>
        <w:bottom w:val="none" w:sz="0" w:space="0" w:color="auto"/>
        <w:right w:val="none" w:sz="0" w:space="0" w:color="auto"/>
      </w:divBdr>
    </w:div>
    <w:div w:id="2072195735">
      <w:bodyDiv w:val="1"/>
      <w:marLeft w:val="0"/>
      <w:marRight w:val="0"/>
      <w:marTop w:val="0"/>
      <w:marBottom w:val="0"/>
      <w:divBdr>
        <w:top w:val="none" w:sz="0" w:space="0" w:color="auto"/>
        <w:left w:val="none" w:sz="0" w:space="0" w:color="auto"/>
        <w:bottom w:val="none" w:sz="0" w:space="0" w:color="auto"/>
        <w:right w:val="none" w:sz="0" w:space="0" w:color="auto"/>
      </w:divBdr>
    </w:div>
    <w:div w:id="2074354087">
      <w:bodyDiv w:val="1"/>
      <w:marLeft w:val="0"/>
      <w:marRight w:val="0"/>
      <w:marTop w:val="0"/>
      <w:marBottom w:val="0"/>
      <w:divBdr>
        <w:top w:val="none" w:sz="0" w:space="0" w:color="auto"/>
        <w:left w:val="none" w:sz="0" w:space="0" w:color="auto"/>
        <w:bottom w:val="none" w:sz="0" w:space="0" w:color="auto"/>
        <w:right w:val="none" w:sz="0" w:space="0" w:color="auto"/>
      </w:divBdr>
    </w:div>
    <w:div w:id="2084988006">
      <w:bodyDiv w:val="1"/>
      <w:marLeft w:val="0"/>
      <w:marRight w:val="0"/>
      <w:marTop w:val="0"/>
      <w:marBottom w:val="0"/>
      <w:divBdr>
        <w:top w:val="none" w:sz="0" w:space="0" w:color="auto"/>
        <w:left w:val="none" w:sz="0" w:space="0" w:color="auto"/>
        <w:bottom w:val="none" w:sz="0" w:space="0" w:color="auto"/>
        <w:right w:val="none" w:sz="0" w:space="0" w:color="auto"/>
      </w:divBdr>
    </w:div>
    <w:div w:id="2087338945">
      <w:bodyDiv w:val="1"/>
      <w:marLeft w:val="0"/>
      <w:marRight w:val="0"/>
      <w:marTop w:val="0"/>
      <w:marBottom w:val="0"/>
      <w:divBdr>
        <w:top w:val="none" w:sz="0" w:space="0" w:color="auto"/>
        <w:left w:val="none" w:sz="0" w:space="0" w:color="auto"/>
        <w:bottom w:val="none" w:sz="0" w:space="0" w:color="auto"/>
        <w:right w:val="none" w:sz="0" w:space="0" w:color="auto"/>
      </w:divBdr>
    </w:div>
    <w:div w:id="2090034647">
      <w:bodyDiv w:val="1"/>
      <w:marLeft w:val="0"/>
      <w:marRight w:val="0"/>
      <w:marTop w:val="0"/>
      <w:marBottom w:val="0"/>
      <w:divBdr>
        <w:top w:val="none" w:sz="0" w:space="0" w:color="auto"/>
        <w:left w:val="none" w:sz="0" w:space="0" w:color="auto"/>
        <w:bottom w:val="none" w:sz="0" w:space="0" w:color="auto"/>
        <w:right w:val="none" w:sz="0" w:space="0" w:color="auto"/>
      </w:divBdr>
    </w:div>
    <w:div w:id="2094814344">
      <w:bodyDiv w:val="1"/>
      <w:marLeft w:val="0"/>
      <w:marRight w:val="0"/>
      <w:marTop w:val="0"/>
      <w:marBottom w:val="0"/>
      <w:divBdr>
        <w:top w:val="none" w:sz="0" w:space="0" w:color="auto"/>
        <w:left w:val="none" w:sz="0" w:space="0" w:color="auto"/>
        <w:bottom w:val="none" w:sz="0" w:space="0" w:color="auto"/>
        <w:right w:val="none" w:sz="0" w:space="0" w:color="auto"/>
      </w:divBdr>
    </w:div>
    <w:div w:id="2095711132">
      <w:bodyDiv w:val="1"/>
      <w:marLeft w:val="0"/>
      <w:marRight w:val="0"/>
      <w:marTop w:val="0"/>
      <w:marBottom w:val="0"/>
      <w:divBdr>
        <w:top w:val="none" w:sz="0" w:space="0" w:color="auto"/>
        <w:left w:val="none" w:sz="0" w:space="0" w:color="auto"/>
        <w:bottom w:val="none" w:sz="0" w:space="0" w:color="auto"/>
        <w:right w:val="none" w:sz="0" w:space="0" w:color="auto"/>
      </w:divBdr>
    </w:div>
    <w:div w:id="2098017384">
      <w:bodyDiv w:val="1"/>
      <w:marLeft w:val="0"/>
      <w:marRight w:val="0"/>
      <w:marTop w:val="0"/>
      <w:marBottom w:val="0"/>
      <w:divBdr>
        <w:top w:val="none" w:sz="0" w:space="0" w:color="auto"/>
        <w:left w:val="none" w:sz="0" w:space="0" w:color="auto"/>
        <w:bottom w:val="none" w:sz="0" w:space="0" w:color="auto"/>
        <w:right w:val="none" w:sz="0" w:space="0" w:color="auto"/>
      </w:divBdr>
    </w:div>
    <w:div w:id="2099404379">
      <w:bodyDiv w:val="1"/>
      <w:marLeft w:val="0"/>
      <w:marRight w:val="0"/>
      <w:marTop w:val="0"/>
      <w:marBottom w:val="0"/>
      <w:divBdr>
        <w:top w:val="none" w:sz="0" w:space="0" w:color="auto"/>
        <w:left w:val="none" w:sz="0" w:space="0" w:color="auto"/>
        <w:bottom w:val="none" w:sz="0" w:space="0" w:color="auto"/>
        <w:right w:val="none" w:sz="0" w:space="0" w:color="auto"/>
      </w:divBdr>
    </w:div>
    <w:div w:id="2105102034">
      <w:bodyDiv w:val="1"/>
      <w:marLeft w:val="0"/>
      <w:marRight w:val="0"/>
      <w:marTop w:val="0"/>
      <w:marBottom w:val="0"/>
      <w:divBdr>
        <w:top w:val="none" w:sz="0" w:space="0" w:color="auto"/>
        <w:left w:val="none" w:sz="0" w:space="0" w:color="auto"/>
        <w:bottom w:val="none" w:sz="0" w:space="0" w:color="auto"/>
        <w:right w:val="none" w:sz="0" w:space="0" w:color="auto"/>
      </w:divBdr>
    </w:div>
    <w:div w:id="2105683298">
      <w:bodyDiv w:val="1"/>
      <w:marLeft w:val="0"/>
      <w:marRight w:val="0"/>
      <w:marTop w:val="0"/>
      <w:marBottom w:val="0"/>
      <w:divBdr>
        <w:top w:val="none" w:sz="0" w:space="0" w:color="auto"/>
        <w:left w:val="none" w:sz="0" w:space="0" w:color="auto"/>
        <w:bottom w:val="none" w:sz="0" w:space="0" w:color="auto"/>
        <w:right w:val="none" w:sz="0" w:space="0" w:color="auto"/>
      </w:divBdr>
    </w:div>
    <w:div w:id="2107649999">
      <w:bodyDiv w:val="1"/>
      <w:marLeft w:val="0"/>
      <w:marRight w:val="0"/>
      <w:marTop w:val="0"/>
      <w:marBottom w:val="0"/>
      <w:divBdr>
        <w:top w:val="none" w:sz="0" w:space="0" w:color="auto"/>
        <w:left w:val="none" w:sz="0" w:space="0" w:color="auto"/>
        <w:bottom w:val="none" w:sz="0" w:space="0" w:color="auto"/>
        <w:right w:val="none" w:sz="0" w:space="0" w:color="auto"/>
      </w:divBdr>
    </w:div>
    <w:div w:id="2113085528">
      <w:bodyDiv w:val="1"/>
      <w:marLeft w:val="0"/>
      <w:marRight w:val="0"/>
      <w:marTop w:val="0"/>
      <w:marBottom w:val="0"/>
      <w:divBdr>
        <w:top w:val="none" w:sz="0" w:space="0" w:color="auto"/>
        <w:left w:val="none" w:sz="0" w:space="0" w:color="auto"/>
        <w:bottom w:val="none" w:sz="0" w:space="0" w:color="auto"/>
        <w:right w:val="none" w:sz="0" w:space="0" w:color="auto"/>
      </w:divBdr>
    </w:div>
    <w:div w:id="2126197203">
      <w:bodyDiv w:val="1"/>
      <w:marLeft w:val="0"/>
      <w:marRight w:val="0"/>
      <w:marTop w:val="0"/>
      <w:marBottom w:val="0"/>
      <w:divBdr>
        <w:top w:val="none" w:sz="0" w:space="0" w:color="auto"/>
        <w:left w:val="none" w:sz="0" w:space="0" w:color="auto"/>
        <w:bottom w:val="none" w:sz="0" w:space="0" w:color="auto"/>
        <w:right w:val="none" w:sz="0" w:space="0" w:color="auto"/>
      </w:divBdr>
    </w:div>
    <w:div w:id="2127770800">
      <w:bodyDiv w:val="1"/>
      <w:marLeft w:val="0"/>
      <w:marRight w:val="0"/>
      <w:marTop w:val="0"/>
      <w:marBottom w:val="0"/>
      <w:divBdr>
        <w:top w:val="none" w:sz="0" w:space="0" w:color="auto"/>
        <w:left w:val="none" w:sz="0" w:space="0" w:color="auto"/>
        <w:bottom w:val="none" w:sz="0" w:space="0" w:color="auto"/>
        <w:right w:val="none" w:sz="0" w:space="0" w:color="auto"/>
      </w:divBdr>
    </w:div>
    <w:div w:id="2128305116">
      <w:bodyDiv w:val="1"/>
      <w:marLeft w:val="0"/>
      <w:marRight w:val="0"/>
      <w:marTop w:val="0"/>
      <w:marBottom w:val="0"/>
      <w:divBdr>
        <w:top w:val="none" w:sz="0" w:space="0" w:color="auto"/>
        <w:left w:val="none" w:sz="0" w:space="0" w:color="auto"/>
        <w:bottom w:val="none" w:sz="0" w:space="0" w:color="auto"/>
        <w:right w:val="none" w:sz="0" w:space="0" w:color="auto"/>
      </w:divBdr>
    </w:div>
    <w:div w:id="2136898907">
      <w:bodyDiv w:val="1"/>
      <w:marLeft w:val="0"/>
      <w:marRight w:val="0"/>
      <w:marTop w:val="0"/>
      <w:marBottom w:val="0"/>
      <w:divBdr>
        <w:top w:val="none" w:sz="0" w:space="0" w:color="auto"/>
        <w:left w:val="none" w:sz="0" w:space="0" w:color="auto"/>
        <w:bottom w:val="none" w:sz="0" w:space="0" w:color="auto"/>
        <w:right w:val="none" w:sz="0" w:space="0" w:color="auto"/>
      </w:divBdr>
    </w:div>
    <w:div w:id="2139646830">
      <w:bodyDiv w:val="1"/>
      <w:marLeft w:val="0"/>
      <w:marRight w:val="0"/>
      <w:marTop w:val="0"/>
      <w:marBottom w:val="0"/>
      <w:divBdr>
        <w:top w:val="none" w:sz="0" w:space="0" w:color="auto"/>
        <w:left w:val="none" w:sz="0" w:space="0" w:color="auto"/>
        <w:bottom w:val="none" w:sz="0" w:space="0" w:color="auto"/>
        <w:right w:val="none" w:sz="0" w:space="0" w:color="auto"/>
      </w:divBdr>
    </w:div>
    <w:div w:id="2142116860">
      <w:bodyDiv w:val="1"/>
      <w:marLeft w:val="0"/>
      <w:marRight w:val="0"/>
      <w:marTop w:val="0"/>
      <w:marBottom w:val="0"/>
      <w:divBdr>
        <w:top w:val="none" w:sz="0" w:space="0" w:color="auto"/>
        <w:left w:val="none" w:sz="0" w:space="0" w:color="auto"/>
        <w:bottom w:val="none" w:sz="0" w:space="0" w:color="auto"/>
        <w:right w:val="none" w:sz="0" w:space="0" w:color="auto"/>
      </w:divBdr>
    </w:div>
    <w:div w:id="21467781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chart" Target="charts/chart4.xml"/><Relationship Id="rId18" Type="http://schemas.openxmlformats.org/officeDocument/2006/relationships/chart" Target="charts/chart9.xml"/><Relationship Id="rId26" Type="http://schemas.openxmlformats.org/officeDocument/2006/relationships/chart" Target="charts/chart17.xml"/><Relationship Id="rId39" Type="http://schemas.openxmlformats.org/officeDocument/2006/relationships/header" Target="header2.xml"/><Relationship Id="rId3" Type="http://schemas.openxmlformats.org/officeDocument/2006/relationships/styles" Target="styles.xml"/><Relationship Id="rId21" Type="http://schemas.openxmlformats.org/officeDocument/2006/relationships/chart" Target="charts/chart12.xml"/><Relationship Id="rId34" Type="http://schemas.openxmlformats.org/officeDocument/2006/relationships/chart" Target="charts/chart24.xml"/><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chart" Target="charts/chart3.xml"/><Relationship Id="rId17" Type="http://schemas.openxmlformats.org/officeDocument/2006/relationships/chart" Target="charts/chart8.xml"/><Relationship Id="rId25" Type="http://schemas.openxmlformats.org/officeDocument/2006/relationships/chart" Target="charts/chart16.xml"/><Relationship Id="rId33" Type="http://schemas.openxmlformats.org/officeDocument/2006/relationships/image" Target="media/image4.png"/><Relationship Id="rId38"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chart" Target="charts/chart7.xml"/><Relationship Id="rId20" Type="http://schemas.openxmlformats.org/officeDocument/2006/relationships/chart" Target="charts/chart11.xml"/><Relationship Id="rId29" Type="http://schemas.openxmlformats.org/officeDocument/2006/relationships/chart" Target="charts/chart20.xml"/><Relationship Id="rId4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chart" Target="charts/chart15.xml"/><Relationship Id="rId32" Type="http://schemas.openxmlformats.org/officeDocument/2006/relationships/chart" Target="charts/chart23.xml"/><Relationship Id="rId37" Type="http://schemas.openxmlformats.org/officeDocument/2006/relationships/chart" Target="charts/chart27.xml"/><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chart" Target="charts/chart6.xml"/><Relationship Id="rId23" Type="http://schemas.openxmlformats.org/officeDocument/2006/relationships/chart" Target="charts/chart14.xml"/><Relationship Id="rId28" Type="http://schemas.openxmlformats.org/officeDocument/2006/relationships/chart" Target="charts/chart19.xml"/><Relationship Id="rId36" Type="http://schemas.openxmlformats.org/officeDocument/2006/relationships/chart" Target="charts/chart26.xml"/><Relationship Id="rId10" Type="http://schemas.openxmlformats.org/officeDocument/2006/relationships/chart" Target="charts/chart2.xml"/><Relationship Id="rId19" Type="http://schemas.openxmlformats.org/officeDocument/2006/relationships/chart" Target="charts/chart10.xml"/><Relationship Id="rId31" Type="http://schemas.openxmlformats.org/officeDocument/2006/relationships/chart" Target="charts/chart22.xml"/><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chart" Target="charts/chart5.xml"/><Relationship Id="rId22" Type="http://schemas.openxmlformats.org/officeDocument/2006/relationships/chart" Target="charts/chart13.xml"/><Relationship Id="rId27" Type="http://schemas.openxmlformats.org/officeDocument/2006/relationships/chart" Target="charts/chart18.xml"/><Relationship Id="rId30" Type="http://schemas.openxmlformats.org/officeDocument/2006/relationships/chart" Target="charts/chart21.xml"/><Relationship Id="rId35" Type="http://schemas.openxmlformats.org/officeDocument/2006/relationships/chart" Target="charts/chart25.xml"/><Relationship Id="rId43"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oleObject" Target="file:///\\dc1\e\User\Kozgazdasagi\Kozos\Besz&#225;mol&#243;k\2022.%20&#233;v\2022.&#233;v\Uzleti_jelentes_2022_TABLAK_ABRAK.xlsx" TargetMode="External"/></Relationships>
</file>

<file path=word/charts/_rels/chart10.xml.rels><?xml version="1.0" encoding="UTF-8" standalone="yes"?>
<Relationships xmlns="http://schemas.openxmlformats.org/package/2006/relationships"><Relationship Id="rId3" Type="http://schemas.openxmlformats.org/officeDocument/2006/relationships/oleObject" Target="file:///\\dc1\e\User\Kozgazdasagi\Kozos\Besz&#225;mol&#243;k\2022.%20&#233;v\2022.&#233;v\Uzleti_jelentes_2022_t&#225;bl&#225;k_SA.xlsx" TargetMode="External"/><Relationship Id="rId2" Type="http://schemas.microsoft.com/office/2011/relationships/chartColorStyle" Target="colors4.xml"/><Relationship Id="rId1" Type="http://schemas.microsoft.com/office/2011/relationships/chartStyle" Target="style4.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munkalap4.xlsx"/><Relationship Id="rId2" Type="http://schemas.microsoft.com/office/2011/relationships/chartColorStyle" Target="colors5.xml"/><Relationship Id="rId1" Type="http://schemas.microsoft.com/office/2011/relationships/chartStyle" Target="style5.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munkalap5.xlsx"/><Relationship Id="rId2" Type="http://schemas.microsoft.com/office/2011/relationships/chartColorStyle" Target="colors6.xml"/><Relationship Id="rId1" Type="http://schemas.microsoft.com/office/2011/relationships/chartStyle" Target="style6.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munkalap6.xlsx"/><Relationship Id="rId2" Type="http://schemas.microsoft.com/office/2011/relationships/chartColorStyle" Target="colors7.xml"/><Relationship Id="rId1" Type="http://schemas.microsoft.com/office/2011/relationships/chartStyle" Target="style7.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munkalap7.xlsx"/><Relationship Id="rId2" Type="http://schemas.microsoft.com/office/2011/relationships/chartColorStyle" Target="colors8.xml"/><Relationship Id="rId1" Type="http://schemas.microsoft.com/office/2011/relationships/chartStyle" Target="style8.xml"/></Relationships>
</file>

<file path=word/charts/_rels/chart15.xml.rels><?xml version="1.0" encoding="UTF-8" standalone="yes"?>
<Relationships xmlns="http://schemas.openxmlformats.org/package/2006/relationships"><Relationship Id="rId3" Type="http://schemas.openxmlformats.org/officeDocument/2006/relationships/oleObject" Target="file:///C:\Users\HVikt&#243;ria\AppData\Roaming\Microsoft\Excel\Grafikonok%20prezent&#225;ci&#243;hoz-jav-szv&#237;z%20grafikon%20&#246;sszesen%20(version%201).xlsb" TargetMode="Externa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chartUserShapes" Target="../drawings/drawing4.xml"/></Relationships>
</file>

<file path=word/charts/_rels/chart16.xml.rels><?xml version="1.0" encoding="UTF-8" standalone="yes"?>
<Relationships xmlns="http://schemas.openxmlformats.org/package/2006/relationships"><Relationship Id="rId3" Type="http://schemas.openxmlformats.org/officeDocument/2006/relationships/package" Target="../embeddings/Microsoft_Excel-munkalap8.xlsx"/><Relationship Id="rId2" Type="http://schemas.microsoft.com/office/2011/relationships/chartColorStyle" Target="colors10.xml"/><Relationship Id="rId1" Type="http://schemas.microsoft.com/office/2011/relationships/chartStyle" Target="style10.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munkalap9.xlsx"/><Relationship Id="rId2" Type="http://schemas.microsoft.com/office/2011/relationships/chartColorStyle" Target="colors11.xml"/><Relationship Id="rId1" Type="http://schemas.microsoft.com/office/2011/relationships/chartStyle" Target="style11.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munkalap10.xlsx"/><Relationship Id="rId2" Type="http://schemas.microsoft.com/office/2011/relationships/chartColorStyle" Target="colors12.xml"/><Relationship Id="rId1" Type="http://schemas.microsoft.com/office/2011/relationships/chartStyle" Target="style12.xml"/></Relationships>
</file>

<file path=word/charts/_rels/chart19.xml.rels><?xml version="1.0" encoding="UTF-8" standalone="yes"?>
<Relationships xmlns="http://schemas.openxmlformats.org/package/2006/relationships"><Relationship Id="rId3" Type="http://schemas.openxmlformats.org/officeDocument/2006/relationships/oleObject" Target="file:///\\dc1\e\User\Kozgazdasagi\Kozos\Besz&#225;mol&#243;k\2022.%20&#233;v\2022.&#233;v\Uzleti_jelentes_2022_t&#225;bl&#225;k_SA.xlsx" TargetMode="External"/><Relationship Id="rId2" Type="http://schemas.microsoft.com/office/2011/relationships/chartColorStyle" Target="colors13.xml"/><Relationship Id="rId1" Type="http://schemas.microsoft.com/office/2011/relationships/chartStyle" Target="style13.xml"/></Relationships>
</file>

<file path=word/charts/_rels/chart2.xml.rels><?xml version="1.0" encoding="UTF-8" standalone="yes"?>
<Relationships xmlns="http://schemas.openxmlformats.org/package/2006/relationships"><Relationship Id="rId1" Type="http://schemas.openxmlformats.org/officeDocument/2006/relationships/oleObject" Target="file:///\\dc1\e\User\Kozgazdasagi\Kozos\Besz&#225;mol&#243;k\2015.%20&#233;v\2015.&#233;v\H&#225;tt&#233;ranyagok\Uzleti_jelentes_2015_TABLAK_ABRAK.xls" TargetMode="External"/></Relationships>
</file>

<file path=word/charts/_rels/chart20.xml.rels><?xml version="1.0" encoding="UTF-8" standalone="yes"?>
<Relationships xmlns="http://schemas.openxmlformats.org/package/2006/relationships"><Relationship Id="rId3" Type="http://schemas.openxmlformats.org/officeDocument/2006/relationships/package" Target="../embeddings/Microsoft_Excel-munkalap11.xlsx"/><Relationship Id="rId2" Type="http://schemas.microsoft.com/office/2011/relationships/chartColorStyle" Target="colors14.xml"/><Relationship Id="rId1" Type="http://schemas.microsoft.com/office/2011/relationships/chartStyle" Target="style14.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munkalap12.xlsx"/><Relationship Id="rId2" Type="http://schemas.microsoft.com/office/2011/relationships/chartColorStyle" Target="colors15.xml"/><Relationship Id="rId1" Type="http://schemas.microsoft.com/office/2011/relationships/chartStyle" Target="style15.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munkalap13.xlsx"/><Relationship Id="rId2" Type="http://schemas.microsoft.com/office/2011/relationships/chartColorStyle" Target="colors16.xml"/><Relationship Id="rId1" Type="http://schemas.microsoft.com/office/2011/relationships/chartStyle" Target="style16.xml"/></Relationships>
</file>

<file path=word/charts/_rels/chart23.xml.rels><?xml version="1.0" encoding="UTF-8" standalone="yes"?>
<Relationships xmlns="http://schemas.openxmlformats.org/package/2006/relationships"><Relationship Id="rId3" Type="http://schemas.openxmlformats.org/officeDocument/2006/relationships/oleObject" Target="file:///\\dc1\e\User\Kozgazdasagi\Kozos\Besz&#225;mol&#243;k\2022.%20&#233;v\2022.&#233;v\Dia\Grafikonok%20prezent&#225;ci&#243;hoz-jav-szv&#237;z%20grafikon%20&#246;sszesen.xlsx" TargetMode="Externa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chartUserShapes" Target="../drawings/drawing5.xml"/></Relationships>
</file>

<file path=word/charts/_rels/chart24.xml.rels><?xml version="1.0" encoding="UTF-8" standalone="yes"?>
<Relationships xmlns="http://schemas.openxmlformats.org/package/2006/relationships"><Relationship Id="rId3" Type="http://schemas.openxmlformats.org/officeDocument/2006/relationships/oleObject" Target="file:///\\dc1\e\User\Kozgazdasagi\Kozos\Besz&#225;mol&#243;k\2022.%20&#233;v\2022.&#233;v\Uzleti_jelentes_2022_t&#225;bl&#225;k_SA.xlsx" TargetMode="External"/><Relationship Id="rId2" Type="http://schemas.microsoft.com/office/2011/relationships/chartColorStyle" Target="colors18.xml"/><Relationship Id="rId1" Type="http://schemas.microsoft.com/office/2011/relationships/chartStyle" Target="style18.xml"/></Relationships>
</file>

<file path=word/charts/_rels/chart25.xml.rels><?xml version="1.0" encoding="UTF-8" standalone="yes"?>
<Relationships xmlns="http://schemas.openxmlformats.org/package/2006/relationships"><Relationship Id="rId3" Type="http://schemas.openxmlformats.org/officeDocument/2006/relationships/package" Target="../embeddings/Microsoft_Excel-munkalap14.xlsx"/><Relationship Id="rId2" Type="http://schemas.microsoft.com/office/2011/relationships/chartColorStyle" Target="colors19.xml"/><Relationship Id="rId1" Type="http://schemas.microsoft.com/office/2011/relationships/chartStyle" Target="style19.xml"/></Relationships>
</file>

<file path=word/charts/_rels/chart26.xml.rels><?xml version="1.0" encoding="UTF-8" standalone="yes"?>
<Relationships xmlns="http://schemas.openxmlformats.org/package/2006/relationships"><Relationship Id="rId3" Type="http://schemas.openxmlformats.org/officeDocument/2006/relationships/package" Target="../embeddings/Microsoft_Excel-munkalap15.xlsx"/><Relationship Id="rId2" Type="http://schemas.microsoft.com/office/2011/relationships/chartColorStyle" Target="colors20.xml"/><Relationship Id="rId1" Type="http://schemas.microsoft.com/office/2011/relationships/chartStyle" Target="style20.xml"/><Relationship Id="rId4" Type="http://schemas.openxmlformats.org/officeDocument/2006/relationships/chartUserShapes" Target="../drawings/drawing6.xml"/></Relationships>
</file>

<file path=word/charts/_rels/chart27.xml.rels><?xml version="1.0" encoding="UTF-8" standalone="yes"?>
<Relationships xmlns="http://schemas.openxmlformats.org/package/2006/relationships"><Relationship Id="rId3" Type="http://schemas.openxmlformats.org/officeDocument/2006/relationships/package" Target="../embeddings/Microsoft_Excel-munkalap16.xlsx"/><Relationship Id="rId2" Type="http://schemas.microsoft.com/office/2011/relationships/chartColorStyle" Target="colors21.xml"/><Relationship Id="rId1" Type="http://schemas.microsoft.com/office/2011/relationships/chartStyle" Target="style21.xml"/></Relationships>
</file>

<file path=word/charts/_rels/chart3.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Excel-munkalap1.xlsx"/></Relationships>
</file>

<file path=word/charts/_rels/chart4.xml.rels><?xml version="1.0" encoding="UTF-8" standalone="yes"?>
<Relationships xmlns="http://schemas.openxmlformats.org/package/2006/relationships"><Relationship Id="rId3" Type="http://schemas.openxmlformats.org/officeDocument/2006/relationships/oleObject" Target="file:///\\dc1\e\User\Kozgazdasagi\Kozos\Besz&#225;mol&#243;k\2022.%20&#233;v\2022.&#233;v\Uzleti_jelentes_2022_TABLAK_ABRAK.xlsx" TargetMode="External"/><Relationship Id="rId2" Type="http://schemas.microsoft.com/office/2011/relationships/chartColorStyle" Target="colors1.xml"/><Relationship Id="rId1" Type="http://schemas.microsoft.com/office/2011/relationships/chartStyle" Target="style1.xml"/></Relationships>
</file>

<file path=word/charts/_rels/chart5.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dc1\e\User\Kozgazdasagi\Kozos\Besz&#225;mol&#243;k\2022.%20&#233;v\2022.&#233;v\Dia\Grafikonok%20prezent&#225;ci&#243;hoz-jav-szv&#237;z%20grafikon%20&#246;sszesen.xlsx" TargetMode="External"/></Relationships>
</file>

<file path=word/charts/_rels/chart6.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dc1\e\User\Kozgazdasagi\Kozos\Besz&#225;mol&#243;k\2022.%20&#233;v\2022.&#233;v\Uzleti_jelentes_2022_TABLAK_ABRAK.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dc1\e\User\Kozgazdasagi\Kozos\Besz&#225;mol&#243;k\2022.%20&#233;v\2022.&#233;v\Uzleti_jelentes_2022_TABLAK_ABRAK.xlsx" TargetMode="Externa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munkalap2.xlsx"/><Relationship Id="rId2" Type="http://schemas.microsoft.com/office/2011/relationships/chartColorStyle" Target="colors2.xml"/><Relationship Id="rId1" Type="http://schemas.microsoft.com/office/2011/relationships/chartStyle" Target="style2.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munkalap3.xlsx"/><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b="1" i="0" u="none" strike="noStrike" baseline="0">
                <a:solidFill>
                  <a:srgbClr val="000000"/>
                </a:solidFill>
                <a:latin typeface="Arial CE"/>
                <a:ea typeface="Arial CE"/>
                <a:cs typeface="Arial CE"/>
              </a:defRPr>
            </a:pPr>
            <a:r>
              <a:rPr lang="hu-HU"/>
              <a:t>Önkormányzati</a:t>
            </a:r>
            <a:r>
              <a:rPr lang="hu-HU" baseline="0"/>
              <a:t> tulajdonú viziközmű vagyon,</a:t>
            </a:r>
          </a:p>
          <a:p>
            <a:pPr>
              <a:defRPr sz="1200" b="1" i="0" u="none" strike="noStrike" baseline="0">
                <a:solidFill>
                  <a:srgbClr val="000000"/>
                </a:solidFill>
                <a:latin typeface="Arial CE"/>
                <a:ea typeface="Arial CE"/>
                <a:cs typeface="Arial CE"/>
              </a:defRPr>
            </a:pPr>
            <a:r>
              <a:rPr lang="hu-HU" baseline="0"/>
              <a:t>üzemeltetett önkormányzati tulajdonú viziközmű vagyon,</a:t>
            </a:r>
          </a:p>
          <a:p>
            <a:pPr>
              <a:defRPr sz="1200" b="1" i="0" u="none" strike="noStrike" baseline="0">
                <a:solidFill>
                  <a:srgbClr val="000000"/>
                </a:solidFill>
                <a:latin typeface="Arial CE"/>
                <a:ea typeface="Arial CE"/>
                <a:cs typeface="Arial CE"/>
              </a:defRPr>
            </a:pPr>
            <a:r>
              <a:rPr lang="hu-HU" baseline="0"/>
              <a:t>zrt. tulajdonú viziközmű és működtető vagyon</a:t>
            </a:r>
          </a:p>
          <a:p>
            <a:pPr>
              <a:defRPr sz="1200" b="1" i="0" u="none" strike="noStrike" baseline="0">
                <a:solidFill>
                  <a:srgbClr val="000000"/>
                </a:solidFill>
                <a:latin typeface="Arial CE"/>
                <a:ea typeface="Arial CE"/>
                <a:cs typeface="Arial CE"/>
              </a:defRPr>
            </a:pPr>
            <a:r>
              <a:rPr lang="hu-HU" baseline="0"/>
              <a:t>megoszlása bruttó értékben</a:t>
            </a:r>
          </a:p>
          <a:p>
            <a:pPr>
              <a:defRPr sz="1200" b="1" i="0" u="none" strike="noStrike" baseline="0">
                <a:solidFill>
                  <a:srgbClr val="000000"/>
                </a:solidFill>
                <a:latin typeface="Arial CE"/>
                <a:ea typeface="Arial CE"/>
                <a:cs typeface="Arial CE"/>
              </a:defRPr>
            </a:pPr>
            <a:r>
              <a:rPr lang="hu-HU" baseline="0"/>
              <a:t>2022.december 31. </a:t>
            </a:r>
          </a:p>
        </c:rich>
      </c:tx>
      <c:layout>
        <c:manualLayout>
          <c:xMode val="edge"/>
          <c:yMode val="edge"/>
          <c:x val="0.14321007096335181"/>
          <c:y val="1.1461251554082055E-2"/>
        </c:manualLayout>
      </c:layout>
      <c:overlay val="0"/>
      <c:spPr>
        <a:noFill/>
        <a:ln w="25400">
          <a:noFill/>
        </a:ln>
      </c:spPr>
    </c:title>
    <c:autoTitleDeleted val="0"/>
    <c:plotArea>
      <c:layout>
        <c:manualLayout>
          <c:layoutTarget val="inner"/>
          <c:xMode val="edge"/>
          <c:yMode val="edge"/>
          <c:x val="0.35715743426808488"/>
          <c:y val="0.23950122396316623"/>
          <c:w val="0.33508829339414303"/>
          <c:h val="0.57185712343446427"/>
        </c:manualLayout>
      </c:layout>
      <c:pieChart>
        <c:varyColors val="1"/>
        <c:ser>
          <c:idx val="0"/>
          <c:order val="0"/>
          <c:tx>
            <c:strRef>
              <c:f>'Vagyon, Részvény'!$B$4</c:f>
              <c:strCache>
                <c:ptCount val="1"/>
                <c:pt idx="0">
                  <c:v>milliárd</c:v>
                </c:pt>
              </c:strCache>
            </c:strRef>
          </c:tx>
          <c:spPr>
            <a:solidFill>
              <a:srgbClr val="9999FF"/>
            </a:solidFill>
            <a:ln w="12700">
              <a:solidFill>
                <a:srgbClr val="000000"/>
              </a:solidFill>
              <a:prstDash val="solid"/>
            </a:ln>
          </c:spPr>
          <c:dPt>
            <c:idx val="0"/>
            <c:bubble3D val="0"/>
            <c:spPr>
              <a:solidFill>
                <a:srgbClr val="00CCFF"/>
              </a:solidFill>
              <a:ln w="12700">
                <a:solidFill>
                  <a:srgbClr val="000000"/>
                </a:solidFill>
                <a:prstDash val="solid"/>
              </a:ln>
            </c:spPr>
          </c:dPt>
          <c:dPt>
            <c:idx val="1"/>
            <c:bubble3D val="0"/>
            <c:spPr>
              <a:solidFill>
                <a:srgbClr val="CCFFCC"/>
              </a:solidFill>
              <a:ln w="12700">
                <a:solidFill>
                  <a:srgbClr val="000000"/>
                </a:solidFill>
                <a:prstDash val="solid"/>
              </a:ln>
            </c:spPr>
          </c:dPt>
          <c:dPt>
            <c:idx val="2"/>
            <c:bubble3D val="0"/>
            <c:spPr>
              <a:pattFill prst="sphere">
                <a:fgClr>
                  <a:srgbClr xmlns:mc="http://schemas.openxmlformats.org/markup-compatibility/2006" xmlns:a14="http://schemas.microsoft.com/office/drawing/2010/main" val="00CCFF" mc:Ignorable="a14" a14:legacySpreadsheetColorIndex="40"/>
                </a:fgClr>
                <a:bgClr>
                  <a:srgbClr xmlns:mc="http://schemas.openxmlformats.org/markup-compatibility/2006" xmlns:a14="http://schemas.microsoft.com/office/drawing/2010/main" val="CCFFFF" mc:Ignorable="a14" a14:legacySpreadsheetColorIndex="41"/>
                </a:bgClr>
              </a:pattFill>
              <a:ln w="12700">
                <a:solidFill>
                  <a:srgbClr val="000000"/>
                </a:solidFill>
                <a:prstDash val="solid"/>
              </a:ln>
            </c:spPr>
          </c:dPt>
          <c:dPt>
            <c:idx val="3"/>
            <c:bubble3D val="0"/>
            <c:spPr>
              <a:pattFill prst="sphere">
                <a:fgClr>
                  <a:srgbClr xmlns:mc="http://schemas.openxmlformats.org/markup-compatibility/2006" xmlns:a14="http://schemas.microsoft.com/office/drawing/2010/main" val="CCFFCC" mc:Ignorable="a14" a14:legacySpreadsheetColorIndex="42"/>
                </a:fgClr>
                <a:bgClr>
                  <a:srgbClr xmlns:mc="http://schemas.openxmlformats.org/markup-compatibility/2006" xmlns:a14="http://schemas.microsoft.com/office/drawing/2010/main" val="FFFFFF" mc:Ignorable="a14" a14:legacySpreadsheetColorIndex="9"/>
                </a:bgClr>
              </a:pattFill>
              <a:ln w="12700">
                <a:solidFill>
                  <a:srgbClr val="000000"/>
                </a:solidFill>
                <a:prstDash val="solid"/>
              </a:ln>
            </c:spPr>
          </c:dPt>
          <c:dLbls>
            <c:dLbl>
              <c:idx val="0"/>
              <c:layout>
                <c:manualLayout>
                  <c:x val="0.13198084449970068"/>
                  <c:y val="5.517879115928824E-2"/>
                </c:manualLayout>
              </c:layout>
              <c:tx>
                <c:rich>
                  <a:bodyPr/>
                  <a:lstStyle/>
                  <a:p>
                    <a:pPr>
                      <a:defRPr sz="900"/>
                    </a:pPr>
                    <a:fld id="{B7E28AA6-9727-4508-8665-637C010F1E97}" type="CELLRANGE">
                      <a:rPr lang="en-US" sz="900" baseline="0"/>
                      <a:pPr>
                        <a:defRPr sz="900"/>
                      </a:pPr>
                      <a:t>[CELLATARTOMÁNY]</a:t>
                    </a:fld>
                    <a:r>
                      <a:rPr lang="en-US" sz="900" baseline="0"/>
                      <a:t>; </a:t>
                    </a:r>
                    <a:fld id="{0150DE32-0F4E-4F30-BC1F-2C453232B438}" type="PERCENTAGE">
                      <a:rPr lang="en-US" sz="900" baseline="0"/>
                      <a:pPr>
                        <a:defRPr sz="900"/>
                      </a:pPr>
                      <a:t>[SZÁZALÉK]</a:t>
                    </a:fld>
                    <a:r>
                      <a:rPr lang="en-US" sz="900" baseline="0"/>
                      <a:t>, 25,9Mrd Ft</a:t>
                    </a:r>
                  </a:p>
                </c:rich>
              </c:tx>
              <c:spPr>
                <a:solidFill>
                  <a:sysClr val="window" lastClr="FFFFFF"/>
                </a:solidFill>
                <a:ln w="9525" cap="flat" cmpd="sng" algn="ctr">
                  <a:solidFill>
                    <a:sysClr val="windowText" lastClr="000000">
                      <a:lumMod val="65000"/>
                      <a:lumOff val="35000"/>
                    </a:sysClr>
                  </a:solidFill>
                  <a:prstDash val="solid"/>
                  <a:round/>
                  <a:headEnd type="none" w="med" len="med"/>
                  <a:tailEnd type="none" w="med" len="med"/>
                </a:ln>
                <a:effectLst/>
              </c:spPr>
              <c:showLegendKey val="0"/>
              <c:showVal val="0"/>
              <c:showCatName val="0"/>
              <c:showSerName val="0"/>
              <c:showPercent val="1"/>
              <c:showBubbleSize val="0"/>
              <c:extLst>
                <c:ext xmlns:c15="http://schemas.microsoft.com/office/drawing/2012/chart" uri="{CE6537A1-D6FC-4f65-9D91-7224C49458BB}">
                  <c15:spPr xmlns:c15="http://schemas.microsoft.com/office/drawing/2012/chart">
                    <a:prstGeom prst="borderCallout1">
                      <a:avLst>
                        <a:gd name="adj1" fmla="val 18750"/>
                        <a:gd name="adj2" fmla="val 857"/>
                        <a:gd name="adj3" fmla="val 123322"/>
                        <a:gd name="adj4" fmla="val -94641"/>
                      </a:avLst>
                    </a:prstGeom>
                  </c15:spPr>
                  <c15:layout>
                    <c:manualLayout>
                      <c:w val="0.18367251461988304"/>
                      <c:h val="0.18807623879229857"/>
                    </c:manualLayout>
                  </c15:layout>
                  <c15:dlblFieldTable/>
                  <c15:showDataLabelsRange val="1"/>
                </c:ext>
              </c:extLst>
            </c:dLbl>
            <c:dLbl>
              <c:idx val="1"/>
              <c:layout>
                <c:manualLayout>
                  <c:x val="0.40236600859675148"/>
                  <c:y val="1.4435695538057743E-3"/>
                </c:manualLayout>
              </c:layout>
              <c:tx>
                <c:rich>
                  <a:bodyPr/>
                  <a:lstStyle/>
                  <a:p>
                    <a:pPr>
                      <a:defRPr/>
                    </a:pPr>
                    <a:fld id="{7BFDC3C8-234F-4A77-AF4F-A5307CAB95F9}" type="CELLRANGE">
                      <a:rPr lang="en-US" sz="900" baseline="0"/>
                      <a:pPr>
                        <a:defRPr/>
                      </a:pPr>
                      <a:t>[CELLATARTOMÁNY]</a:t>
                    </a:fld>
                    <a:r>
                      <a:rPr lang="en-US" sz="900" baseline="0"/>
                      <a:t>; </a:t>
                    </a:r>
                    <a:fld id="{A7B4F2B3-1F90-4EF7-A954-EC298B172385}" type="PERCENTAGE">
                      <a:rPr lang="en-US" sz="900" baseline="0"/>
                      <a:pPr>
                        <a:defRPr/>
                      </a:pPr>
                      <a:t>[SZÁZALÉK]</a:t>
                    </a:fld>
                    <a:r>
                      <a:rPr lang="en-US" sz="900" baseline="0"/>
                      <a:t>, 66,0Mrd Ft</a:t>
                    </a:r>
                  </a:p>
                </c:rich>
              </c:tx>
              <c:spPr>
                <a:solidFill>
                  <a:sysClr val="window" lastClr="FFFFFF"/>
                </a:solidFill>
                <a:ln w="9525" cap="flat" cmpd="sng" algn="ctr">
                  <a:solidFill>
                    <a:sysClr val="windowText" lastClr="000000">
                      <a:lumMod val="65000"/>
                      <a:lumOff val="35000"/>
                    </a:sysClr>
                  </a:solidFill>
                  <a:prstDash val="solid"/>
                  <a:round/>
                  <a:headEnd type="none" w="med" len="med"/>
                  <a:tailEnd type="none" w="med" len="med"/>
                </a:ln>
                <a:effectLst/>
              </c:spPr>
              <c:showLegendKey val="0"/>
              <c:showVal val="0"/>
              <c:showCatName val="0"/>
              <c:showSerName val="0"/>
              <c:showPercent val="1"/>
              <c:showBubbleSize val="0"/>
              <c:extLst>
                <c:ext xmlns:c15="http://schemas.microsoft.com/office/drawing/2012/chart" uri="{CE6537A1-D6FC-4f65-9D91-7224C49458BB}">
                  <c15:spPr xmlns:c15="http://schemas.microsoft.com/office/drawing/2012/chart">
                    <a:prstGeom prst="borderCallout1">
                      <a:avLst>
                        <a:gd name="adj1" fmla="val 29768"/>
                        <a:gd name="adj2" fmla="val 360"/>
                        <a:gd name="adj3" fmla="val -22435"/>
                        <a:gd name="adj4" fmla="val -29444"/>
                      </a:avLst>
                    </a:prstGeom>
                  </c15:spPr>
                  <c15:layout>
                    <c:manualLayout>
                      <c:w val="0.22929815352028365"/>
                      <c:h val="0.15279478954019635"/>
                    </c:manualLayout>
                  </c15:layout>
                  <c15:dlblFieldTable/>
                  <c15:showDataLabelsRange val="1"/>
                </c:ext>
              </c:extLst>
            </c:dLbl>
            <c:dLbl>
              <c:idx val="2"/>
              <c:layout>
                <c:manualLayout>
                  <c:x val="-0.15409808073507719"/>
                  <c:y val="0.48883864287606238"/>
                </c:manualLayout>
              </c:layout>
              <c:tx>
                <c:rich>
                  <a:bodyPr/>
                  <a:lstStyle/>
                  <a:p>
                    <a:pPr>
                      <a:defRPr sz="900"/>
                    </a:pPr>
                    <a:fld id="{61641DA8-C070-49CA-BC9D-9F0608CEA8FE}" type="CELLRANGE">
                      <a:rPr lang="en-US" sz="900" baseline="0"/>
                      <a:pPr>
                        <a:defRPr sz="900"/>
                      </a:pPr>
                      <a:t>[CELLATARTOMÁNY]</a:t>
                    </a:fld>
                    <a:r>
                      <a:rPr lang="en-US" sz="900" baseline="0"/>
                      <a:t>; </a:t>
                    </a:r>
                    <a:fld id="{FACFB8ED-864D-413A-9E4E-2C0DF2E8251D}" type="PERCENTAGE">
                      <a:rPr lang="en-US" sz="900" baseline="0"/>
                      <a:pPr>
                        <a:defRPr sz="900"/>
                      </a:pPr>
                      <a:t>[SZÁZALÉK]</a:t>
                    </a:fld>
                    <a:r>
                      <a:rPr lang="en-US" sz="900" baseline="0"/>
                      <a:t>, 1,0Mrd Ft</a:t>
                    </a:r>
                  </a:p>
                </c:rich>
              </c:tx>
              <c:spPr>
                <a:xfrm>
                  <a:off x="528144" y="1989596"/>
                  <a:ext cx="1123731" cy="734001"/>
                </a:xfrm>
                <a:solidFill>
                  <a:sysClr val="window" lastClr="FFFFFF"/>
                </a:solidFill>
                <a:ln w="9525" cap="flat" cmpd="sng" algn="ctr">
                  <a:solidFill>
                    <a:sysClr val="windowText" lastClr="000000">
                      <a:lumMod val="65000"/>
                      <a:lumOff val="35000"/>
                    </a:sysClr>
                  </a:solidFill>
                  <a:prstDash val="solid"/>
                  <a:round/>
                  <a:headEnd type="none" w="med" len="med"/>
                  <a:tailEnd type="none" w="med" len="med"/>
                </a:ln>
                <a:effectLst/>
              </c:spPr>
              <c:showLegendKey val="0"/>
              <c:showVal val="0"/>
              <c:showCatName val="0"/>
              <c:showSerName val="0"/>
              <c:showPercent val="1"/>
              <c:showBubbleSize val="0"/>
              <c:extLst>
                <c:ext xmlns:c15="http://schemas.microsoft.com/office/drawing/2012/chart" uri="{CE6537A1-D6FC-4f65-9D91-7224C49458BB}">
                  <c15:spPr xmlns:c15="http://schemas.microsoft.com/office/drawing/2012/chart">
                    <a:prstGeom prst="borderCallout1">
                      <a:avLst>
                        <a:gd name="adj1" fmla="val -3320"/>
                        <a:gd name="adj2" fmla="val 77314"/>
                        <a:gd name="adj3" fmla="val -116749"/>
                        <a:gd name="adj4" fmla="val 180972"/>
                      </a:avLst>
                    </a:prstGeom>
                  </c15:spPr>
                  <c15:layout>
                    <c:manualLayout>
                      <c:w val="0.20594152046783626"/>
                      <c:h val="0.20648593422466488"/>
                    </c:manualLayout>
                  </c15:layout>
                  <c15:dlblFieldTable/>
                  <c15:showDataLabelsRange val="1"/>
                </c:ext>
              </c:extLst>
            </c:dLbl>
            <c:dLbl>
              <c:idx val="3"/>
              <c:layout>
                <c:manualLayout>
                  <c:x val="-0.24132448721687566"/>
                  <c:y val="0.19106064373532256"/>
                </c:manualLayout>
              </c:layout>
              <c:tx>
                <c:rich>
                  <a:bodyPr/>
                  <a:lstStyle/>
                  <a:p>
                    <a:pPr>
                      <a:defRPr sz="900"/>
                    </a:pPr>
                    <a:fld id="{C3F1D208-47D7-433A-9932-6637B4BC7574}" type="CELLRANGE">
                      <a:rPr lang="hu-HU" sz="900" baseline="0"/>
                      <a:pPr>
                        <a:defRPr sz="900"/>
                      </a:pPr>
                      <a:t>[CELLATARTOMÁNY]</a:t>
                    </a:fld>
                    <a:r>
                      <a:rPr lang="hu-HU" sz="900" baseline="0"/>
                      <a:t>; </a:t>
                    </a:r>
                    <a:fld id="{A7F68C69-AAF7-4A68-9D61-D2986711A742}" type="PERCENTAGE">
                      <a:rPr lang="hu-HU" sz="900" baseline="0"/>
                      <a:pPr>
                        <a:defRPr sz="900"/>
                      </a:pPr>
                      <a:t>[SZÁZALÉK]</a:t>
                    </a:fld>
                    <a:r>
                      <a:rPr lang="hu-HU" sz="900" baseline="0"/>
                      <a:t>, 5,5Mrd Ft</a:t>
                    </a:r>
                  </a:p>
                </c:rich>
              </c:tx>
              <c:spPr>
                <a:xfrm>
                  <a:off x="465152" y="989020"/>
                  <a:ext cx="1183849" cy="621747"/>
                </a:xfrm>
                <a:solidFill>
                  <a:sysClr val="window" lastClr="FFFFFF"/>
                </a:solidFill>
                <a:ln w="9525" cap="flat" cmpd="sng" algn="ctr">
                  <a:solidFill>
                    <a:sysClr val="windowText" lastClr="000000">
                      <a:lumMod val="65000"/>
                      <a:lumOff val="35000"/>
                    </a:sysClr>
                  </a:solidFill>
                  <a:prstDash val="solid"/>
                  <a:round/>
                  <a:headEnd type="none" w="med" len="med"/>
                  <a:tailEnd type="none" w="med" len="med"/>
                </a:ln>
                <a:effectLst/>
              </c:spPr>
              <c:showLegendKey val="0"/>
              <c:showVal val="0"/>
              <c:showCatName val="0"/>
              <c:showSerName val="0"/>
              <c:showPercent val="1"/>
              <c:showBubbleSize val="0"/>
              <c:extLst>
                <c:ext xmlns:c15="http://schemas.microsoft.com/office/drawing/2012/chart" uri="{CE6537A1-D6FC-4f65-9D91-7224C49458BB}">
                  <c15:spPr xmlns:c15="http://schemas.microsoft.com/office/drawing/2012/chart">
                    <a:prstGeom prst="borderCallout1">
                      <a:avLst>
                        <a:gd name="adj1" fmla="val 62228"/>
                        <a:gd name="adj2" fmla="val 101032"/>
                        <a:gd name="adj3" fmla="val 54165"/>
                        <a:gd name="adj4" fmla="val 193830"/>
                      </a:avLst>
                    </a:prstGeom>
                  </c15:spPr>
                  <c15:layout>
                    <c:manualLayout>
                      <c:w val="0.21695906432748538"/>
                      <c:h val="0.17490707600943819"/>
                    </c:manualLayout>
                  </c15:layout>
                  <c15:dlblFieldTable/>
                  <c15:showDataLabelsRange val="1"/>
                </c:ext>
              </c:extLst>
            </c:dLbl>
            <c:spPr>
              <a:solidFill>
                <a:sysClr val="window" lastClr="FFFFFF"/>
              </a:solidFill>
              <a:ln>
                <a:solidFill>
                  <a:sysClr val="windowText" lastClr="000000">
                    <a:lumMod val="65000"/>
                    <a:lumOff val="35000"/>
                  </a:sysClr>
                </a:solidFill>
              </a:ln>
              <a:effectLst/>
            </c:spPr>
            <c:showLegendKey val="0"/>
            <c:showVal val="0"/>
            <c:showCatName val="0"/>
            <c:showSerName val="0"/>
            <c:showPercent val="1"/>
            <c:showBubbleSize val="0"/>
            <c:showLeaderLines val="0"/>
            <c:extLst>
              <c:ext xmlns:c15="http://schemas.microsoft.com/office/drawing/2012/chart" uri="{CE6537A1-D6FC-4f65-9D91-7224C49458BB}">
                <c15:spPr xmlns:c15="http://schemas.microsoft.com/office/drawing/2012/chart">
                  <a:prstGeom prst="borderCallout1">
                    <a:avLst/>
                  </a:prstGeom>
                </c15:spPr>
                <c15:showDataLabelsRange val="1"/>
              </c:ext>
            </c:extLst>
          </c:dLbls>
          <c:cat>
            <c:strRef>
              <c:f>'Vagyon, Részvény'!$A$5:$A$8</c:f>
              <c:strCache>
                <c:ptCount val="4"/>
                <c:pt idx="0">
                  <c:v>önkormányzati tulajdonú ivóvíz</c:v>
                </c:pt>
                <c:pt idx="1">
                  <c:v>önkormányzati tulajdonú szennyvíz</c:v>
                </c:pt>
                <c:pt idx="2">
                  <c:v>ZRt. tulajdonú rendszerfüggetlen eszközök</c:v>
                </c:pt>
                <c:pt idx="3">
                  <c:v>ZRt. tulajdonú működtető eszközök</c:v>
                </c:pt>
              </c:strCache>
            </c:strRef>
          </c:cat>
          <c:val>
            <c:numRef>
              <c:f>'Vagyon, Részvény'!$B$5:$B$8</c:f>
              <c:numCache>
                <c:formatCode>0.0</c:formatCode>
                <c:ptCount val="4"/>
                <c:pt idx="0">
                  <c:v>25.9</c:v>
                </c:pt>
                <c:pt idx="1">
                  <c:v>66</c:v>
                </c:pt>
                <c:pt idx="2">
                  <c:v>1</c:v>
                </c:pt>
                <c:pt idx="3">
                  <c:v>5.5</c:v>
                </c:pt>
              </c:numCache>
            </c:numRef>
          </c:val>
          <c:extLst>
            <c:ext xmlns:c15="http://schemas.microsoft.com/office/drawing/2012/chart" uri="{02D57815-91ED-43cb-92C2-25804820EDAC}">
              <c15:datalabelsRange>
                <c15:f>'Vagyon, Részvény'!$A$5:$A$8</c15:f>
                <c15:dlblRangeCache>
                  <c:ptCount val="4"/>
                  <c:pt idx="0">
                    <c:v>önkormányzati tulajdonú ivóvíz</c:v>
                  </c:pt>
                  <c:pt idx="1">
                    <c:v>önkormányzati tulajdonú szennyvíz</c:v>
                  </c:pt>
                  <c:pt idx="2">
                    <c:v>ZRt. tulajdonú rendszerfüggetlen eszközök</c:v>
                  </c:pt>
                  <c:pt idx="3">
                    <c:v>ZRt. tulajdonú működtető eszközök</c:v>
                  </c:pt>
                </c15:dlblRangeCache>
              </c15:datalabelsRange>
            </c:ext>
          </c:extLst>
        </c:ser>
        <c:dLbls>
          <c:showLegendKey val="0"/>
          <c:showVal val="0"/>
          <c:showCatName val="0"/>
          <c:showSerName val="0"/>
          <c:showPercent val="0"/>
          <c:showBubbleSize val="0"/>
          <c:showLeaderLines val="0"/>
        </c:dLbls>
        <c:firstSliceAng val="0"/>
      </c:pieChart>
      <c:spPr>
        <a:noFill/>
        <a:ln w="25400">
          <a:noFill/>
        </a:ln>
      </c:spPr>
    </c:plotArea>
    <c:plotVisOnly val="1"/>
    <c:dispBlanksAs val="zero"/>
    <c:showDLblsOverMax val="0"/>
  </c:chart>
  <c:spPr>
    <a:noFill/>
    <a:ln w="3175">
      <a:solidFill>
        <a:srgbClr val="000000"/>
      </a:solidFill>
      <a:prstDash val="solid"/>
    </a:ln>
  </c:spPr>
  <c:txPr>
    <a:bodyPr/>
    <a:lstStyle/>
    <a:p>
      <a:pPr>
        <a:defRPr sz="1175" b="0" i="0" u="none" strike="noStrike" baseline="0">
          <a:solidFill>
            <a:srgbClr val="000000"/>
          </a:solidFill>
          <a:latin typeface="Arial CE"/>
          <a:ea typeface="Arial CE"/>
          <a:cs typeface="Arial CE"/>
        </a:defRPr>
      </a:pPr>
      <a:endParaRPr lang="hu-HU"/>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cap="none" spc="120" normalizeH="0" baseline="0">
                <a:solidFill>
                  <a:schemeClr val="tx1">
                    <a:lumMod val="65000"/>
                    <a:lumOff val="35000"/>
                  </a:schemeClr>
                </a:solidFill>
                <a:latin typeface="+mn-lt"/>
                <a:ea typeface="+mn-ea"/>
                <a:cs typeface="+mn-cs"/>
              </a:defRPr>
            </a:pPr>
            <a:r>
              <a:rPr lang="en-US" sz="1200" cap="none" baseline="0"/>
              <a:t>Építőipari tevékenység árbevétele (eFt)</a:t>
            </a:r>
          </a:p>
        </c:rich>
      </c:tx>
      <c:layout/>
      <c:overlay val="0"/>
      <c:spPr>
        <a:noFill/>
        <a:ln>
          <a:noFill/>
        </a:ln>
        <a:effectLst/>
      </c:spPr>
      <c:txPr>
        <a:bodyPr rot="0" spcFirstLastPara="1" vertOverflow="ellipsis" vert="horz" wrap="square" anchor="ctr" anchorCtr="1"/>
        <a:lstStyle/>
        <a:p>
          <a:pPr>
            <a:defRPr sz="1200" b="1" i="0" u="none" strike="noStrike" kern="1200" cap="none" spc="120" normalizeH="0" baseline="0">
              <a:solidFill>
                <a:schemeClr val="tx1">
                  <a:lumMod val="65000"/>
                  <a:lumOff val="35000"/>
                </a:schemeClr>
              </a:solidFill>
              <a:latin typeface="+mn-lt"/>
              <a:ea typeface="+mn-ea"/>
              <a:cs typeface="+mn-cs"/>
            </a:defRPr>
          </a:pPr>
          <a:endParaRPr lang="hu-HU"/>
        </a:p>
      </c:txPr>
    </c:title>
    <c:autoTitleDeleted val="0"/>
    <c:plotArea>
      <c:layout/>
      <c:barChart>
        <c:barDir val="col"/>
        <c:grouping val="clustered"/>
        <c:varyColors val="0"/>
        <c:ser>
          <c:idx val="0"/>
          <c:order val="0"/>
          <c:tx>
            <c:strRef>
              <c:f>Építés!$B$1:$B$2</c:f>
              <c:strCache>
                <c:ptCount val="2"/>
                <c:pt idx="0">
                  <c:v>2022. évi
terv</c:v>
                </c:pt>
              </c:strCache>
            </c:strRef>
          </c:tx>
          <c:spPr>
            <a:solidFill>
              <a:schemeClr val="accent1"/>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hu-H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Építés!$A$3:$A$7</c:f>
              <c:strCache>
                <c:ptCount val="5"/>
                <c:pt idx="0">
                  <c:v>Önkorm. víziközművek ép.-szer. munkái</c:v>
                </c:pt>
                <c:pt idx="1">
                  <c:v>ebből: ivóvíz használati díj terhére</c:v>
                </c:pt>
                <c:pt idx="2">
                  <c:v>         szennyvíz használati díj terhére</c:v>
                </c:pt>
                <c:pt idx="3">
                  <c:v>Egyéb megrendelésre végzett tevékenység</c:v>
                </c:pt>
                <c:pt idx="4">
                  <c:v>Összesen</c:v>
                </c:pt>
              </c:strCache>
            </c:strRef>
          </c:cat>
          <c:val>
            <c:numRef>
              <c:f>Építés!$B$3:$B$7</c:f>
              <c:numCache>
                <c:formatCode>#,##0</c:formatCode>
                <c:ptCount val="5"/>
                <c:pt idx="0">
                  <c:v>819681</c:v>
                </c:pt>
                <c:pt idx="1">
                  <c:v>152606</c:v>
                </c:pt>
                <c:pt idx="2">
                  <c:v>667075</c:v>
                </c:pt>
                <c:pt idx="3">
                  <c:v>243630</c:v>
                </c:pt>
                <c:pt idx="4">
                  <c:v>1063311</c:v>
                </c:pt>
              </c:numCache>
            </c:numRef>
          </c:val>
        </c:ser>
        <c:ser>
          <c:idx val="1"/>
          <c:order val="1"/>
          <c:tx>
            <c:strRef>
              <c:f>Építés!$C$1:$C$2</c:f>
              <c:strCache>
                <c:ptCount val="2"/>
                <c:pt idx="0">
                  <c:v>2022.tény</c:v>
                </c:pt>
                <c:pt idx="1">
                  <c:v>Lekötött összeg
(leszámlázott összeggel)</c:v>
                </c:pt>
              </c:strCache>
            </c:strRef>
          </c:tx>
          <c:spPr>
            <a:solidFill>
              <a:schemeClr val="accent2"/>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hu-H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Építés!$A$3:$A$7</c:f>
              <c:strCache>
                <c:ptCount val="5"/>
                <c:pt idx="0">
                  <c:v>Önkorm. víziközművek ép.-szer. munkái</c:v>
                </c:pt>
                <c:pt idx="1">
                  <c:v>ebből: ivóvíz használati díj terhére</c:v>
                </c:pt>
                <c:pt idx="2">
                  <c:v>         szennyvíz használati díj terhére</c:v>
                </c:pt>
                <c:pt idx="3">
                  <c:v>Egyéb megrendelésre végzett tevékenység</c:v>
                </c:pt>
                <c:pt idx="4">
                  <c:v>Összesen</c:v>
                </c:pt>
              </c:strCache>
            </c:strRef>
          </c:cat>
          <c:val>
            <c:numRef>
              <c:f>Építés!$C$3:$C$7</c:f>
              <c:numCache>
                <c:formatCode>#,##0</c:formatCode>
                <c:ptCount val="5"/>
                <c:pt idx="0">
                  <c:v>803086</c:v>
                </c:pt>
                <c:pt idx="1">
                  <c:v>161049</c:v>
                </c:pt>
                <c:pt idx="2">
                  <c:v>642036</c:v>
                </c:pt>
                <c:pt idx="3">
                  <c:v>380020</c:v>
                </c:pt>
                <c:pt idx="4">
                  <c:v>1183105</c:v>
                </c:pt>
              </c:numCache>
            </c:numRef>
          </c:val>
        </c:ser>
        <c:ser>
          <c:idx val="2"/>
          <c:order val="2"/>
          <c:tx>
            <c:strRef>
              <c:f>Építés!$D$1:$D$2</c:f>
              <c:strCache>
                <c:ptCount val="2"/>
                <c:pt idx="0">
                  <c:v>2022.tény</c:v>
                </c:pt>
                <c:pt idx="1">
                  <c:v>Leszámlázott összeg</c:v>
                </c:pt>
              </c:strCache>
            </c:strRef>
          </c:tx>
          <c:spPr>
            <a:solidFill>
              <a:schemeClr val="accent3"/>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hu-H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Építés!$A$3:$A$7</c:f>
              <c:strCache>
                <c:ptCount val="5"/>
                <c:pt idx="0">
                  <c:v>Önkorm. víziközművek ép.-szer. munkái</c:v>
                </c:pt>
                <c:pt idx="1">
                  <c:v>ebből: ivóvíz használati díj terhére</c:v>
                </c:pt>
                <c:pt idx="2">
                  <c:v>         szennyvíz használati díj terhére</c:v>
                </c:pt>
                <c:pt idx="3">
                  <c:v>Egyéb megrendelésre végzett tevékenység</c:v>
                </c:pt>
                <c:pt idx="4">
                  <c:v>Összesen</c:v>
                </c:pt>
              </c:strCache>
            </c:strRef>
          </c:cat>
          <c:val>
            <c:numRef>
              <c:f>Építés!$D$3:$D$7</c:f>
              <c:numCache>
                <c:formatCode>#,##0</c:formatCode>
                <c:ptCount val="5"/>
                <c:pt idx="0">
                  <c:v>476506</c:v>
                </c:pt>
                <c:pt idx="1">
                  <c:v>143140</c:v>
                </c:pt>
                <c:pt idx="2">
                  <c:v>333366</c:v>
                </c:pt>
                <c:pt idx="3">
                  <c:v>379518</c:v>
                </c:pt>
                <c:pt idx="4">
                  <c:v>856024</c:v>
                </c:pt>
              </c:numCache>
            </c:numRef>
          </c:val>
        </c:ser>
        <c:dLbls>
          <c:dLblPos val="outEnd"/>
          <c:showLegendKey val="0"/>
          <c:showVal val="1"/>
          <c:showCatName val="0"/>
          <c:showSerName val="0"/>
          <c:showPercent val="0"/>
          <c:showBubbleSize val="0"/>
        </c:dLbls>
        <c:gapWidth val="444"/>
        <c:overlap val="-90"/>
        <c:axId val="434917032"/>
        <c:axId val="434918208"/>
      </c:barChart>
      <c:catAx>
        <c:axId val="43491703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cap="none" spc="120" normalizeH="0" baseline="0">
                <a:solidFill>
                  <a:schemeClr val="tx1">
                    <a:lumMod val="65000"/>
                    <a:lumOff val="35000"/>
                  </a:schemeClr>
                </a:solidFill>
                <a:latin typeface="+mn-lt"/>
                <a:ea typeface="+mn-ea"/>
                <a:cs typeface="+mn-cs"/>
              </a:defRPr>
            </a:pPr>
            <a:endParaRPr lang="hu-HU"/>
          </a:p>
        </c:txPr>
        <c:crossAx val="434918208"/>
        <c:crosses val="autoZero"/>
        <c:auto val="1"/>
        <c:lblAlgn val="ctr"/>
        <c:lblOffset val="100"/>
        <c:noMultiLvlLbl val="0"/>
      </c:catAx>
      <c:valAx>
        <c:axId val="434918208"/>
        <c:scaling>
          <c:orientation val="minMax"/>
        </c:scaling>
        <c:delete val="1"/>
        <c:axPos val="l"/>
        <c:numFmt formatCode="#,##0" sourceLinked="1"/>
        <c:majorTickMark val="none"/>
        <c:minorTickMark val="none"/>
        <c:tickLblPos val="nextTo"/>
        <c:crossAx val="434917032"/>
        <c:crosses val="autoZero"/>
        <c:crossBetween val="between"/>
      </c:valAx>
      <c:spPr>
        <a:noFill/>
        <a:ln>
          <a:noFill/>
        </a:ln>
        <a:effectLst/>
      </c:spPr>
    </c:plotArea>
    <c:legend>
      <c:legendPos val="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hu-HU"/>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hu-HU" sz="1000" b="1"/>
              <a:t>Alaptevékenységhez kapcsolódó egyéb tevékenység (eFt)</a:t>
            </a:r>
          </a:p>
        </c:rich>
      </c:tx>
      <c:layout/>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hu-HU"/>
        </a:p>
      </c:txPr>
    </c:title>
    <c:autoTitleDeleted val="0"/>
    <c:plotArea>
      <c:layout/>
      <c:barChart>
        <c:barDir val="bar"/>
        <c:grouping val="clustered"/>
        <c:varyColors val="0"/>
        <c:ser>
          <c:idx val="0"/>
          <c:order val="0"/>
          <c:tx>
            <c:strRef>
              <c:f>'Bevétel részletes'!$C$74</c:f>
              <c:strCache>
                <c:ptCount val="1"/>
                <c:pt idx="0">
                  <c:v>2021.tény</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mn-lt"/>
                    <a:ea typeface="+mn-ea"/>
                    <a:cs typeface="+mn-cs"/>
                  </a:defRPr>
                </a:pPr>
                <a:endParaRPr lang="hu-H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'Bevétel részletes'!$B$75:$B$83</c:f>
              <c:strCache>
                <c:ptCount val="9"/>
                <c:pt idx="1">
                  <c:v>Értékesített komposzt árbevétele</c:v>
                </c:pt>
                <c:pt idx="2">
                  <c:v>Megr. végzett csatorna mosatás, dug. elh.árbevétele</c:v>
                </c:pt>
                <c:pt idx="3">
                  <c:v>Megr. végzett csatorna kamerázás árbevétele</c:v>
                </c:pt>
                <c:pt idx="4">
                  <c:v>Szippantott szennyvizek fogadása</c:v>
                </c:pt>
                <c:pt idx="5">
                  <c:v>Megr. végzett egyéb szennyvíz szolg. árbev.</c:v>
                </c:pt>
                <c:pt idx="6">
                  <c:v>Megr. végzett ipari szolg. árbev.</c:v>
                </c:pt>
                <c:pt idx="7">
                  <c:v>Megr. végzett labor vizsgálat árbevétele</c:v>
                </c:pt>
                <c:pt idx="8">
                  <c:v>Megr. végzett alaptev. kapcsolatos egyéb szolg.</c:v>
                </c:pt>
              </c:strCache>
            </c:strRef>
          </c:cat>
          <c:val>
            <c:numRef>
              <c:f>'Bevétel részletes'!$C$75:$C$83</c:f>
              <c:numCache>
                <c:formatCode>#,##0</c:formatCode>
                <c:ptCount val="9"/>
                <c:pt idx="1">
                  <c:v>718</c:v>
                </c:pt>
                <c:pt idx="2">
                  <c:v>9614</c:v>
                </c:pt>
                <c:pt idx="3">
                  <c:v>3042</c:v>
                </c:pt>
                <c:pt idx="4">
                  <c:v>24276</c:v>
                </c:pt>
                <c:pt idx="5">
                  <c:v>8398</c:v>
                </c:pt>
                <c:pt idx="6">
                  <c:v>732</c:v>
                </c:pt>
                <c:pt idx="7">
                  <c:v>48318</c:v>
                </c:pt>
                <c:pt idx="8">
                  <c:v>817</c:v>
                </c:pt>
              </c:numCache>
            </c:numRef>
          </c:val>
        </c:ser>
        <c:ser>
          <c:idx val="1"/>
          <c:order val="1"/>
          <c:tx>
            <c:strRef>
              <c:f>'Bevétel részletes'!$D$74</c:f>
              <c:strCache>
                <c:ptCount val="1"/>
                <c:pt idx="0">
                  <c:v>2022. év
terv</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mn-lt"/>
                    <a:ea typeface="+mn-ea"/>
                    <a:cs typeface="+mn-cs"/>
                  </a:defRPr>
                </a:pPr>
                <a:endParaRPr lang="hu-H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'Bevétel részletes'!$B$75:$B$83</c:f>
              <c:strCache>
                <c:ptCount val="9"/>
                <c:pt idx="1">
                  <c:v>Értékesített komposzt árbevétele</c:v>
                </c:pt>
                <c:pt idx="2">
                  <c:v>Megr. végzett csatorna mosatás, dug. elh.árbevétele</c:v>
                </c:pt>
                <c:pt idx="3">
                  <c:v>Megr. végzett csatorna kamerázás árbevétele</c:v>
                </c:pt>
                <c:pt idx="4">
                  <c:v>Szippantott szennyvizek fogadása</c:v>
                </c:pt>
                <c:pt idx="5">
                  <c:v>Megr. végzett egyéb szennyvíz szolg. árbev.</c:v>
                </c:pt>
                <c:pt idx="6">
                  <c:v>Megr. végzett ipari szolg. árbev.</c:v>
                </c:pt>
                <c:pt idx="7">
                  <c:v>Megr. végzett labor vizsgálat árbevétele</c:v>
                </c:pt>
                <c:pt idx="8">
                  <c:v>Megr. végzett alaptev. kapcsolatos egyéb szolg.</c:v>
                </c:pt>
              </c:strCache>
            </c:strRef>
          </c:cat>
          <c:val>
            <c:numRef>
              <c:f>'Bevétel részletes'!$D$75:$D$83</c:f>
              <c:numCache>
                <c:formatCode>#,##0</c:formatCode>
                <c:ptCount val="9"/>
                <c:pt idx="1">
                  <c:v>300</c:v>
                </c:pt>
                <c:pt idx="2">
                  <c:v>8000</c:v>
                </c:pt>
                <c:pt idx="3">
                  <c:v>3000</c:v>
                </c:pt>
                <c:pt idx="4">
                  <c:v>19839</c:v>
                </c:pt>
                <c:pt idx="5">
                  <c:v>22400</c:v>
                </c:pt>
                <c:pt idx="6">
                  <c:v>750</c:v>
                </c:pt>
                <c:pt idx="7">
                  <c:v>39000</c:v>
                </c:pt>
                <c:pt idx="8">
                  <c:v>650</c:v>
                </c:pt>
              </c:numCache>
            </c:numRef>
          </c:val>
        </c:ser>
        <c:ser>
          <c:idx val="2"/>
          <c:order val="2"/>
          <c:tx>
            <c:strRef>
              <c:f>'Bevétel részletes'!$E$74</c:f>
              <c:strCache>
                <c:ptCount val="1"/>
                <c:pt idx="0">
                  <c:v>2022. 
tény</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mn-lt"/>
                    <a:ea typeface="+mn-ea"/>
                    <a:cs typeface="+mn-cs"/>
                  </a:defRPr>
                </a:pPr>
                <a:endParaRPr lang="hu-H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'Bevétel részletes'!$B$75:$B$83</c:f>
              <c:strCache>
                <c:ptCount val="9"/>
                <c:pt idx="1">
                  <c:v>Értékesített komposzt árbevétele</c:v>
                </c:pt>
                <c:pt idx="2">
                  <c:v>Megr. végzett csatorna mosatás, dug. elh.árbevétele</c:v>
                </c:pt>
                <c:pt idx="3">
                  <c:v>Megr. végzett csatorna kamerázás árbevétele</c:v>
                </c:pt>
                <c:pt idx="4">
                  <c:v>Szippantott szennyvizek fogadása</c:v>
                </c:pt>
                <c:pt idx="5">
                  <c:v>Megr. végzett egyéb szennyvíz szolg. árbev.</c:v>
                </c:pt>
                <c:pt idx="6">
                  <c:v>Megr. végzett ipari szolg. árbev.</c:v>
                </c:pt>
                <c:pt idx="7">
                  <c:v>Megr. végzett labor vizsgálat árbevétele</c:v>
                </c:pt>
                <c:pt idx="8">
                  <c:v>Megr. végzett alaptev. kapcsolatos egyéb szolg.</c:v>
                </c:pt>
              </c:strCache>
            </c:strRef>
          </c:cat>
          <c:val>
            <c:numRef>
              <c:f>'Bevétel részletes'!$E$75:$E$83</c:f>
              <c:numCache>
                <c:formatCode>#,##0</c:formatCode>
                <c:ptCount val="9"/>
                <c:pt idx="1">
                  <c:v>948</c:v>
                </c:pt>
                <c:pt idx="2">
                  <c:v>15593</c:v>
                </c:pt>
                <c:pt idx="3">
                  <c:v>4446</c:v>
                </c:pt>
                <c:pt idx="4">
                  <c:v>19094</c:v>
                </c:pt>
                <c:pt idx="5">
                  <c:v>10908</c:v>
                </c:pt>
                <c:pt idx="6">
                  <c:v>109</c:v>
                </c:pt>
                <c:pt idx="7">
                  <c:v>49060</c:v>
                </c:pt>
                <c:pt idx="8">
                  <c:v>1174</c:v>
                </c:pt>
              </c:numCache>
            </c:numRef>
          </c:val>
        </c:ser>
        <c:dLbls>
          <c:dLblPos val="outEnd"/>
          <c:showLegendKey val="0"/>
          <c:showVal val="1"/>
          <c:showCatName val="0"/>
          <c:showSerName val="0"/>
          <c:showPercent val="0"/>
          <c:showBubbleSize val="0"/>
        </c:dLbls>
        <c:gapWidth val="16"/>
        <c:axId val="434917816"/>
        <c:axId val="434918992"/>
      </c:barChart>
      <c:catAx>
        <c:axId val="43491781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434918992"/>
        <c:crosses val="autoZero"/>
        <c:auto val="1"/>
        <c:lblAlgn val="ctr"/>
        <c:lblOffset val="100"/>
        <c:noMultiLvlLbl val="0"/>
      </c:catAx>
      <c:valAx>
        <c:axId val="434918992"/>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434917816"/>
        <c:crosses val="autoZero"/>
        <c:crossBetween val="between"/>
      </c:valAx>
      <c:spPr>
        <a:noFill/>
        <a:ln>
          <a:noFill/>
        </a:ln>
        <a:effectLst/>
      </c:spPr>
    </c:plotArea>
    <c:legend>
      <c:legendPos val="b"/>
      <c:layout>
        <c:manualLayout>
          <c:xMode val="edge"/>
          <c:yMode val="edge"/>
          <c:x val="9.9597926026117903E-2"/>
          <c:y val="0.86631889763779524"/>
          <c:w val="0.79216382461394774"/>
          <c:h val="0.1105329542140565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hu-HU"/>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r>
              <a:rPr lang="en-US" sz="1200" b="1"/>
              <a:t>A</a:t>
            </a:r>
            <a:r>
              <a:rPr lang="hu-HU" sz="1200" b="1"/>
              <a:t>laptevékenységen</a:t>
            </a:r>
            <a:r>
              <a:rPr lang="hu-HU" sz="1200" b="1" baseline="0"/>
              <a:t> kívüli egyéb tevékenységek árbevétele (eFt)</a:t>
            </a:r>
            <a:endParaRPr lang="en-US" sz="1200" b="1"/>
          </a:p>
        </c:rich>
      </c:tx>
      <c:layout/>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endParaRPr lang="hu-HU"/>
        </a:p>
      </c:txPr>
    </c:title>
    <c:autoTitleDeleted val="0"/>
    <c:plotArea>
      <c:layout/>
      <c:barChart>
        <c:barDir val="bar"/>
        <c:grouping val="clustered"/>
        <c:varyColors val="0"/>
        <c:ser>
          <c:idx val="0"/>
          <c:order val="0"/>
          <c:tx>
            <c:strRef>
              <c:f>'Bevétel részletes'!$C$90:$C$91</c:f>
              <c:strCache>
                <c:ptCount val="2"/>
                <c:pt idx="0">
                  <c:v>2021. 
tény</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mn-lt"/>
                    <a:ea typeface="+mn-ea"/>
                    <a:cs typeface="+mn-cs"/>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'Bevétel részletes'!$B$93:$B$98</c:f>
              <c:strCache>
                <c:ptCount val="5"/>
                <c:pt idx="0">
                  <c:v>Gépkölcsönzés árbevétele</c:v>
                </c:pt>
                <c:pt idx="1">
                  <c:v>Szolgálati lakás szolgáltatás árbevétele</c:v>
                </c:pt>
                <c:pt idx="2">
                  <c:v>Bérbeadott eszközök</c:v>
                </c:pt>
                <c:pt idx="3">
                  <c:v>Idegen megrend. alaptev. kívüli szolg. árbev.</c:v>
                </c:pt>
                <c:pt idx="4">
                  <c:v>Anyagértékesítés árbevétele</c:v>
                </c:pt>
              </c:strCache>
            </c:strRef>
          </c:cat>
          <c:val>
            <c:numRef>
              <c:f>'Bevétel részletes'!$C$93:$C$98</c:f>
              <c:numCache>
                <c:formatCode>#,##0</c:formatCode>
                <c:ptCount val="5"/>
                <c:pt idx="0">
                  <c:v>286</c:v>
                </c:pt>
                <c:pt idx="1">
                  <c:v>989</c:v>
                </c:pt>
                <c:pt idx="2">
                  <c:v>157754</c:v>
                </c:pt>
                <c:pt idx="3">
                  <c:v>11739</c:v>
                </c:pt>
                <c:pt idx="4">
                  <c:v>20842</c:v>
                </c:pt>
              </c:numCache>
            </c:numRef>
          </c:val>
        </c:ser>
        <c:ser>
          <c:idx val="1"/>
          <c:order val="1"/>
          <c:tx>
            <c:strRef>
              <c:f>'Bevétel részletes'!$D$90:$D$91</c:f>
              <c:strCache>
                <c:ptCount val="2"/>
                <c:pt idx="0">
                  <c:v>2022. évi
terv</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mn-lt"/>
                    <a:ea typeface="+mn-ea"/>
                    <a:cs typeface="+mn-cs"/>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'Bevétel részletes'!$B$93:$B$98</c:f>
              <c:strCache>
                <c:ptCount val="5"/>
                <c:pt idx="0">
                  <c:v>Gépkölcsönzés árbevétele</c:v>
                </c:pt>
                <c:pt idx="1">
                  <c:v>Szolgálati lakás szolgáltatás árbevétele</c:v>
                </c:pt>
                <c:pt idx="2">
                  <c:v>Bérbeadott eszközök</c:v>
                </c:pt>
                <c:pt idx="3">
                  <c:v>Idegen megrend. alaptev. kívüli szolg. árbev.</c:v>
                </c:pt>
                <c:pt idx="4">
                  <c:v>Anyagértékesítés árbevétele</c:v>
                </c:pt>
              </c:strCache>
            </c:strRef>
          </c:cat>
          <c:val>
            <c:numRef>
              <c:f>'Bevétel részletes'!$D$93:$D$98</c:f>
              <c:numCache>
                <c:formatCode>#,##0</c:formatCode>
                <c:ptCount val="5"/>
                <c:pt idx="0">
                  <c:v>280</c:v>
                </c:pt>
                <c:pt idx="1">
                  <c:v>1039</c:v>
                </c:pt>
                <c:pt idx="2">
                  <c:v>184940</c:v>
                </c:pt>
                <c:pt idx="3">
                  <c:v>27000</c:v>
                </c:pt>
                <c:pt idx="4">
                  <c:v>2500</c:v>
                </c:pt>
              </c:numCache>
            </c:numRef>
          </c:val>
        </c:ser>
        <c:ser>
          <c:idx val="2"/>
          <c:order val="2"/>
          <c:tx>
            <c:strRef>
              <c:f>'Bevétel részletes'!$E$90:$E$91</c:f>
              <c:strCache>
                <c:ptCount val="2"/>
                <c:pt idx="0">
                  <c:v>2022. 
tény</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mn-lt"/>
                    <a:ea typeface="+mn-ea"/>
                    <a:cs typeface="+mn-cs"/>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'Bevétel részletes'!$B$93:$B$98</c:f>
              <c:strCache>
                <c:ptCount val="5"/>
                <c:pt idx="0">
                  <c:v>Gépkölcsönzés árbevétele</c:v>
                </c:pt>
                <c:pt idx="1">
                  <c:v>Szolgálati lakás szolgáltatás árbevétele</c:v>
                </c:pt>
                <c:pt idx="2">
                  <c:v>Bérbeadott eszközök</c:v>
                </c:pt>
                <c:pt idx="3">
                  <c:v>Idegen megrend. alaptev. kívüli szolg. árbev.</c:v>
                </c:pt>
                <c:pt idx="4">
                  <c:v>Anyagértékesítés árbevétele</c:v>
                </c:pt>
              </c:strCache>
            </c:strRef>
          </c:cat>
          <c:val>
            <c:numRef>
              <c:f>'Bevétel részletes'!$E$93:$E$98</c:f>
              <c:numCache>
                <c:formatCode>#,##0</c:formatCode>
                <c:ptCount val="5"/>
                <c:pt idx="0">
                  <c:v>671</c:v>
                </c:pt>
                <c:pt idx="1">
                  <c:v>885</c:v>
                </c:pt>
                <c:pt idx="2">
                  <c:v>168529</c:v>
                </c:pt>
                <c:pt idx="3">
                  <c:v>91956</c:v>
                </c:pt>
                <c:pt idx="4">
                  <c:v>50223</c:v>
                </c:pt>
              </c:numCache>
            </c:numRef>
          </c:val>
        </c:ser>
        <c:dLbls>
          <c:showLegendKey val="0"/>
          <c:showVal val="0"/>
          <c:showCatName val="0"/>
          <c:showSerName val="0"/>
          <c:showPercent val="0"/>
          <c:showBubbleSize val="0"/>
        </c:dLbls>
        <c:gapWidth val="182"/>
        <c:axId val="434918600"/>
        <c:axId val="434919384"/>
      </c:barChart>
      <c:catAx>
        <c:axId val="43491860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434919384"/>
        <c:crosses val="autoZero"/>
        <c:auto val="1"/>
        <c:lblAlgn val="ctr"/>
        <c:lblOffset val="100"/>
        <c:noMultiLvlLbl val="0"/>
      </c:catAx>
      <c:valAx>
        <c:axId val="434919384"/>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43491860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hu-HU"/>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r>
              <a:rPr lang="hu-HU" sz="1200" b="1"/>
              <a:t>Egyéb bevételek kiemelt tételei (eFt)</a:t>
            </a:r>
          </a:p>
        </c:rich>
      </c:tx>
      <c:layout/>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endParaRPr lang="hu-HU"/>
        </a:p>
      </c:txPr>
    </c:title>
    <c:autoTitleDeleted val="0"/>
    <c:plotArea>
      <c:layout>
        <c:manualLayout>
          <c:layoutTarget val="inner"/>
          <c:xMode val="edge"/>
          <c:yMode val="edge"/>
          <c:x val="0.47422192232948129"/>
          <c:y val="0.15319444444444447"/>
          <c:w val="0.46828513967066965"/>
          <c:h val="0.7075769174686497"/>
        </c:manualLayout>
      </c:layout>
      <c:barChart>
        <c:barDir val="bar"/>
        <c:grouping val="clustered"/>
        <c:varyColors val="0"/>
        <c:ser>
          <c:idx val="0"/>
          <c:order val="0"/>
          <c:tx>
            <c:strRef>
              <c:f>'Bevétel részletes'!$C$110:$C$111</c:f>
              <c:strCache>
                <c:ptCount val="2"/>
                <c:pt idx="0">
                  <c:v>2021.tény</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mn-lt"/>
                    <a:ea typeface="+mn-ea"/>
                    <a:cs typeface="+mn-cs"/>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'Bevétel részletes'!$B$113:$B$128</c:f>
              <c:strCache>
                <c:ptCount val="7"/>
                <c:pt idx="0">
                  <c:v>Értékesített imm. javak, tárgyi eszk árbev</c:v>
                </c:pt>
                <c:pt idx="1">
                  <c:v>   Kapott bírság, kötbér, késedelmi kamat</c:v>
                </c:pt>
                <c:pt idx="2">
                  <c:v>Egyéb bevétel </c:v>
                </c:pt>
                <c:pt idx="3">
                  <c:v>   Ktgvetésből kapott támogatás, jutt.</c:v>
                </c:pt>
                <c:pt idx="4">
                  <c:v>   Önkormányzattól kapott támogatás, jutt.</c:v>
                </c:pt>
                <c:pt idx="5">
                  <c:v>Biztosító ált. visszaig. Kártérítés összege</c:v>
                </c:pt>
                <c:pt idx="6">
                  <c:v>Különféle egyéb bevételek</c:v>
                </c:pt>
              </c:strCache>
            </c:strRef>
          </c:cat>
          <c:val>
            <c:numRef>
              <c:f>'Bevétel részletes'!$C$113:$C$128</c:f>
              <c:numCache>
                <c:formatCode>#,##0</c:formatCode>
                <c:ptCount val="7"/>
                <c:pt idx="0">
                  <c:v>11869</c:v>
                </c:pt>
                <c:pt idx="1">
                  <c:v>10874</c:v>
                </c:pt>
                <c:pt idx="2">
                  <c:v>28919</c:v>
                </c:pt>
                <c:pt idx="3">
                  <c:v>13841</c:v>
                </c:pt>
                <c:pt idx="4">
                  <c:v>0</c:v>
                </c:pt>
                <c:pt idx="5">
                  <c:v>9429</c:v>
                </c:pt>
                <c:pt idx="6">
                  <c:v>14519</c:v>
                </c:pt>
              </c:numCache>
            </c:numRef>
          </c:val>
        </c:ser>
        <c:ser>
          <c:idx val="1"/>
          <c:order val="1"/>
          <c:tx>
            <c:strRef>
              <c:f>'Bevétel részletes'!$D$110:$D$111</c:f>
              <c:strCache>
                <c:ptCount val="2"/>
                <c:pt idx="0">
                  <c:v>2022. év
terv</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mn-lt"/>
                    <a:ea typeface="+mn-ea"/>
                    <a:cs typeface="+mn-cs"/>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'Bevétel részletes'!$B$113:$B$128</c:f>
              <c:strCache>
                <c:ptCount val="7"/>
                <c:pt idx="0">
                  <c:v>Értékesített imm. javak, tárgyi eszk árbev</c:v>
                </c:pt>
                <c:pt idx="1">
                  <c:v>   Kapott bírság, kötbér, késedelmi kamat</c:v>
                </c:pt>
                <c:pt idx="2">
                  <c:v>Egyéb bevétel </c:v>
                </c:pt>
                <c:pt idx="3">
                  <c:v>   Ktgvetésből kapott támogatás, jutt.</c:v>
                </c:pt>
                <c:pt idx="4">
                  <c:v>   Önkormányzattól kapott támogatás, jutt.</c:v>
                </c:pt>
                <c:pt idx="5">
                  <c:v>Biztosító ált. visszaig. Kártérítés összege</c:v>
                </c:pt>
                <c:pt idx="6">
                  <c:v>Különféle egyéb bevételek</c:v>
                </c:pt>
              </c:strCache>
            </c:strRef>
          </c:cat>
          <c:val>
            <c:numRef>
              <c:f>'Bevétel részletes'!$D$113:$D$128</c:f>
              <c:numCache>
                <c:formatCode>#,##0</c:formatCode>
                <c:ptCount val="7"/>
                <c:pt idx="0">
                  <c:v>56000</c:v>
                </c:pt>
                <c:pt idx="1">
                  <c:v>9000</c:v>
                </c:pt>
                <c:pt idx="2">
                  <c:v>73773</c:v>
                </c:pt>
                <c:pt idx="3">
                  <c:v>12000</c:v>
                </c:pt>
                <c:pt idx="4">
                  <c:v>100000</c:v>
                </c:pt>
                <c:pt idx="5">
                  <c:v>6000</c:v>
                </c:pt>
                <c:pt idx="6">
                  <c:v>7500</c:v>
                </c:pt>
              </c:numCache>
            </c:numRef>
          </c:val>
        </c:ser>
        <c:ser>
          <c:idx val="2"/>
          <c:order val="2"/>
          <c:tx>
            <c:strRef>
              <c:f>'Bevétel részletes'!$E$110:$E$111</c:f>
              <c:strCache>
                <c:ptCount val="2"/>
                <c:pt idx="0">
                  <c:v>2022. 
tény</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mn-lt"/>
                    <a:ea typeface="+mn-ea"/>
                    <a:cs typeface="+mn-cs"/>
                  </a:defRPr>
                </a:pPr>
                <a:endParaRPr lang="hu-H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'Bevétel részletes'!$B$113:$B$128</c:f>
              <c:strCache>
                <c:ptCount val="7"/>
                <c:pt idx="0">
                  <c:v>Értékesített imm. javak, tárgyi eszk árbev</c:v>
                </c:pt>
                <c:pt idx="1">
                  <c:v>   Kapott bírság, kötbér, késedelmi kamat</c:v>
                </c:pt>
                <c:pt idx="2">
                  <c:v>Egyéb bevétel </c:v>
                </c:pt>
                <c:pt idx="3">
                  <c:v>   Ktgvetésből kapott támogatás, jutt.</c:v>
                </c:pt>
                <c:pt idx="4">
                  <c:v>   Önkormányzattól kapott támogatás, jutt.</c:v>
                </c:pt>
                <c:pt idx="5">
                  <c:v>Biztosító ált. visszaig. Kártérítés összege</c:v>
                </c:pt>
                <c:pt idx="6">
                  <c:v>Különféle egyéb bevételek</c:v>
                </c:pt>
              </c:strCache>
            </c:strRef>
          </c:cat>
          <c:val>
            <c:numRef>
              <c:f>'Bevétel részletes'!$E$113:$E$128</c:f>
              <c:numCache>
                <c:formatCode>#,##0</c:formatCode>
                <c:ptCount val="7"/>
                <c:pt idx="0">
                  <c:v>56322</c:v>
                </c:pt>
                <c:pt idx="1">
                  <c:v>15885</c:v>
                </c:pt>
                <c:pt idx="2">
                  <c:v>48009</c:v>
                </c:pt>
                <c:pt idx="3">
                  <c:v>17595</c:v>
                </c:pt>
                <c:pt idx="4">
                  <c:v>131750</c:v>
                </c:pt>
                <c:pt idx="5">
                  <c:v>14091</c:v>
                </c:pt>
                <c:pt idx="6">
                  <c:v>20134</c:v>
                </c:pt>
              </c:numCache>
            </c:numRef>
          </c:val>
        </c:ser>
        <c:dLbls>
          <c:showLegendKey val="0"/>
          <c:showVal val="0"/>
          <c:showCatName val="0"/>
          <c:showSerName val="0"/>
          <c:showPercent val="0"/>
          <c:showBubbleSize val="0"/>
        </c:dLbls>
        <c:gapWidth val="182"/>
        <c:axId val="434919776"/>
        <c:axId val="434913504"/>
      </c:barChart>
      <c:catAx>
        <c:axId val="43491977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434913504"/>
        <c:crosses val="autoZero"/>
        <c:auto val="1"/>
        <c:lblAlgn val="ctr"/>
        <c:lblOffset val="100"/>
        <c:noMultiLvlLbl val="0"/>
      </c:catAx>
      <c:valAx>
        <c:axId val="434913504"/>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434919776"/>
        <c:crosses val="autoZero"/>
        <c:crossBetween val="between"/>
      </c:valAx>
      <c:spPr>
        <a:noFill/>
        <a:ln>
          <a:noFill/>
        </a:ln>
        <a:effectLst/>
      </c:spPr>
    </c:plotArea>
    <c:legend>
      <c:legendPos val="b"/>
      <c:layout>
        <c:manualLayout>
          <c:xMode val="edge"/>
          <c:yMode val="edge"/>
          <c:x val="0.10055398161247298"/>
          <c:y val="0.90483925953204503"/>
          <c:w val="0.8113581567810908"/>
          <c:h val="9.4171873926516506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hu-HU"/>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r>
              <a:rPr lang="en-US" sz="1200" b="1"/>
              <a:t>Vegyszeranyag felhasználás (eFt)</a:t>
            </a:r>
          </a:p>
        </c:rich>
      </c:tx>
      <c:layout/>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endParaRPr lang="hu-HU"/>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006381258954028"/>
          <c:y val="0.16037340781788148"/>
          <c:w val="0.56141520702241166"/>
          <c:h val="0.61020732924685162"/>
        </c:manualLayout>
      </c:layout>
      <c:bar3DChart>
        <c:barDir val="col"/>
        <c:grouping val="standard"/>
        <c:varyColors val="0"/>
        <c:ser>
          <c:idx val="1"/>
          <c:order val="1"/>
          <c:tx>
            <c:strRef>
              <c:f>'Anyag,energia '!$A$42</c:f>
              <c:strCache>
                <c:ptCount val="1"/>
                <c:pt idx="0">
                  <c:v>       -Ivóvíz kezelés</c:v>
                </c:pt>
              </c:strCache>
            </c:strRef>
          </c:tx>
          <c:spPr>
            <a:solidFill>
              <a:schemeClr val="accent1">
                <a:lumMod val="60000"/>
                <a:lumOff val="40000"/>
              </a:schemeClr>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'Anyag,energia '!$B$40:$D$40</c:f>
              <c:strCache>
                <c:ptCount val="3"/>
                <c:pt idx="0">
                  <c:v>2021.tény</c:v>
                </c:pt>
                <c:pt idx="1">
                  <c:v>2022. év
terv</c:v>
                </c:pt>
                <c:pt idx="2">
                  <c:v>2022. 
tény</c:v>
                </c:pt>
              </c:strCache>
            </c:strRef>
          </c:cat>
          <c:val>
            <c:numRef>
              <c:f>'Anyag,energia '!$B$42:$D$42</c:f>
              <c:numCache>
                <c:formatCode>#,##0</c:formatCode>
                <c:ptCount val="3"/>
                <c:pt idx="0">
                  <c:v>12425</c:v>
                </c:pt>
                <c:pt idx="1">
                  <c:v>6635</c:v>
                </c:pt>
                <c:pt idx="2">
                  <c:v>14850</c:v>
                </c:pt>
              </c:numCache>
            </c:numRef>
          </c:val>
        </c:ser>
        <c:ser>
          <c:idx val="2"/>
          <c:order val="2"/>
          <c:tx>
            <c:strRef>
              <c:f>'Anyag,energia '!$A$43</c:f>
              <c:strCache>
                <c:ptCount val="1"/>
                <c:pt idx="0">
                  <c:v>       -Szennyvíz tisztítás, komposztálás</c:v>
                </c:pt>
              </c:strCache>
            </c:strRef>
          </c:tx>
          <c:spPr>
            <a:solidFill>
              <a:schemeClr val="accent6">
                <a:lumMod val="60000"/>
                <a:lumOff val="40000"/>
              </a:schemeClr>
            </a:solidFill>
            <a:ln>
              <a:noFill/>
            </a:ln>
            <a:effectLst/>
            <a:sp3d/>
          </c:spPr>
          <c:invertIfNegative val="0"/>
          <c:dLbls>
            <c:dLbl>
              <c:idx val="0"/>
              <c:layout>
                <c:manualLayout>
                  <c:x val="6.8238223399047582E-3"/>
                  <c:y val="-4.3238988357477597E-3"/>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2.7295289359619199E-2"/>
                  <c:y val="0"/>
                </c:manualLayout>
              </c:layout>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2.7295289359619199E-2"/>
                  <c:y val="0"/>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'Anyag,energia '!$B$40:$D$40</c:f>
              <c:strCache>
                <c:ptCount val="3"/>
                <c:pt idx="0">
                  <c:v>2021.tény</c:v>
                </c:pt>
                <c:pt idx="1">
                  <c:v>2022. év
terv</c:v>
                </c:pt>
                <c:pt idx="2">
                  <c:v>2022. 
tény</c:v>
                </c:pt>
              </c:strCache>
            </c:strRef>
          </c:cat>
          <c:val>
            <c:numRef>
              <c:f>'Anyag,energia '!$B$43:$D$43</c:f>
              <c:numCache>
                <c:formatCode>#,##0</c:formatCode>
                <c:ptCount val="3"/>
                <c:pt idx="0">
                  <c:v>111406</c:v>
                </c:pt>
                <c:pt idx="1">
                  <c:v>118907</c:v>
                </c:pt>
                <c:pt idx="2">
                  <c:v>174064</c:v>
                </c:pt>
              </c:numCache>
            </c:numRef>
          </c:val>
        </c:ser>
        <c:ser>
          <c:idx val="3"/>
          <c:order val="3"/>
          <c:tx>
            <c:strRef>
              <c:f>'Anyag,energia '!$A$44</c:f>
              <c:strCache>
                <c:ptCount val="1"/>
                <c:pt idx="0">
                  <c:v>       -Fürdő szolgáltatás</c:v>
                </c:pt>
              </c:strCache>
            </c:strRef>
          </c:tx>
          <c:spPr>
            <a:solidFill>
              <a:schemeClr val="accent2">
                <a:lumMod val="60000"/>
                <a:lumOff val="40000"/>
              </a:schemeClr>
            </a:solidFill>
            <a:ln>
              <a:noFill/>
            </a:ln>
            <a:effectLst/>
            <a:sp3d/>
          </c:spPr>
          <c:invertIfNegative val="0"/>
          <c:dLbls>
            <c:dLbl>
              <c:idx val="0"/>
              <c:layout>
                <c:manualLayout>
                  <c:x val="2.5020681912984264E-2"/>
                  <c:y val="0"/>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1.8196859573079465E-2"/>
                  <c:y val="0"/>
                </c:manualLayout>
              </c:layout>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2.0471467019714317E-2"/>
                  <c:y val="-4.3238988357476808E-3"/>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'Anyag,energia '!$B$40:$D$40</c:f>
              <c:strCache>
                <c:ptCount val="3"/>
                <c:pt idx="0">
                  <c:v>2021.tény</c:v>
                </c:pt>
                <c:pt idx="1">
                  <c:v>2022. év
terv</c:v>
                </c:pt>
                <c:pt idx="2">
                  <c:v>2022. 
tény</c:v>
                </c:pt>
              </c:strCache>
            </c:strRef>
          </c:cat>
          <c:val>
            <c:numRef>
              <c:f>'Anyag,energia '!$B$44:$D$44</c:f>
              <c:numCache>
                <c:formatCode>#,##0</c:formatCode>
                <c:ptCount val="3"/>
                <c:pt idx="0">
                  <c:v>961</c:v>
                </c:pt>
                <c:pt idx="1">
                  <c:v>6230</c:v>
                </c:pt>
                <c:pt idx="2">
                  <c:v>6841</c:v>
                </c:pt>
              </c:numCache>
            </c:numRef>
          </c:val>
        </c:ser>
        <c:ser>
          <c:idx val="4"/>
          <c:order val="4"/>
          <c:tx>
            <c:strRef>
              <c:f>'Anyag,energia '!$A$45</c:f>
              <c:strCache>
                <c:ptCount val="1"/>
                <c:pt idx="0">
                  <c:v>Összesen</c:v>
                </c:pt>
              </c:strCache>
            </c:strRef>
          </c:tx>
          <c:spPr>
            <a:solidFill>
              <a:schemeClr val="bg2">
                <a:lumMod val="75000"/>
              </a:schemeClr>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mn-lt"/>
                    <a:ea typeface="+mn-ea"/>
                    <a:cs typeface="+mn-cs"/>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'Anyag,energia '!$B$40:$D$40</c:f>
              <c:strCache>
                <c:ptCount val="3"/>
                <c:pt idx="0">
                  <c:v>2021.tény</c:v>
                </c:pt>
                <c:pt idx="1">
                  <c:v>2022. év
terv</c:v>
                </c:pt>
                <c:pt idx="2">
                  <c:v>2022. 
tény</c:v>
                </c:pt>
              </c:strCache>
            </c:strRef>
          </c:cat>
          <c:val>
            <c:numRef>
              <c:f>'Anyag,energia '!$B$45:$D$45</c:f>
              <c:numCache>
                <c:formatCode>#,##0</c:formatCode>
                <c:ptCount val="3"/>
                <c:pt idx="0">
                  <c:v>124792</c:v>
                </c:pt>
                <c:pt idx="1">
                  <c:v>131772</c:v>
                </c:pt>
                <c:pt idx="2">
                  <c:v>195755</c:v>
                </c:pt>
              </c:numCache>
            </c:numRef>
          </c:val>
        </c:ser>
        <c:dLbls>
          <c:showLegendKey val="0"/>
          <c:showVal val="0"/>
          <c:showCatName val="0"/>
          <c:showSerName val="0"/>
          <c:showPercent val="0"/>
          <c:showBubbleSize val="0"/>
        </c:dLbls>
        <c:gapWidth val="150"/>
        <c:shape val="box"/>
        <c:axId val="434914288"/>
        <c:axId val="434914680"/>
        <c:axId val="435641872"/>
        <c:extLst>
          <c:ext xmlns:c15="http://schemas.microsoft.com/office/drawing/2012/chart" uri="{02D57815-91ED-43cb-92C2-25804820EDAC}">
            <c15:filteredBarSeries>
              <c15:ser>
                <c:idx val="0"/>
                <c:order val="0"/>
                <c:tx>
                  <c:strRef>
                    <c:extLst>
                      <c:ext uri="{02D57815-91ED-43cb-92C2-25804820EDAC}">
                        <c15:formulaRef>
                          <c15:sqref>'Anyag,energia '!$A$41</c15:sqref>
                        </c15:formulaRef>
                      </c:ext>
                    </c:extLst>
                    <c:strCache>
                      <c:ptCount val="1"/>
                    </c:strCache>
                  </c:strRef>
                </c:tx>
                <c:spPr>
                  <a:solidFill>
                    <a:schemeClr val="accent1"/>
                  </a:solidFill>
                  <a:ln>
                    <a:noFill/>
                  </a:ln>
                  <a:effectLst/>
                  <a:sp3d/>
                </c:spPr>
                <c:invertIfNegative val="0"/>
                <c:cat>
                  <c:strRef>
                    <c:extLst>
                      <c:ext uri="{02D57815-91ED-43cb-92C2-25804820EDAC}">
                        <c15:formulaRef>
                          <c15:sqref>'Anyag,energia '!$B$40:$D$40</c15:sqref>
                        </c15:formulaRef>
                      </c:ext>
                    </c:extLst>
                    <c:strCache>
                      <c:ptCount val="3"/>
                      <c:pt idx="0">
                        <c:v>2021.tény</c:v>
                      </c:pt>
                      <c:pt idx="1">
                        <c:v>2022. év
terv</c:v>
                      </c:pt>
                      <c:pt idx="2">
                        <c:v>2022. 
tény</c:v>
                      </c:pt>
                    </c:strCache>
                  </c:strRef>
                </c:cat>
                <c:val>
                  <c:numRef>
                    <c:extLst>
                      <c:ext uri="{02D57815-91ED-43cb-92C2-25804820EDAC}">
                        <c15:formulaRef>
                          <c15:sqref>'Anyag,energia '!$B$41:$D$41</c15:sqref>
                        </c15:formulaRef>
                      </c:ext>
                    </c:extLst>
                    <c:numCache>
                      <c:formatCode>General</c:formatCode>
                      <c:ptCount val="3"/>
                    </c:numCache>
                  </c:numRef>
                </c:val>
              </c15:ser>
            </c15:filteredBarSeries>
          </c:ext>
        </c:extLst>
      </c:bar3DChart>
      <c:catAx>
        <c:axId val="43491428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434914680"/>
        <c:crosses val="autoZero"/>
        <c:auto val="1"/>
        <c:lblAlgn val="ctr"/>
        <c:lblOffset val="100"/>
        <c:noMultiLvlLbl val="0"/>
      </c:catAx>
      <c:valAx>
        <c:axId val="43491468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434914288"/>
        <c:crosses val="autoZero"/>
        <c:crossBetween val="between"/>
      </c:valAx>
      <c:serAx>
        <c:axId val="435641872"/>
        <c:scaling>
          <c:orientation val="minMax"/>
        </c:scaling>
        <c:delete val="0"/>
        <c:axPos val="b"/>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434914680"/>
        <c:crosses val="autoZero"/>
      </c:ser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hu-HU"/>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hu-HU" sz="1400" b="1" i="0" baseline="0">
                <a:effectLst/>
              </a:rPr>
              <a:t>Energiaköltség</a:t>
            </a:r>
            <a:r>
              <a:rPr lang="hu-HU" sz="1800" b="1" i="0" baseline="0">
                <a:effectLst/>
              </a:rPr>
              <a:t> </a:t>
            </a:r>
            <a:r>
              <a:rPr lang="hu-HU" sz="1400" b="1" i="0" baseline="0">
                <a:effectLst/>
              </a:rPr>
              <a:t>(eFt</a:t>
            </a:r>
            <a:r>
              <a:rPr lang="hu-HU" sz="1800" b="1" i="0" baseline="0">
                <a:effectLst/>
              </a:rPr>
              <a:t>)</a:t>
            </a:r>
            <a:endParaRPr lang="hu-HU">
              <a:effectLst/>
            </a:endParaRPr>
          </a:p>
        </c:rich>
      </c:tx>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hu-HU"/>
        </a:p>
      </c:txPr>
    </c:title>
    <c:autoTitleDeleted val="0"/>
    <c:plotArea>
      <c:layout>
        <c:manualLayout>
          <c:layoutTarget val="inner"/>
          <c:xMode val="edge"/>
          <c:yMode val="edge"/>
          <c:x val="8.8964679733248134E-2"/>
          <c:y val="0.11272942233572154"/>
          <c:w val="0.85858501985969227"/>
          <c:h val="0.6835894161878413"/>
        </c:manualLayout>
      </c:layout>
      <c:barChart>
        <c:barDir val="col"/>
        <c:grouping val="stacked"/>
        <c:varyColors val="0"/>
        <c:ser>
          <c:idx val="0"/>
          <c:order val="0"/>
          <c:tx>
            <c:strRef>
              <c:f>'Energia költség (eFt)'!$A$2</c:f>
              <c:strCache>
                <c:ptCount val="1"/>
                <c:pt idx="0">
                  <c:v>     villamos energia</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hu-HU"/>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'Energia költség (eFt)'!$B$1:$D$1</c:f>
              <c:strCache>
                <c:ptCount val="3"/>
                <c:pt idx="0">
                  <c:v>2021. 
tény</c:v>
                </c:pt>
                <c:pt idx="1">
                  <c:v>2022. évi
terv</c:v>
                </c:pt>
                <c:pt idx="2">
                  <c:v>2022. 
tény</c:v>
                </c:pt>
              </c:strCache>
            </c:strRef>
          </c:cat>
          <c:val>
            <c:numRef>
              <c:f>'Energia költség (eFt)'!$B$2:$D$2</c:f>
              <c:numCache>
                <c:formatCode>#,##0</c:formatCode>
                <c:ptCount val="3"/>
                <c:pt idx="0">
                  <c:v>636164</c:v>
                </c:pt>
                <c:pt idx="1">
                  <c:v>1016452</c:v>
                </c:pt>
                <c:pt idx="2">
                  <c:v>1052683</c:v>
                </c:pt>
              </c:numCache>
            </c:numRef>
          </c:val>
        </c:ser>
        <c:ser>
          <c:idx val="1"/>
          <c:order val="1"/>
          <c:tx>
            <c:strRef>
              <c:f>'Energia költség (eFt)'!$A$3</c:f>
              <c:strCache>
                <c:ptCount val="1"/>
                <c:pt idx="0">
                  <c:v>     földgáz</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hu-HU"/>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'Energia költség (eFt)'!$B$1:$D$1</c:f>
              <c:strCache>
                <c:ptCount val="3"/>
                <c:pt idx="0">
                  <c:v>2021. 
tény</c:v>
                </c:pt>
                <c:pt idx="1">
                  <c:v>2022. évi
terv</c:v>
                </c:pt>
                <c:pt idx="2">
                  <c:v>2022. 
tény</c:v>
                </c:pt>
              </c:strCache>
            </c:strRef>
          </c:cat>
          <c:val>
            <c:numRef>
              <c:f>'Energia költség (eFt)'!$B$3:$D$3</c:f>
              <c:numCache>
                <c:formatCode>#,##0</c:formatCode>
                <c:ptCount val="3"/>
                <c:pt idx="0">
                  <c:v>88858</c:v>
                </c:pt>
                <c:pt idx="1">
                  <c:v>146664</c:v>
                </c:pt>
                <c:pt idx="2">
                  <c:v>194007</c:v>
                </c:pt>
              </c:numCache>
            </c:numRef>
          </c:val>
        </c:ser>
        <c:ser>
          <c:idx val="2"/>
          <c:order val="2"/>
          <c:tx>
            <c:strRef>
              <c:f>'Energia költség (eFt)'!$A$4</c:f>
              <c:strCache>
                <c:ptCount val="1"/>
                <c:pt idx="0">
                  <c:v>     üzemanyag</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hu-HU"/>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'Energia költség (eFt)'!$B$1:$D$1</c:f>
              <c:strCache>
                <c:ptCount val="3"/>
                <c:pt idx="0">
                  <c:v>2021. 
tény</c:v>
                </c:pt>
                <c:pt idx="1">
                  <c:v>2022. évi
terv</c:v>
                </c:pt>
                <c:pt idx="2">
                  <c:v>2022. 
tény</c:v>
                </c:pt>
              </c:strCache>
            </c:strRef>
          </c:cat>
          <c:val>
            <c:numRef>
              <c:f>'Energia költség (eFt)'!$B$4:$D$4</c:f>
              <c:numCache>
                <c:formatCode>#,##0</c:formatCode>
                <c:ptCount val="3"/>
                <c:pt idx="0">
                  <c:v>125600</c:v>
                </c:pt>
                <c:pt idx="1">
                  <c:v>177114</c:v>
                </c:pt>
                <c:pt idx="2">
                  <c:v>168794</c:v>
                </c:pt>
              </c:numCache>
            </c:numRef>
          </c:val>
        </c:ser>
        <c:dLbls>
          <c:dLblPos val="ctr"/>
          <c:showLegendKey val="0"/>
          <c:showVal val="1"/>
          <c:showCatName val="0"/>
          <c:showSerName val="0"/>
          <c:showPercent val="0"/>
          <c:showBubbleSize val="0"/>
        </c:dLbls>
        <c:gapWidth val="150"/>
        <c:overlap val="100"/>
        <c:axId val="434915856"/>
        <c:axId val="434916248"/>
      </c:barChart>
      <c:catAx>
        <c:axId val="4349158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434916248"/>
        <c:crosses val="autoZero"/>
        <c:auto val="1"/>
        <c:lblAlgn val="ctr"/>
        <c:lblOffset val="100"/>
        <c:noMultiLvlLbl val="0"/>
      </c:catAx>
      <c:valAx>
        <c:axId val="43491624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43491585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hu-HU"/>
    </a:p>
  </c:txPr>
  <c:externalData r:id="rId3">
    <c:autoUpdate val="0"/>
  </c:externalData>
  <c:userShapes r:id="rId4"/>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hu-HU" b="1"/>
              <a:t>Villamos energia felhasználás megoszlása (Mwh)</a:t>
            </a:r>
          </a:p>
        </c:rich>
      </c:tx>
      <c:layout/>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hu-HU"/>
        </a:p>
      </c:txPr>
    </c:title>
    <c:autoTitleDeleted val="0"/>
    <c:plotArea>
      <c:layout/>
      <c:barChart>
        <c:barDir val="col"/>
        <c:grouping val="clustered"/>
        <c:varyColors val="0"/>
        <c:ser>
          <c:idx val="0"/>
          <c:order val="0"/>
          <c:tx>
            <c:strRef>
              <c:f>'Villamos energia felhasználás'!$A$2</c:f>
              <c:strCache>
                <c:ptCount val="1"/>
                <c:pt idx="0">
                  <c:v>villamos energia felhasználás összesen</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hu-H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'Villamos energia felhasználás'!$B$1:$D$1</c:f>
              <c:strCache>
                <c:ptCount val="3"/>
                <c:pt idx="0">
                  <c:v>2021. 
tény</c:v>
                </c:pt>
                <c:pt idx="1">
                  <c:v>2022. évi
terv</c:v>
                </c:pt>
                <c:pt idx="2">
                  <c:v>2022. 
tény</c:v>
                </c:pt>
              </c:strCache>
            </c:strRef>
          </c:cat>
          <c:val>
            <c:numRef>
              <c:f>'Villamos energia felhasználás'!$B$2:$D$2</c:f>
              <c:numCache>
                <c:formatCode>#,##0</c:formatCode>
                <c:ptCount val="3"/>
                <c:pt idx="0">
                  <c:v>18727</c:v>
                </c:pt>
                <c:pt idx="1">
                  <c:v>21170</c:v>
                </c:pt>
                <c:pt idx="2">
                  <c:v>19686.276999999998</c:v>
                </c:pt>
              </c:numCache>
            </c:numRef>
          </c:val>
        </c:ser>
        <c:ser>
          <c:idx val="1"/>
          <c:order val="1"/>
          <c:tx>
            <c:strRef>
              <c:f>'Villamos energia felhasználás'!$A$3</c:f>
              <c:strCache>
                <c:ptCount val="1"/>
                <c:pt idx="0">
                  <c:v>     vételezett</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hu-H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'Villamos energia felhasználás'!$B$1:$D$1</c:f>
              <c:strCache>
                <c:ptCount val="3"/>
                <c:pt idx="0">
                  <c:v>2021. 
tény</c:v>
                </c:pt>
                <c:pt idx="1">
                  <c:v>2022. évi
terv</c:v>
                </c:pt>
                <c:pt idx="2">
                  <c:v>2022. 
tény</c:v>
                </c:pt>
              </c:strCache>
            </c:strRef>
          </c:cat>
          <c:val>
            <c:numRef>
              <c:f>'Villamos energia felhasználás'!$B$3:$D$3</c:f>
              <c:numCache>
                <c:formatCode>#,##0</c:formatCode>
                <c:ptCount val="3"/>
                <c:pt idx="0">
                  <c:v>17422</c:v>
                </c:pt>
                <c:pt idx="1">
                  <c:v>20170</c:v>
                </c:pt>
                <c:pt idx="2">
                  <c:v>18006</c:v>
                </c:pt>
              </c:numCache>
            </c:numRef>
          </c:val>
        </c:ser>
        <c:ser>
          <c:idx val="2"/>
          <c:order val="2"/>
          <c:tx>
            <c:strRef>
              <c:f>'Villamos energia felhasználás'!$A$4</c:f>
              <c:strCache>
                <c:ptCount val="1"/>
                <c:pt idx="0">
                  <c:v>     saját termelésű</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hu-H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'Villamos energia felhasználás'!$B$1:$D$1</c:f>
              <c:strCache>
                <c:ptCount val="3"/>
                <c:pt idx="0">
                  <c:v>2021. 
tény</c:v>
                </c:pt>
                <c:pt idx="1">
                  <c:v>2022. évi
terv</c:v>
                </c:pt>
                <c:pt idx="2">
                  <c:v>2022. 
tény</c:v>
                </c:pt>
              </c:strCache>
            </c:strRef>
          </c:cat>
          <c:val>
            <c:numRef>
              <c:f>'Villamos energia felhasználás'!$B$4:$D$4</c:f>
              <c:numCache>
                <c:formatCode>#,##0</c:formatCode>
                <c:ptCount val="3"/>
                <c:pt idx="0">
                  <c:v>1305</c:v>
                </c:pt>
                <c:pt idx="1">
                  <c:v>1000</c:v>
                </c:pt>
                <c:pt idx="2">
                  <c:v>1680</c:v>
                </c:pt>
              </c:numCache>
            </c:numRef>
          </c:val>
        </c:ser>
        <c:dLbls>
          <c:dLblPos val="outEnd"/>
          <c:showLegendKey val="0"/>
          <c:showVal val="1"/>
          <c:showCatName val="0"/>
          <c:showSerName val="0"/>
          <c:showPercent val="0"/>
          <c:showBubbleSize val="0"/>
        </c:dLbls>
        <c:gapWidth val="219"/>
        <c:overlap val="-27"/>
        <c:axId val="286635536"/>
        <c:axId val="286632792"/>
      </c:barChart>
      <c:catAx>
        <c:axId val="2866355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286632792"/>
        <c:crosses val="autoZero"/>
        <c:auto val="1"/>
        <c:lblAlgn val="ctr"/>
        <c:lblOffset val="100"/>
        <c:noMultiLvlLbl val="0"/>
      </c:catAx>
      <c:valAx>
        <c:axId val="28663279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28663553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hu-HU"/>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hu-HU"/>
              <a:t>     </a:t>
            </a:r>
            <a:r>
              <a:rPr lang="hu-HU" b="1"/>
              <a:t>Földgáz</a:t>
            </a:r>
            <a:r>
              <a:rPr lang="hu-HU" b="1" baseline="0"/>
              <a:t> költség (eFt)</a:t>
            </a:r>
            <a:endParaRPr lang="hu-HU" b="1"/>
          </a:p>
        </c:rich>
      </c:tx>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hu-HU"/>
        </a:p>
      </c:txPr>
    </c:title>
    <c:autoTitleDeleted val="0"/>
    <c:plotArea>
      <c:layout/>
      <c:barChart>
        <c:barDir val="col"/>
        <c:grouping val="clustered"/>
        <c:varyColors val="0"/>
        <c:ser>
          <c:idx val="0"/>
          <c:order val="0"/>
          <c:tx>
            <c:strRef>
              <c:f>'Földgáz költség (eFt)'!$A$2</c:f>
              <c:strCache>
                <c:ptCount val="1"/>
                <c:pt idx="0">
                  <c:v>     földgáz</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hu-H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'Földgáz költség (eFt)'!$B$1:$D$1</c:f>
              <c:strCache>
                <c:ptCount val="3"/>
                <c:pt idx="0">
                  <c:v>2021. 
tény</c:v>
                </c:pt>
                <c:pt idx="1">
                  <c:v>2022. évi
terv</c:v>
                </c:pt>
                <c:pt idx="2">
                  <c:v>2022. 
tény</c:v>
                </c:pt>
              </c:strCache>
            </c:strRef>
          </c:cat>
          <c:val>
            <c:numRef>
              <c:f>'Földgáz költség (eFt)'!$B$2:$D$2</c:f>
              <c:numCache>
                <c:formatCode>#,##0</c:formatCode>
                <c:ptCount val="3"/>
                <c:pt idx="0">
                  <c:v>88858</c:v>
                </c:pt>
                <c:pt idx="1">
                  <c:v>146664</c:v>
                </c:pt>
                <c:pt idx="2">
                  <c:v>194007</c:v>
                </c:pt>
              </c:numCache>
            </c:numRef>
          </c:val>
        </c:ser>
        <c:dLbls>
          <c:dLblPos val="outEnd"/>
          <c:showLegendKey val="0"/>
          <c:showVal val="1"/>
          <c:showCatName val="0"/>
          <c:showSerName val="0"/>
          <c:showPercent val="0"/>
          <c:showBubbleSize val="0"/>
        </c:dLbls>
        <c:gapWidth val="219"/>
        <c:overlap val="-27"/>
        <c:axId val="286633576"/>
        <c:axId val="286635928"/>
      </c:barChart>
      <c:catAx>
        <c:axId val="2866335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286635928"/>
        <c:crosses val="autoZero"/>
        <c:auto val="1"/>
        <c:lblAlgn val="ctr"/>
        <c:lblOffset val="100"/>
        <c:noMultiLvlLbl val="0"/>
      </c:catAx>
      <c:valAx>
        <c:axId val="28663592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28663357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hu-HU"/>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r>
              <a:rPr lang="en-US" sz="1200" b="1"/>
              <a:t>     Építőipari szolgáltatások igénybevétele</a:t>
            </a:r>
            <a:r>
              <a:rPr lang="hu-HU" sz="1200" b="1"/>
              <a:t> (eFt)</a:t>
            </a:r>
            <a:endParaRPr lang="en-US" sz="1200" b="1"/>
          </a:p>
        </c:rich>
      </c:tx>
      <c:layout/>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endParaRPr lang="hu-HU"/>
        </a:p>
      </c:txPr>
    </c:title>
    <c:autoTitleDeleted val="0"/>
    <c:plotArea>
      <c:layout/>
      <c:barChart>
        <c:barDir val="bar"/>
        <c:grouping val="clustered"/>
        <c:varyColors val="0"/>
        <c:ser>
          <c:idx val="1"/>
          <c:order val="1"/>
          <c:tx>
            <c:strRef>
              <c:f>'Költség részletes'!$C$205</c:f>
              <c:strCache>
                <c:ptCount val="1"/>
                <c:pt idx="0">
                  <c:v>     Építőipari szolgáltatások igénybevétele</c:v>
                </c:pt>
              </c:strCache>
            </c:strRef>
          </c:tx>
          <c:spPr>
            <a:solidFill>
              <a:schemeClr val="accent2">
                <a:lumMod val="40000"/>
                <a:lumOff val="60000"/>
              </a:schemeClr>
            </a:solidFill>
            <a:ln>
              <a:noFill/>
            </a:ln>
            <a:effectLst/>
          </c:spPr>
          <c:invertIfNegative val="0"/>
          <c:cat>
            <c:strRef>
              <c:f>'Költség részletes'!$D$203:$F$203</c:f>
              <c:strCache>
                <c:ptCount val="3"/>
                <c:pt idx="0">
                  <c:v>2021.tény</c:v>
                </c:pt>
                <c:pt idx="1">
                  <c:v>2022. év
terv</c:v>
                </c:pt>
                <c:pt idx="2">
                  <c:v>2022. 
tény</c:v>
                </c:pt>
              </c:strCache>
            </c:strRef>
          </c:cat>
          <c:val>
            <c:numRef>
              <c:f>'Költség részletes'!$D$205:$F$205</c:f>
              <c:numCache>
                <c:formatCode>#,##0</c:formatCode>
                <c:ptCount val="3"/>
                <c:pt idx="0">
                  <c:v>245294</c:v>
                </c:pt>
                <c:pt idx="1">
                  <c:v>591606</c:v>
                </c:pt>
                <c:pt idx="2">
                  <c:v>109495</c:v>
                </c:pt>
              </c:numCache>
            </c:numRef>
          </c:val>
        </c:ser>
        <c:dLbls>
          <c:showLegendKey val="0"/>
          <c:showVal val="0"/>
          <c:showCatName val="0"/>
          <c:showSerName val="0"/>
          <c:showPercent val="0"/>
          <c:showBubbleSize val="0"/>
        </c:dLbls>
        <c:gapWidth val="150"/>
        <c:axId val="286634360"/>
        <c:axId val="286634752"/>
        <c:extLst>
          <c:ext xmlns:c15="http://schemas.microsoft.com/office/drawing/2012/chart" uri="{02D57815-91ED-43cb-92C2-25804820EDAC}">
            <c15:filteredBarSeries>
              <c15:ser>
                <c:idx val="0"/>
                <c:order val="0"/>
                <c:tx>
                  <c:strRef>
                    <c:extLst>
                      <c:ext uri="{02D57815-91ED-43cb-92C2-25804820EDAC}">
                        <c15:formulaRef>
                          <c15:sqref>'Költség részletes'!$C$204</c15:sqref>
                        </c15:formulaRef>
                      </c:ext>
                    </c:extLst>
                    <c:strCache>
                      <c:ptCount val="1"/>
                    </c:strCache>
                  </c:strRef>
                </c:tx>
                <c:spPr>
                  <a:solidFill>
                    <a:schemeClr val="accent1"/>
                  </a:solidFill>
                  <a:ln>
                    <a:noFill/>
                  </a:ln>
                  <a:effectLst/>
                </c:spPr>
                <c:invertIfNegative val="0"/>
                <c:cat>
                  <c:strRef>
                    <c:extLst>
                      <c:ext uri="{02D57815-91ED-43cb-92C2-25804820EDAC}">
                        <c15:formulaRef>
                          <c15:sqref>'Költség részletes'!$D$203:$F$203</c15:sqref>
                        </c15:formulaRef>
                      </c:ext>
                    </c:extLst>
                    <c:strCache>
                      <c:ptCount val="3"/>
                      <c:pt idx="0">
                        <c:v>2021.tény</c:v>
                      </c:pt>
                      <c:pt idx="1">
                        <c:v>2022. év
terv</c:v>
                      </c:pt>
                      <c:pt idx="2">
                        <c:v>2022. 
tény</c:v>
                      </c:pt>
                    </c:strCache>
                  </c:strRef>
                </c:cat>
                <c:val>
                  <c:numRef>
                    <c:extLst>
                      <c:ext uri="{02D57815-91ED-43cb-92C2-25804820EDAC}">
                        <c15:formulaRef>
                          <c15:sqref>'Költség részletes'!$D$204:$F$204</c15:sqref>
                        </c15:formulaRef>
                      </c:ext>
                    </c:extLst>
                    <c:numCache>
                      <c:formatCode>General</c:formatCode>
                      <c:ptCount val="3"/>
                    </c:numCache>
                  </c:numRef>
                </c:val>
              </c15:ser>
            </c15:filteredBarSeries>
          </c:ext>
        </c:extLst>
      </c:barChart>
      <c:catAx>
        <c:axId val="28663436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286634752"/>
        <c:crosses val="autoZero"/>
        <c:auto val="1"/>
        <c:lblAlgn val="ctr"/>
        <c:lblOffset val="100"/>
        <c:noMultiLvlLbl val="0"/>
      </c:catAx>
      <c:valAx>
        <c:axId val="286634752"/>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286634360"/>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hu-HU"/>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hu-HU"/>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r>
              <a:rPr lang="hu-HU" sz="1200" b="1"/>
              <a:t>Idegen</a:t>
            </a:r>
            <a:r>
              <a:rPr lang="hu-HU" sz="1200" b="1" baseline="0"/>
              <a:t> fenntartás (eFt)</a:t>
            </a:r>
            <a:endParaRPr lang="hu-HU" sz="1200" b="1"/>
          </a:p>
        </c:rich>
      </c:tx>
      <c:layout/>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endParaRPr lang="hu-HU"/>
        </a:p>
      </c:txPr>
    </c:title>
    <c:autoTitleDeleted val="0"/>
    <c:plotArea>
      <c:layout>
        <c:manualLayout>
          <c:layoutTarget val="inner"/>
          <c:xMode val="edge"/>
          <c:yMode val="edge"/>
          <c:x val="0.12845603674540682"/>
          <c:y val="0.16708333333333336"/>
          <c:w val="0.84654396325459313"/>
          <c:h val="0.51327099737532811"/>
        </c:manualLayout>
      </c:layout>
      <c:barChart>
        <c:barDir val="col"/>
        <c:grouping val="clustered"/>
        <c:varyColors val="0"/>
        <c:ser>
          <c:idx val="0"/>
          <c:order val="0"/>
          <c:tx>
            <c:strRef>
              <c:f>'Költség részletes'!$D$185</c:f>
              <c:strCache>
                <c:ptCount val="1"/>
                <c:pt idx="0">
                  <c:v>2021.tény</c:v>
                </c:pt>
              </c:strCache>
            </c:strRef>
          </c:tx>
          <c:spPr>
            <a:solidFill>
              <a:schemeClr val="accent1"/>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'Költség részletes'!$C$187:$C$191</c:f>
              <c:strCache>
                <c:ptCount val="3"/>
                <c:pt idx="0">
                  <c:v>Gépjárművek, munkagépek idegen javítás</c:v>
                </c:pt>
                <c:pt idx="1">
                  <c:v>Egyéb idegen javítás ktg</c:v>
                </c:pt>
                <c:pt idx="2">
                  <c:v>Idegen fenntartás összesen</c:v>
                </c:pt>
              </c:strCache>
            </c:strRef>
          </c:cat>
          <c:val>
            <c:numRef>
              <c:f>'Költség részletes'!$D$187:$D$191</c:f>
              <c:numCache>
                <c:formatCode>#,##0</c:formatCode>
                <c:ptCount val="3"/>
                <c:pt idx="0">
                  <c:v>56570</c:v>
                </c:pt>
                <c:pt idx="1">
                  <c:v>124817</c:v>
                </c:pt>
                <c:pt idx="2">
                  <c:v>181387</c:v>
                </c:pt>
              </c:numCache>
            </c:numRef>
          </c:val>
        </c:ser>
        <c:ser>
          <c:idx val="1"/>
          <c:order val="1"/>
          <c:tx>
            <c:strRef>
              <c:f>'Költség részletes'!$E$185</c:f>
              <c:strCache>
                <c:ptCount val="1"/>
                <c:pt idx="0">
                  <c:v>2022. év
terv</c:v>
                </c:pt>
              </c:strCache>
            </c:strRef>
          </c:tx>
          <c:spPr>
            <a:solidFill>
              <a:schemeClr val="accent2"/>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'Költség részletes'!$C$187:$C$191</c:f>
              <c:strCache>
                <c:ptCount val="3"/>
                <c:pt idx="0">
                  <c:v>Gépjárművek, munkagépek idegen javítás</c:v>
                </c:pt>
                <c:pt idx="1">
                  <c:v>Egyéb idegen javítás ktg</c:v>
                </c:pt>
                <c:pt idx="2">
                  <c:v>Idegen fenntartás összesen</c:v>
                </c:pt>
              </c:strCache>
            </c:strRef>
          </c:cat>
          <c:val>
            <c:numRef>
              <c:f>'Költség részletes'!$E$187:$E$191</c:f>
              <c:numCache>
                <c:formatCode>#,##0</c:formatCode>
                <c:ptCount val="3"/>
                <c:pt idx="0">
                  <c:v>40000</c:v>
                </c:pt>
                <c:pt idx="1">
                  <c:v>111146</c:v>
                </c:pt>
                <c:pt idx="2">
                  <c:v>151146</c:v>
                </c:pt>
              </c:numCache>
            </c:numRef>
          </c:val>
        </c:ser>
        <c:ser>
          <c:idx val="2"/>
          <c:order val="2"/>
          <c:tx>
            <c:strRef>
              <c:f>'Költség részletes'!$F$185</c:f>
              <c:strCache>
                <c:ptCount val="1"/>
                <c:pt idx="0">
                  <c:v>2022. 
tény</c:v>
                </c:pt>
              </c:strCache>
            </c:strRef>
          </c:tx>
          <c:spPr>
            <a:solidFill>
              <a:schemeClr val="accent3"/>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'Költség részletes'!$C$187:$C$191</c:f>
              <c:strCache>
                <c:ptCount val="3"/>
                <c:pt idx="0">
                  <c:v>Gépjárművek, munkagépek idegen javítás</c:v>
                </c:pt>
                <c:pt idx="1">
                  <c:v>Egyéb idegen javítás ktg</c:v>
                </c:pt>
                <c:pt idx="2">
                  <c:v>Idegen fenntartás összesen</c:v>
                </c:pt>
              </c:strCache>
            </c:strRef>
          </c:cat>
          <c:val>
            <c:numRef>
              <c:f>'Költség részletes'!$F$187:$F$191</c:f>
              <c:numCache>
                <c:formatCode>#,##0</c:formatCode>
                <c:ptCount val="3"/>
                <c:pt idx="0">
                  <c:v>62265</c:v>
                </c:pt>
                <c:pt idx="1">
                  <c:v>117925</c:v>
                </c:pt>
                <c:pt idx="2">
                  <c:v>180190</c:v>
                </c:pt>
              </c:numCache>
            </c:numRef>
          </c:val>
        </c:ser>
        <c:dLbls>
          <c:showLegendKey val="0"/>
          <c:showVal val="0"/>
          <c:showCatName val="0"/>
          <c:showSerName val="0"/>
          <c:showPercent val="0"/>
          <c:showBubbleSize val="0"/>
        </c:dLbls>
        <c:gapWidth val="219"/>
        <c:overlap val="-27"/>
        <c:axId val="437424720"/>
        <c:axId val="437428248"/>
      </c:barChart>
      <c:catAx>
        <c:axId val="4374247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437428248"/>
        <c:crosses val="autoZero"/>
        <c:auto val="1"/>
        <c:lblAlgn val="ctr"/>
        <c:lblOffset val="100"/>
        <c:noMultiLvlLbl val="0"/>
      </c:catAx>
      <c:valAx>
        <c:axId val="43742824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437424720"/>
        <c:crosses val="autoZero"/>
        <c:crossBetween val="between"/>
      </c:valAx>
      <c:spPr>
        <a:noFill/>
        <a:ln>
          <a:noFill/>
        </a:ln>
        <a:effectLst/>
      </c:spPr>
    </c:plotArea>
    <c:legend>
      <c:legendPos val="b"/>
      <c:layout>
        <c:manualLayout>
          <c:xMode val="edge"/>
          <c:yMode val="edge"/>
          <c:x val="0.31751187593050095"/>
          <c:y val="0.79306935045053917"/>
          <c:w val="0.4190718721983554"/>
          <c:h val="0.1068344031587004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hu-H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sz="900" b="1" i="0" u="none" strike="noStrike" baseline="0">
                <a:solidFill>
                  <a:srgbClr val="000000"/>
                </a:solidFill>
                <a:latin typeface="Arial CE"/>
                <a:ea typeface="Arial CE"/>
                <a:cs typeface="Arial CE"/>
              </a:defRPr>
            </a:pPr>
            <a:r>
              <a:rPr lang="hu-HU" sz="900"/>
              <a:t>Részvények megoszlása   2022. december 31.</a:t>
            </a:r>
          </a:p>
        </c:rich>
      </c:tx>
      <c:layout>
        <c:manualLayout>
          <c:xMode val="edge"/>
          <c:yMode val="edge"/>
          <c:x val="0.1946243401290414"/>
          <c:y val="3.8741818665071932E-2"/>
        </c:manualLayout>
      </c:layout>
      <c:overlay val="0"/>
      <c:spPr>
        <a:noFill/>
        <a:ln w="25400">
          <a:noFill/>
        </a:ln>
      </c:spPr>
    </c:title>
    <c:autoTitleDeleted val="0"/>
    <c:plotArea>
      <c:layout>
        <c:manualLayout>
          <c:layoutTarget val="inner"/>
          <c:xMode val="edge"/>
          <c:yMode val="edge"/>
          <c:x val="0.22589384001943322"/>
          <c:y val="0.15248945147679324"/>
          <c:w val="0.48293555598699139"/>
          <c:h val="0.65967516133805304"/>
        </c:manualLayout>
      </c:layout>
      <c:pieChart>
        <c:varyColors val="1"/>
        <c:ser>
          <c:idx val="0"/>
          <c:order val="0"/>
          <c:spPr>
            <a:solidFill>
              <a:srgbClr val="9999FF"/>
            </a:solidFill>
            <a:ln w="12700">
              <a:solidFill>
                <a:srgbClr val="000000"/>
              </a:solidFill>
              <a:prstDash val="solid"/>
            </a:ln>
          </c:spPr>
          <c:explosion val="15"/>
          <c:dPt>
            <c:idx val="0"/>
            <c:bubble3D val="0"/>
            <c:spPr>
              <a:solidFill>
                <a:srgbClr val="CCFFFF"/>
              </a:solidFill>
              <a:ln w="12700">
                <a:solidFill>
                  <a:srgbClr val="000000"/>
                </a:solidFill>
                <a:prstDash val="solid"/>
              </a:ln>
            </c:spPr>
          </c:dPt>
          <c:dPt>
            <c:idx val="1"/>
            <c:bubble3D val="0"/>
            <c:spPr>
              <a:solidFill>
                <a:srgbClr val="CCFFCC"/>
              </a:solidFill>
              <a:ln w="12700">
                <a:solidFill>
                  <a:srgbClr val="000000"/>
                </a:solidFill>
                <a:prstDash val="solid"/>
              </a:ln>
            </c:spPr>
          </c:dPt>
          <c:dPt>
            <c:idx val="2"/>
            <c:bubble3D val="0"/>
            <c:spPr>
              <a:solidFill>
                <a:srgbClr val="FFFF99"/>
              </a:solidFill>
              <a:ln w="12700">
                <a:solidFill>
                  <a:srgbClr val="000000"/>
                </a:solidFill>
                <a:prstDash val="solid"/>
              </a:ln>
            </c:spPr>
          </c:dPt>
          <c:dPt>
            <c:idx val="3"/>
            <c:bubble3D val="0"/>
            <c:spPr>
              <a:solidFill>
                <a:srgbClr val="FFCC99"/>
              </a:solidFill>
              <a:ln w="12700">
                <a:solidFill>
                  <a:srgbClr val="000000"/>
                </a:solidFill>
                <a:prstDash val="solid"/>
              </a:ln>
            </c:spPr>
          </c:dPt>
          <c:dPt>
            <c:idx val="4"/>
            <c:bubble3D val="0"/>
            <c:spPr>
              <a:solidFill>
                <a:srgbClr val="FF8080"/>
              </a:solidFill>
              <a:ln w="12700">
                <a:solidFill>
                  <a:srgbClr val="000000"/>
                </a:solidFill>
                <a:prstDash val="solid"/>
              </a:ln>
            </c:spPr>
          </c:dPt>
          <c:dPt>
            <c:idx val="5"/>
            <c:bubble3D val="0"/>
            <c:spPr>
              <a:solidFill>
                <a:srgbClr val="FF99CC"/>
              </a:solidFill>
              <a:ln w="12700">
                <a:solidFill>
                  <a:srgbClr val="000000"/>
                </a:solidFill>
                <a:prstDash val="solid"/>
              </a:ln>
            </c:spPr>
          </c:dPt>
          <c:dPt>
            <c:idx val="6"/>
            <c:bubble3D val="0"/>
            <c:spPr>
              <a:solidFill>
                <a:srgbClr val="CC99FF"/>
              </a:solidFill>
              <a:ln w="12700">
                <a:solidFill>
                  <a:srgbClr val="000000"/>
                </a:solidFill>
                <a:prstDash val="solid"/>
              </a:ln>
            </c:spPr>
          </c:dPt>
          <c:dPt>
            <c:idx val="7"/>
            <c:bubble3D val="0"/>
            <c:spPr>
              <a:solidFill>
                <a:srgbClr val="33CCCC"/>
              </a:solidFill>
              <a:ln w="12700">
                <a:solidFill>
                  <a:srgbClr val="000000"/>
                </a:solidFill>
                <a:prstDash val="solid"/>
              </a:ln>
            </c:spPr>
          </c:dPt>
          <c:dPt>
            <c:idx val="8"/>
            <c:bubble3D val="0"/>
            <c:spPr>
              <a:solidFill>
                <a:srgbClr val="000080"/>
              </a:solidFill>
              <a:ln w="12700">
                <a:solidFill>
                  <a:srgbClr val="000000"/>
                </a:solidFill>
                <a:prstDash val="solid"/>
              </a:ln>
            </c:spPr>
          </c:dPt>
          <c:dPt>
            <c:idx val="9"/>
            <c:bubble3D val="0"/>
            <c:spPr>
              <a:solidFill>
                <a:srgbClr val="FF00FF"/>
              </a:solidFill>
              <a:ln w="12700">
                <a:solidFill>
                  <a:srgbClr val="000000"/>
                </a:solidFill>
                <a:prstDash val="solid"/>
              </a:ln>
            </c:spPr>
          </c:dPt>
          <c:dLbls>
            <c:dLbl>
              <c:idx val="0"/>
              <c:layout>
                <c:manualLayout>
                  <c:x val="-4.857242731791709E-2"/>
                  <c:y val="0.20760224592179141"/>
                </c:manualLayout>
              </c:layout>
              <c:numFmt formatCode="0.0%" sourceLinked="0"/>
              <c:spPr>
                <a:noFill/>
                <a:ln w="25400">
                  <a:noFill/>
                </a:ln>
              </c:spPr>
              <c:txPr>
                <a:bodyPr/>
                <a:lstStyle/>
                <a:p>
                  <a:pPr>
                    <a:defRPr sz="800" b="0" i="0" u="none" strike="noStrike" baseline="0">
                      <a:solidFill>
                        <a:srgbClr val="000000"/>
                      </a:solidFill>
                      <a:latin typeface="Arial CE"/>
                      <a:ea typeface="Arial CE"/>
                      <a:cs typeface="Arial CE"/>
                    </a:defRPr>
                  </a:pPr>
                  <a:endParaRPr lang="hu-HU"/>
                </a:p>
              </c:txPr>
              <c:showLegendKey val="0"/>
              <c:showVal val="0"/>
              <c:showCatName val="1"/>
              <c:showSerName val="0"/>
              <c:showPercent val="1"/>
              <c:showBubbleSize val="0"/>
              <c:extLst>
                <c:ext xmlns:c15="http://schemas.microsoft.com/office/drawing/2012/chart" uri="{CE6537A1-D6FC-4f65-9D91-7224C49458BB}">
                  <c15:layout/>
                </c:ext>
              </c:extLst>
            </c:dLbl>
            <c:dLbl>
              <c:idx val="1"/>
              <c:layout>
                <c:manualLayout>
                  <c:x val="0.17066221124165348"/>
                  <c:y val="9.6773979201966835E-3"/>
                </c:manualLayout>
              </c:layout>
              <c:numFmt formatCode="0.0%" sourceLinked="0"/>
              <c:spPr>
                <a:noFill/>
                <a:ln w="25400">
                  <a:noFill/>
                </a:ln>
              </c:spPr>
              <c:txPr>
                <a:bodyPr/>
                <a:lstStyle/>
                <a:p>
                  <a:pPr>
                    <a:defRPr sz="800" b="0" i="0" u="none" strike="noStrike" baseline="0">
                      <a:solidFill>
                        <a:srgbClr val="000000"/>
                      </a:solidFill>
                      <a:latin typeface="Arial CE"/>
                      <a:ea typeface="Arial CE"/>
                      <a:cs typeface="Arial CE"/>
                    </a:defRPr>
                  </a:pPr>
                  <a:endParaRPr lang="hu-HU"/>
                </a:p>
              </c:txPr>
              <c:dLblPos val="bestFit"/>
              <c:showLegendKey val="0"/>
              <c:showVal val="0"/>
              <c:showCatName val="1"/>
              <c:showSerName val="0"/>
              <c:showPercent val="1"/>
              <c:showBubbleSize val="0"/>
              <c:extLst>
                <c:ext xmlns:c15="http://schemas.microsoft.com/office/drawing/2012/chart" uri="{CE6537A1-D6FC-4f65-9D91-7224C49458BB}">
                  <c15:layout/>
                </c:ext>
              </c:extLst>
            </c:dLbl>
            <c:dLbl>
              <c:idx val="2"/>
              <c:layout>
                <c:manualLayout>
                  <c:x val="5.1237726402727668E-2"/>
                  <c:y val="3.6963983287302216E-2"/>
                </c:manualLayout>
              </c:layout>
              <c:numFmt formatCode="0.0%" sourceLinked="0"/>
              <c:spPr>
                <a:noFill/>
                <a:ln w="25400">
                  <a:noFill/>
                </a:ln>
              </c:spPr>
              <c:txPr>
                <a:bodyPr/>
                <a:lstStyle/>
                <a:p>
                  <a:pPr>
                    <a:defRPr sz="800" b="0" i="0" u="none" strike="noStrike" baseline="0">
                      <a:solidFill>
                        <a:srgbClr val="000000"/>
                      </a:solidFill>
                      <a:latin typeface="Arial CE"/>
                      <a:ea typeface="Arial CE"/>
                      <a:cs typeface="Arial CE"/>
                    </a:defRPr>
                  </a:pPr>
                  <a:endParaRPr lang="hu-HU"/>
                </a:p>
              </c:txPr>
              <c:dLblPos val="bestFit"/>
              <c:showLegendKey val="0"/>
              <c:showVal val="0"/>
              <c:showCatName val="1"/>
              <c:showSerName val="0"/>
              <c:showPercent val="1"/>
              <c:showBubbleSize val="0"/>
              <c:extLst>
                <c:ext xmlns:c15="http://schemas.microsoft.com/office/drawing/2012/chart" uri="{CE6537A1-D6FC-4f65-9D91-7224C49458BB}">
                  <c15:layout/>
                </c:ext>
              </c:extLst>
            </c:dLbl>
            <c:dLbl>
              <c:idx val="3"/>
              <c:layout>
                <c:manualLayout>
                  <c:x val="7.372630754877485E-3"/>
                  <c:y val="6.3508442145547961E-2"/>
                </c:manualLayout>
              </c:layout>
              <c:numFmt formatCode="0.0%" sourceLinked="0"/>
              <c:spPr>
                <a:noFill/>
                <a:ln w="25400">
                  <a:noFill/>
                </a:ln>
              </c:spPr>
              <c:txPr>
                <a:bodyPr/>
                <a:lstStyle/>
                <a:p>
                  <a:pPr>
                    <a:defRPr sz="800" b="0" i="0" u="none" strike="noStrike" baseline="0">
                      <a:solidFill>
                        <a:srgbClr val="000000"/>
                      </a:solidFill>
                      <a:latin typeface="Arial CE"/>
                      <a:ea typeface="Arial CE"/>
                      <a:cs typeface="Arial CE"/>
                    </a:defRPr>
                  </a:pPr>
                  <a:endParaRPr lang="hu-HU"/>
                </a:p>
              </c:txPr>
              <c:dLblPos val="bestFit"/>
              <c:showLegendKey val="0"/>
              <c:showVal val="0"/>
              <c:showCatName val="1"/>
              <c:showSerName val="0"/>
              <c:showPercent val="1"/>
              <c:showBubbleSize val="0"/>
              <c:extLst>
                <c:ext xmlns:c15="http://schemas.microsoft.com/office/drawing/2012/chart" uri="{CE6537A1-D6FC-4f65-9D91-7224C49458BB}">
                  <c15:layout/>
                </c:ext>
              </c:extLst>
            </c:dLbl>
            <c:dLbl>
              <c:idx val="4"/>
              <c:layout>
                <c:manualLayout>
                  <c:x val="-2.3700987887151331E-2"/>
                  <c:y val="6.0970701181977449E-2"/>
                </c:manualLayout>
              </c:layout>
              <c:numFmt formatCode="0.0%" sourceLinked="0"/>
              <c:spPr>
                <a:noFill/>
                <a:ln w="25400">
                  <a:noFill/>
                </a:ln>
              </c:spPr>
              <c:txPr>
                <a:bodyPr/>
                <a:lstStyle/>
                <a:p>
                  <a:pPr>
                    <a:defRPr sz="800" b="0" i="0" u="none" strike="noStrike" baseline="0">
                      <a:solidFill>
                        <a:srgbClr val="000000"/>
                      </a:solidFill>
                      <a:latin typeface="Arial CE"/>
                      <a:ea typeface="Arial CE"/>
                      <a:cs typeface="Arial CE"/>
                    </a:defRPr>
                  </a:pPr>
                  <a:endParaRPr lang="hu-HU"/>
                </a:p>
              </c:txPr>
              <c:dLblPos val="bestFit"/>
              <c:showLegendKey val="0"/>
              <c:showVal val="0"/>
              <c:showCatName val="1"/>
              <c:showSerName val="0"/>
              <c:showPercent val="1"/>
              <c:showBubbleSize val="0"/>
              <c:extLst>
                <c:ext xmlns:c15="http://schemas.microsoft.com/office/drawing/2012/chart" uri="{CE6537A1-D6FC-4f65-9D91-7224C49458BB}">
                  <c15:layout/>
                </c:ext>
              </c:extLst>
            </c:dLbl>
            <c:dLbl>
              <c:idx val="5"/>
              <c:layout>
                <c:manualLayout>
                  <c:x val="-3.9803965061137675E-2"/>
                  <c:y val="9.0254414187437293E-3"/>
                </c:manualLayout>
              </c:layout>
              <c:numFmt formatCode="0.0%" sourceLinked="0"/>
              <c:spPr>
                <a:noFill/>
                <a:ln w="25400">
                  <a:noFill/>
                </a:ln>
              </c:spPr>
              <c:txPr>
                <a:bodyPr/>
                <a:lstStyle/>
                <a:p>
                  <a:pPr>
                    <a:defRPr sz="800" b="0" i="0" u="none" strike="noStrike" baseline="0">
                      <a:solidFill>
                        <a:srgbClr val="000000"/>
                      </a:solidFill>
                      <a:latin typeface="Arial CE"/>
                      <a:ea typeface="Arial CE"/>
                      <a:cs typeface="Arial CE"/>
                    </a:defRPr>
                  </a:pPr>
                  <a:endParaRPr lang="hu-HU"/>
                </a:p>
              </c:txPr>
              <c:dLblPos val="bestFit"/>
              <c:showLegendKey val="0"/>
              <c:showVal val="0"/>
              <c:showCatName val="1"/>
              <c:showSerName val="0"/>
              <c:showPercent val="1"/>
              <c:showBubbleSize val="0"/>
              <c:extLst>
                <c:ext xmlns:c15="http://schemas.microsoft.com/office/drawing/2012/chart" uri="{CE6537A1-D6FC-4f65-9D91-7224C49458BB}">
                  <c15:layout/>
                </c:ext>
              </c:extLst>
            </c:dLbl>
            <c:dLbl>
              <c:idx val="6"/>
              <c:layout>
                <c:manualLayout>
                  <c:x val="-6.8583645474022834E-2"/>
                  <c:y val="-4.3801508211130824E-2"/>
                </c:manualLayout>
              </c:layout>
              <c:numFmt formatCode="0.0%" sourceLinked="0"/>
              <c:spPr>
                <a:noFill/>
                <a:ln w="25400">
                  <a:noFill/>
                </a:ln>
              </c:spPr>
              <c:txPr>
                <a:bodyPr/>
                <a:lstStyle/>
                <a:p>
                  <a:pPr>
                    <a:defRPr sz="800" b="0" i="0" u="none" strike="noStrike" baseline="0">
                      <a:solidFill>
                        <a:srgbClr val="000000"/>
                      </a:solidFill>
                      <a:latin typeface="Arial CE"/>
                      <a:ea typeface="Arial CE"/>
                      <a:cs typeface="Arial CE"/>
                    </a:defRPr>
                  </a:pPr>
                  <a:endParaRPr lang="hu-HU"/>
                </a:p>
              </c:txPr>
              <c:dLblPos val="bestFit"/>
              <c:showLegendKey val="0"/>
              <c:showVal val="0"/>
              <c:showCatName val="1"/>
              <c:showSerName val="0"/>
              <c:showPercent val="1"/>
              <c:showBubbleSize val="0"/>
              <c:extLst>
                <c:ext xmlns:c15="http://schemas.microsoft.com/office/drawing/2012/chart" uri="{CE6537A1-D6FC-4f65-9D91-7224C49458BB}">
                  <c15:layout/>
                </c:ext>
              </c:extLst>
            </c:dLbl>
            <c:dLbl>
              <c:idx val="7"/>
              <c:layout>
                <c:manualLayout>
                  <c:x val="-4.958387169686726E-2"/>
                  <c:y val="-0.11189098215436138"/>
                </c:manualLayout>
              </c:layout>
              <c:numFmt formatCode="0.0%" sourceLinked="0"/>
              <c:spPr>
                <a:noFill/>
                <a:ln w="25400">
                  <a:noFill/>
                </a:ln>
              </c:spPr>
              <c:txPr>
                <a:bodyPr/>
                <a:lstStyle/>
                <a:p>
                  <a:pPr>
                    <a:defRPr sz="800" b="0" i="0" u="none" strike="noStrike" baseline="0">
                      <a:solidFill>
                        <a:srgbClr val="000000"/>
                      </a:solidFill>
                      <a:latin typeface="Arial CE"/>
                      <a:ea typeface="Arial CE"/>
                      <a:cs typeface="Arial CE"/>
                    </a:defRPr>
                  </a:pPr>
                  <a:endParaRPr lang="hu-HU"/>
                </a:p>
              </c:txPr>
              <c:dLblPos val="bestFit"/>
              <c:showLegendKey val="0"/>
              <c:showVal val="0"/>
              <c:showCatName val="1"/>
              <c:showSerName val="0"/>
              <c:showPercent val="1"/>
              <c:showBubbleSize val="0"/>
              <c:extLst>
                <c:ext xmlns:c15="http://schemas.microsoft.com/office/drawing/2012/chart" uri="{CE6537A1-D6FC-4f65-9D91-7224C49458BB}">
                  <c15:layout/>
                </c:ext>
              </c:extLst>
            </c:dLbl>
            <c:dLbl>
              <c:idx val="8"/>
              <c:layout>
                <c:manualLayout>
                  <c:x val="-2.8731755514408486E-2"/>
                  <c:y val="-0.17525575416800743"/>
                </c:manualLayout>
              </c:layout>
              <c:numFmt formatCode="0.0%" sourceLinked="0"/>
              <c:spPr>
                <a:noFill/>
                <a:ln w="25400">
                  <a:noFill/>
                </a:ln>
              </c:spPr>
              <c:txPr>
                <a:bodyPr/>
                <a:lstStyle/>
                <a:p>
                  <a:pPr>
                    <a:defRPr sz="800" b="0" i="0" u="none" strike="noStrike" baseline="0">
                      <a:solidFill>
                        <a:srgbClr val="000000"/>
                      </a:solidFill>
                      <a:latin typeface="Arial CE"/>
                      <a:ea typeface="Arial CE"/>
                      <a:cs typeface="Arial CE"/>
                    </a:defRPr>
                  </a:pPr>
                  <a:endParaRPr lang="hu-HU"/>
                </a:p>
              </c:txPr>
              <c:dLblPos val="bestFit"/>
              <c:showLegendKey val="0"/>
              <c:showVal val="0"/>
              <c:showCatName val="1"/>
              <c:showSerName val="0"/>
              <c:showPercent val="1"/>
              <c:showBubbleSize val="0"/>
              <c:extLst>
                <c:ext xmlns:c15="http://schemas.microsoft.com/office/drawing/2012/chart" uri="{CE6537A1-D6FC-4f65-9D91-7224C49458BB}">
                  <c15:layout/>
                </c:ext>
              </c:extLst>
            </c:dLbl>
            <c:dLbl>
              <c:idx val="9"/>
              <c:layout>
                <c:manualLayout>
                  <c:x val="-1.178079393772276E-2"/>
                  <c:y val="-1.453578302712161E-3"/>
                </c:manualLayout>
              </c:layout>
              <c:numFmt formatCode="0.0%" sourceLinked="0"/>
              <c:spPr>
                <a:noFill/>
                <a:ln w="25400">
                  <a:noFill/>
                </a:ln>
              </c:spPr>
              <c:txPr>
                <a:bodyPr/>
                <a:lstStyle/>
                <a:p>
                  <a:pPr>
                    <a:defRPr sz="800" b="0" i="0" u="none" strike="noStrike" baseline="0">
                      <a:solidFill>
                        <a:srgbClr val="000000"/>
                      </a:solidFill>
                      <a:latin typeface="Arial CE"/>
                      <a:ea typeface="Arial CE"/>
                      <a:cs typeface="Arial CE"/>
                    </a:defRPr>
                  </a:pPr>
                  <a:endParaRPr lang="hu-HU"/>
                </a:p>
              </c:txPr>
              <c:showLegendKey val="0"/>
              <c:showVal val="0"/>
              <c:showCatName val="1"/>
              <c:showSerName val="0"/>
              <c:showPercent val="1"/>
              <c:showBubbleSize val="0"/>
              <c:extLst>
                <c:ext xmlns:c15="http://schemas.microsoft.com/office/drawing/2012/chart" uri="{CE6537A1-D6FC-4f65-9D91-7224C49458BB}">
                  <c15:layout/>
                </c:ext>
              </c:extLst>
            </c:dLbl>
            <c:numFmt formatCode="0%" sourceLinked="0"/>
            <c:spPr>
              <a:noFill/>
              <a:ln w="25400">
                <a:noFill/>
              </a:ln>
            </c:spPr>
            <c:txPr>
              <a:bodyPr wrap="square" lIns="38100" tIns="19050" rIns="38100" bIns="19050" anchor="ctr">
                <a:spAutoFit/>
              </a:bodyPr>
              <a:lstStyle/>
              <a:p>
                <a:pPr>
                  <a:defRPr sz="950" b="0" i="0" u="none" strike="noStrike" baseline="0">
                    <a:solidFill>
                      <a:srgbClr val="000000"/>
                    </a:solidFill>
                    <a:latin typeface="Arial CE"/>
                    <a:ea typeface="Arial CE"/>
                    <a:cs typeface="Arial CE"/>
                  </a:defRPr>
                </a:pPr>
                <a:endParaRPr lang="hu-HU"/>
              </a:p>
            </c:txPr>
            <c:showLegendKey val="0"/>
            <c:showVal val="0"/>
            <c:showCatName val="1"/>
            <c:showSerName val="0"/>
            <c:showPercent val="1"/>
            <c:showBubbleSize val="0"/>
            <c:showLeaderLines val="1"/>
            <c:extLst>
              <c:ext xmlns:c15="http://schemas.microsoft.com/office/drawing/2012/chart" uri="{CE6537A1-D6FC-4f65-9D91-7224C49458BB}"/>
            </c:extLst>
          </c:dLbls>
          <c:cat>
            <c:strRef>
              <c:f>'Vagyon, Részvény2014.'!$A$34:$A$43</c:f>
              <c:strCache>
                <c:ptCount val="10"/>
                <c:pt idx="0">
                  <c:v>Szombathely</c:v>
                </c:pt>
                <c:pt idx="1">
                  <c:v>Szentgotthárd</c:v>
                </c:pt>
                <c:pt idx="2">
                  <c:v>Körmend</c:v>
                </c:pt>
                <c:pt idx="3">
                  <c:v>Magyar Állam</c:v>
                </c:pt>
                <c:pt idx="4">
                  <c:v>Kőszeg</c:v>
                </c:pt>
                <c:pt idx="5">
                  <c:v>Csepreg</c:v>
                </c:pt>
                <c:pt idx="6">
                  <c:v>Vasvár</c:v>
                </c:pt>
                <c:pt idx="7">
                  <c:v>Sárvár</c:v>
                </c:pt>
                <c:pt idx="8">
                  <c:v>Vép</c:v>
                </c:pt>
                <c:pt idx="9">
                  <c:v>Többi tulajdonos</c:v>
                </c:pt>
              </c:strCache>
            </c:strRef>
          </c:cat>
          <c:val>
            <c:numRef>
              <c:f>'Vagyon, Részvény2014.'!$B$34:$B$43</c:f>
              <c:numCache>
                <c:formatCode>0.000</c:formatCode>
                <c:ptCount val="10"/>
                <c:pt idx="0">
                  <c:v>52.850999999999999</c:v>
                </c:pt>
                <c:pt idx="1">
                  <c:v>4.593</c:v>
                </c:pt>
                <c:pt idx="2">
                  <c:v>4.2889999999999997</c:v>
                </c:pt>
                <c:pt idx="3">
                  <c:v>4.2110000000000003</c:v>
                </c:pt>
                <c:pt idx="4">
                  <c:v>3.569</c:v>
                </c:pt>
                <c:pt idx="5">
                  <c:v>1.587</c:v>
                </c:pt>
                <c:pt idx="6">
                  <c:v>1.319</c:v>
                </c:pt>
                <c:pt idx="7">
                  <c:v>1.24</c:v>
                </c:pt>
                <c:pt idx="8">
                  <c:v>0.7</c:v>
                </c:pt>
                <c:pt idx="9">
                  <c:v>25.641000000000005</c:v>
                </c:pt>
              </c:numCache>
            </c:numRef>
          </c:val>
        </c:ser>
        <c:dLbls>
          <c:showLegendKey val="0"/>
          <c:showVal val="0"/>
          <c:showCatName val="0"/>
          <c:showSerName val="0"/>
          <c:showPercent val="0"/>
          <c:showBubbleSize val="0"/>
          <c:showLeaderLines val="1"/>
        </c:dLbls>
        <c:firstSliceAng val="0"/>
      </c:pieChart>
      <c:spPr>
        <a:noFill/>
        <a:ln w="25400">
          <a:noFill/>
        </a:ln>
      </c:spPr>
    </c:plotArea>
    <c:legend>
      <c:legendPos val="r"/>
      <c:layout>
        <c:manualLayout>
          <c:xMode val="edge"/>
          <c:yMode val="edge"/>
          <c:x val="0.76791880537117163"/>
          <c:y val="0.30303103720426555"/>
          <c:w val="0.2201366979298236"/>
          <c:h val="0.34965108382431226"/>
        </c:manualLayout>
      </c:layout>
      <c:overlay val="0"/>
      <c:spPr>
        <a:noFill/>
        <a:ln w="25400">
          <a:noFill/>
        </a:ln>
      </c:spPr>
      <c:txPr>
        <a:bodyPr/>
        <a:lstStyle/>
        <a:p>
          <a:pPr>
            <a:defRPr sz="735" b="0" i="0" u="none" strike="noStrike" baseline="0">
              <a:solidFill>
                <a:srgbClr val="000000"/>
              </a:solidFill>
              <a:latin typeface="Arial CE"/>
              <a:ea typeface="Arial CE"/>
              <a:cs typeface="Arial CE"/>
            </a:defRPr>
          </a:pPr>
          <a:endParaRPr lang="hu-HU"/>
        </a:p>
      </c:txPr>
    </c:legend>
    <c:plotVisOnly val="1"/>
    <c:dispBlanksAs val="zero"/>
    <c:showDLblsOverMax val="0"/>
  </c:chart>
  <c:spPr>
    <a:noFill/>
    <a:ln w="3175">
      <a:solidFill>
        <a:srgbClr val="000000"/>
      </a:solidFill>
      <a:prstDash val="solid"/>
    </a:ln>
  </c:spPr>
  <c:txPr>
    <a:bodyPr/>
    <a:lstStyle/>
    <a:p>
      <a:pPr>
        <a:defRPr sz="1200" b="0" i="0" u="none" strike="noStrike" baseline="0">
          <a:solidFill>
            <a:srgbClr val="000000"/>
          </a:solidFill>
          <a:latin typeface="Arial CE"/>
          <a:ea typeface="Arial CE"/>
          <a:cs typeface="Arial CE"/>
        </a:defRPr>
      </a:pPr>
      <a:endParaRPr lang="hu-HU"/>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r>
              <a:rPr lang="en-US" sz="1200" b="1"/>
              <a:t>Egyé</a:t>
            </a:r>
            <a:r>
              <a:rPr lang="hu-HU" sz="1200" b="1"/>
              <a:t>b igénybevett szolgáltatások kiemelt tételei (eFt)</a:t>
            </a:r>
            <a:endParaRPr lang="en-US" sz="1200" b="1"/>
          </a:p>
        </c:rich>
      </c:tx>
      <c:layout/>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endParaRPr lang="hu-HU"/>
        </a:p>
      </c:txPr>
    </c:title>
    <c:autoTitleDeleted val="0"/>
    <c:plotArea>
      <c:layout/>
      <c:barChart>
        <c:barDir val="col"/>
        <c:grouping val="clustered"/>
        <c:varyColors val="0"/>
        <c:ser>
          <c:idx val="0"/>
          <c:order val="0"/>
          <c:tx>
            <c:strRef>
              <c:f>'Költség részletes'!$D$225</c:f>
              <c:strCache>
                <c:ptCount val="1"/>
                <c:pt idx="0">
                  <c:v>2021.tény</c:v>
                </c:pt>
              </c:strCache>
            </c:strRef>
          </c:tx>
          <c:spPr>
            <a:solidFill>
              <a:schemeClr val="accent1"/>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600" b="0" i="0" u="none" strike="noStrike" kern="1200" baseline="0">
                    <a:solidFill>
                      <a:schemeClr val="tx1">
                        <a:lumMod val="75000"/>
                        <a:lumOff val="25000"/>
                      </a:schemeClr>
                    </a:solidFill>
                    <a:latin typeface="+mn-lt"/>
                    <a:ea typeface="+mn-ea"/>
                    <a:cs typeface="+mn-cs"/>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'Költség részletes'!$C$226:$C$243</c:f>
              <c:strCache>
                <c:ptCount val="13"/>
                <c:pt idx="1">
                  <c:v>     Szakértői díj tanácsadás</c:v>
                </c:pt>
                <c:pt idx="2">
                  <c:v>     Informatikai szolgáltatás</c:v>
                </c:pt>
                <c:pt idx="3">
                  <c:v>     Bérleti díjak</c:v>
                </c:pt>
                <c:pt idx="4">
                  <c:v>     Hirdetés, reklámköltség</c:v>
                </c:pt>
                <c:pt idx="5">
                  <c:v>     Oktatás, továbbképzés</c:v>
                </c:pt>
                <c:pt idx="6">
                  <c:v>     Könyvvizsgálat</c:v>
                </c:pt>
                <c:pt idx="7">
                  <c:v>     Biztonsági őrzés</c:v>
                </c:pt>
                <c:pt idx="8">
                  <c:v>     Megbízásba adott takarítás</c:v>
                </c:pt>
                <c:pt idx="9">
                  <c:v>     Tagsági díjak költsége</c:v>
                </c:pt>
                <c:pt idx="10">
                  <c:v>     Munkaruhabérlet</c:v>
                </c:pt>
                <c:pt idx="11">
                  <c:v>     Egyéb igénybevett szolg költségei</c:v>
                </c:pt>
                <c:pt idx="12">
                  <c:v>     Köztisztasági dijak</c:v>
                </c:pt>
              </c:strCache>
            </c:strRef>
          </c:cat>
          <c:val>
            <c:numRef>
              <c:f>'Költség részletes'!$D$226:$D$243</c:f>
              <c:numCache>
                <c:formatCode>#,##0</c:formatCode>
                <c:ptCount val="13"/>
                <c:pt idx="1">
                  <c:v>38030</c:v>
                </c:pt>
                <c:pt idx="2">
                  <c:v>61224</c:v>
                </c:pt>
                <c:pt idx="3">
                  <c:v>6385</c:v>
                </c:pt>
                <c:pt idx="4">
                  <c:v>36685</c:v>
                </c:pt>
                <c:pt idx="5">
                  <c:v>3704</c:v>
                </c:pt>
                <c:pt idx="6">
                  <c:v>3200</c:v>
                </c:pt>
                <c:pt idx="7">
                  <c:v>18472</c:v>
                </c:pt>
                <c:pt idx="8">
                  <c:v>8224</c:v>
                </c:pt>
                <c:pt idx="9">
                  <c:v>3665</c:v>
                </c:pt>
                <c:pt idx="10">
                  <c:v>12957</c:v>
                </c:pt>
                <c:pt idx="11">
                  <c:v>21677</c:v>
                </c:pt>
                <c:pt idx="12">
                  <c:v>31091</c:v>
                </c:pt>
              </c:numCache>
            </c:numRef>
          </c:val>
        </c:ser>
        <c:ser>
          <c:idx val="1"/>
          <c:order val="1"/>
          <c:tx>
            <c:strRef>
              <c:f>'Költség részletes'!$E$225</c:f>
              <c:strCache>
                <c:ptCount val="1"/>
                <c:pt idx="0">
                  <c:v>2022. év
terv</c:v>
                </c:pt>
              </c:strCache>
            </c:strRef>
          </c:tx>
          <c:spPr>
            <a:solidFill>
              <a:schemeClr val="accent2"/>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600" b="0" i="0" u="none" strike="noStrike" kern="1200" baseline="0">
                    <a:solidFill>
                      <a:schemeClr val="tx1">
                        <a:lumMod val="75000"/>
                        <a:lumOff val="25000"/>
                      </a:schemeClr>
                    </a:solidFill>
                    <a:latin typeface="+mn-lt"/>
                    <a:ea typeface="+mn-ea"/>
                    <a:cs typeface="+mn-cs"/>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'Költség részletes'!$C$226:$C$243</c:f>
              <c:strCache>
                <c:ptCount val="13"/>
                <c:pt idx="1">
                  <c:v>     Szakértői díj tanácsadás</c:v>
                </c:pt>
                <c:pt idx="2">
                  <c:v>     Informatikai szolgáltatás</c:v>
                </c:pt>
                <c:pt idx="3">
                  <c:v>     Bérleti díjak</c:v>
                </c:pt>
                <c:pt idx="4">
                  <c:v>     Hirdetés, reklámköltség</c:v>
                </c:pt>
                <c:pt idx="5">
                  <c:v>     Oktatás, továbbképzés</c:v>
                </c:pt>
                <c:pt idx="6">
                  <c:v>     Könyvvizsgálat</c:v>
                </c:pt>
                <c:pt idx="7">
                  <c:v>     Biztonsági őrzés</c:v>
                </c:pt>
                <c:pt idx="8">
                  <c:v>     Megbízásba adott takarítás</c:v>
                </c:pt>
                <c:pt idx="9">
                  <c:v>     Tagsági díjak költsége</c:v>
                </c:pt>
                <c:pt idx="10">
                  <c:v>     Munkaruhabérlet</c:v>
                </c:pt>
                <c:pt idx="11">
                  <c:v>     Egyéb igénybevett szolg költségei</c:v>
                </c:pt>
                <c:pt idx="12">
                  <c:v>     Köztisztasági dijak</c:v>
                </c:pt>
              </c:strCache>
            </c:strRef>
          </c:cat>
          <c:val>
            <c:numRef>
              <c:f>'Költség részletes'!$E$226:$E$243</c:f>
              <c:numCache>
                <c:formatCode>#,##0</c:formatCode>
                <c:ptCount val="13"/>
                <c:pt idx="1">
                  <c:v>39000</c:v>
                </c:pt>
                <c:pt idx="2">
                  <c:v>50151</c:v>
                </c:pt>
                <c:pt idx="3">
                  <c:v>7000</c:v>
                </c:pt>
                <c:pt idx="4">
                  <c:v>40000</c:v>
                </c:pt>
                <c:pt idx="5">
                  <c:v>5000</c:v>
                </c:pt>
                <c:pt idx="6">
                  <c:v>3200</c:v>
                </c:pt>
                <c:pt idx="7">
                  <c:v>12184</c:v>
                </c:pt>
                <c:pt idx="8">
                  <c:v>10485</c:v>
                </c:pt>
                <c:pt idx="9">
                  <c:v>3750</c:v>
                </c:pt>
                <c:pt idx="10">
                  <c:v>13000</c:v>
                </c:pt>
                <c:pt idx="11">
                  <c:v>21000</c:v>
                </c:pt>
                <c:pt idx="12">
                  <c:v>37000</c:v>
                </c:pt>
              </c:numCache>
            </c:numRef>
          </c:val>
        </c:ser>
        <c:ser>
          <c:idx val="2"/>
          <c:order val="2"/>
          <c:tx>
            <c:strRef>
              <c:f>'Költség részletes'!$F$225</c:f>
              <c:strCache>
                <c:ptCount val="1"/>
                <c:pt idx="0">
                  <c:v>2022. 
tény</c:v>
                </c:pt>
              </c:strCache>
            </c:strRef>
          </c:tx>
          <c:spPr>
            <a:solidFill>
              <a:schemeClr val="accent3"/>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600" b="0" i="0" u="none" strike="noStrike" kern="1200" baseline="0">
                    <a:solidFill>
                      <a:schemeClr val="tx1">
                        <a:lumMod val="75000"/>
                        <a:lumOff val="25000"/>
                      </a:schemeClr>
                    </a:solidFill>
                    <a:latin typeface="+mn-lt"/>
                    <a:ea typeface="+mn-ea"/>
                    <a:cs typeface="+mn-cs"/>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'Költség részletes'!$C$226:$C$243</c:f>
              <c:strCache>
                <c:ptCount val="13"/>
                <c:pt idx="1">
                  <c:v>     Szakértői díj tanácsadás</c:v>
                </c:pt>
                <c:pt idx="2">
                  <c:v>     Informatikai szolgáltatás</c:v>
                </c:pt>
                <c:pt idx="3">
                  <c:v>     Bérleti díjak</c:v>
                </c:pt>
                <c:pt idx="4">
                  <c:v>     Hirdetés, reklámköltség</c:v>
                </c:pt>
                <c:pt idx="5">
                  <c:v>     Oktatás, továbbképzés</c:v>
                </c:pt>
                <c:pt idx="6">
                  <c:v>     Könyvvizsgálat</c:v>
                </c:pt>
                <c:pt idx="7">
                  <c:v>     Biztonsági őrzés</c:v>
                </c:pt>
                <c:pt idx="8">
                  <c:v>     Megbízásba adott takarítás</c:v>
                </c:pt>
                <c:pt idx="9">
                  <c:v>     Tagsági díjak költsége</c:v>
                </c:pt>
                <c:pt idx="10">
                  <c:v>     Munkaruhabérlet</c:v>
                </c:pt>
                <c:pt idx="11">
                  <c:v>     Egyéb igénybevett szolg költségei</c:v>
                </c:pt>
                <c:pt idx="12">
                  <c:v>     Köztisztasági dijak</c:v>
                </c:pt>
              </c:strCache>
            </c:strRef>
          </c:cat>
          <c:val>
            <c:numRef>
              <c:f>'Költség részletes'!$F$226:$F$243</c:f>
              <c:numCache>
                <c:formatCode>#,##0</c:formatCode>
                <c:ptCount val="13"/>
                <c:pt idx="1">
                  <c:v>36242</c:v>
                </c:pt>
                <c:pt idx="2">
                  <c:v>60497</c:v>
                </c:pt>
                <c:pt idx="3">
                  <c:v>11797</c:v>
                </c:pt>
                <c:pt idx="4">
                  <c:v>40327</c:v>
                </c:pt>
                <c:pt idx="5">
                  <c:v>6280</c:v>
                </c:pt>
                <c:pt idx="6">
                  <c:v>3420</c:v>
                </c:pt>
                <c:pt idx="7">
                  <c:v>15944</c:v>
                </c:pt>
                <c:pt idx="8">
                  <c:v>8808</c:v>
                </c:pt>
                <c:pt idx="9">
                  <c:v>3714</c:v>
                </c:pt>
                <c:pt idx="10">
                  <c:v>12013</c:v>
                </c:pt>
                <c:pt idx="11">
                  <c:v>30309</c:v>
                </c:pt>
                <c:pt idx="12">
                  <c:v>36458</c:v>
                </c:pt>
              </c:numCache>
            </c:numRef>
          </c:val>
        </c:ser>
        <c:dLbls>
          <c:showLegendKey val="0"/>
          <c:showVal val="0"/>
          <c:showCatName val="0"/>
          <c:showSerName val="0"/>
          <c:showPercent val="0"/>
          <c:showBubbleSize val="0"/>
        </c:dLbls>
        <c:gapWidth val="219"/>
        <c:overlap val="-27"/>
        <c:axId val="437430208"/>
        <c:axId val="437424328"/>
      </c:barChart>
      <c:catAx>
        <c:axId val="4374302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50" b="0" i="0" u="none" strike="noStrike" kern="1200" baseline="0">
                <a:solidFill>
                  <a:schemeClr val="tx1">
                    <a:lumMod val="65000"/>
                    <a:lumOff val="35000"/>
                  </a:schemeClr>
                </a:solidFill>
                <a:latin typeface="+mn-lt"/>
                <a:ea typeface="+mn-ea"/>
                <a:cs typeface="+mn-cs"/>
              </a:defRPr>
            </a:pPr>
            <a:endParaRPr lang="hu-HU"/>
          </a:p>
        </c:txPr>
        <c:crossAx val="437424328"/>
        <c:crosses val="autoZero"/>
        <c:auto val="1"/>
        <c:lblAlgn val="ctr"/>
        <c:lblOffset val="100"/>
        <c:noMultiLvlLbl val="0"/>
      </c:catAx>
      <c:valAx>
        <c:axId val="43742432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43743020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hu-HU"/>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spc="0" baseline="0">
                <a:solidFill>
                  <a:schemeClr val="tx1">
                    <a:lumMod val="65000"/>
                    <a:lumOff val="35000"/>
                  </a:schemeClr>
                </a:solidFill>
                <a:latin typeface="+mn-lt"/>
                <a:ea typeface="+mn-ea"/>
                <a:cs typeface="+mn-cs"/>
              </a:defRPr>
            </a:pPr>
            <a:r>
              <a:rPr lang="en-US" sz="1100" b="1"/>
              <a:t>     Építőipari szolgáltatások igénybevétele</a:t>
            </a:r>
            <a:r>
              <a:rPr lang="hu-HU" sz="1100" b="1"/>
              <a:t> (eFt)</a:t>
            </a:r>
            <a:endParaRPr lang="en-US" sz="1100" b="1"/>
          </a:p>
        </c:rich>
      </c:tx>
      <c:layout/>
      <c:overlay val="0"/>
      <c:spPr>
        <a:noFill/>
        <a:ln>
          <a:noFill/>
        </a:ln>
        <a:effectLst/>
      </c:spPr>
      <c:txPr>
        <a:bodyPr rot="0" spcFirstLastPara="1" vertOverflow="ellipsis" vert="horz" wrap="square" anchor="ctr" anchorCtr="1"/>
        <a:lstStyle/>
        <a:p>
          <a:pPr>
            <a:defRPr sz="1100" b="1" i="0" u="none" strike="noStrike" kern="1200" spc="0" baseline="0">
              <a:solidFill>
                <a:schemeClr val="tx1">
                  <a:lumMod val="65000"/>
                  <a:lumOff val="35000"/>
                </a:schemeClr>
              </a:solidFill>
              <a:latin typeface="+mn-lt"/>
              <a:ea typeface="+mn-ea"/>
              <a:cs typeface="+mn-cs"/>
            </a:defRPr>
          </a:pPr>
          <a:endParaRPr lang="hu-HU"/>
        </a:p>
      </c:txPr>
    </c:title>
    <c:autoTitleDeleted val="0"/>
    <c:plotArea>
      <c:layout/>
      <c:barChart>
        <c:barDir val="bar"/>
        <c:grouping val="clustered"/>
        <c:varyColors val="0"/>
        <c:ser>
          <c:idx val="1"/>
          <c:order val="1"/>
          <c:tx>
            <c:strRef>
              <c:f>'Költség részletes'!$C$205</c:f>
              <c:strCache>
                <c:ptCount val="1"/>
                <c:pt idx="0">
                  <c:v>     Építőipari szolgáltatások igénybevétele</c:v>
                </c:pt>
              </c:strCache>
            </c:strRef>
          </c:tx>
          <c:spPr>
            <a:solidFill>
              <a:schemeClr val="accent2">
                <a:lumMod val="40000"/>
                <a:lumOff val="60000"/>
              </a:schemeClr>
            </a:solidFill>
            <a:ln>
              <a:noFill/>
            </a:ln>
            <a:effectLst/>
          </c:spPr>
          <c:invertIfNegative val="0"/>
          <c:cat>
            <c:strRef>
              <c:f>'Költség részletes'!$D$203:$F$203</c:f>
              <c:strCache>
                <c:ptCount val="3"/>
                <c:pt idx="0">
                  <c:v>2021.tény</c:v>
                </c:pt>
                <c:pt idx="1">
                  <c:v>2022. év
terv</c:v>
                </c:pt>
                <c:pt idx="2">
                  <c:v>2022. 
tény</c:v>
                </c:pt>
              </c:strCache>
            </c:strRef>
          </c:cat>
          <c:val>
            <c:numRef>
              <c:f>'Költség részletes'!$D$205:$F$205</c:f>
              <c:numCache>
                <c:formatCode>#,##0</c:formatCode>
                <c:ptCount val="3"/>
                <c:pt idx="0">
                  <c:v>245294</c:v>
                </c:pt>
                <c:pt idx="1">
                  <c:v>591606</c:v>
                </c:pt>
                <c:pt idx="2">
                  <c:v>109495</c:v>
                </c:pt>
              </c:numCache>
            </c:numRef>
          </c:val>
        </c:ser>
        <c:dLbls>
          <c:showLegendKey val="0"/>
          <c:showVal val="0"/>
          <c:showCatName val="0"/>
          <c:showSerName val="0"/>
          <c:showPercent val="0"/>
          <c:showBubbleSize val="0"/>
        </c:dLbls>
        <c:gapWidth val="150"/>
        <c:axId val="437426288"/>
        <c:axId val="437426680"/>
        <c:extLst>
          <c:ext xmlns:c15="http://schemas.microsoft.com/office/drawing/2012/chart" uri="{02D57815-91ED-43cb-92C2-25804820EDAC}">
            <c15:filteredBarSeries>
              <c15:ser>
                <c:idx val="0"/>
                <c:order val="0"/>
                <c:tx>
                  <c:strRef>
                    <c:extLst>
                      <c:ext uri="{02D57815-91ED-43cb-92C2-25804820EDAC}">
                        <c15:formulaRef>
                          <c15:sqref>'Költség részletes'!$C$204</c15:sqref>
                        </c15:formulaRef>
                      </c:ext>
                    </c:extLst>
                    <c:strCache>
                      <c:ptCount val="1"/>
                    </c:strCache>
                  </c:strRef>
                </c:tx>
                <c:spPr>
                  <a:solidFill>
                    <a:schemeClr val="accent1"/>
                  </a:solidFill>
                  <a:ln>
                    <a:noFill/>
                  </a:ln>
                  <a:effectLst/>
                </c:spPr>
                <c:invertIfNegative val="0"/>
                <c:cat>
                  <c:strRef>
                    <c:extLst>
                      <c:ext uri="{02D57815-91ED-43cb-92C2-25804820EDAC}">
                        <c15:formulaRef>
                          <c15:sqref>'Költség részletes'!$D$203:$F$203</c15:sqref>
                        </c15:formulaRef>
                      </c:ext>
                    </c:extLst>
                    <c:strCache>
                      <c:ptCount val="3"/>
                      <c:pt idx="0">
                        <c:v>2021.tény</c:v>
                      </c:pt>
                      <c:pt idx="1">
                        <c:v>2022. év
terv</c:v>
                      </c:pt>
                      <c:pt idx="2">
                        <c:v>2022. 
tény</c:v>
                      </c:pt>
                    </c:strCache>
                  </c:strRef>
                </c:cat>
                <c:val>
                  <c:numRef>
                    <c:extLst>
                      <c:ext uri="{02D57815-91ED-43cb-92C2-25804820EDAC}">
                        <c15:formulaRef>
                          <c15:sqref>'Költség részletes'!$D$204:$F$204</c15:sqref>
                        </c15:formulaRef>
                      </c:ext>
                    </c:extLst>
                    <c:numCache>
                      <c:formatCode>General</c:formatCode>
                      <c:ptCount val="3"/>
                    </c:numCache>
                  </c:numRef>
                </c:val>
              </c15:ser>
            </c15:filteredBarSeries>
          </c:ext>
        </c:extLst>
      </c:barChart>
      <c:catAx>
        <c:axId val="43742628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437426680"/>
        <c:crosses val="autoZero"/>
        <c:auto val="1"/>
        <c:lblAlgn val="ctr"/>
        <c:lblOffset val="100"/>
        <c:noMultiLvlLbl val="0"/>
      </c:catAx>
      <c:valAx>
        <c:axId val="437426680"/>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437426288"/>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hu-HU"/>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hu-HU"/>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1"/>
    </mc:Choice>
    <mc:Fallback>
      <c:style val="1"/>
    </mc:Fallback>
  </mc:AlternateContent>
  <c:chart>
    <c:title>
      <c:tx>
        <c:rich>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r>
              <a:rPr lang="hu-HU" sz="1200" b="1"/>
              <a:t>Egyéb</a:t>
            </a:r>
            <a:r>
              <a:rPr lang="hu-HU" sz="1200" b="1" baseline="0"/>
              <a:t> szolgáltatások (eFt)</a:t>
            </a:r>
            <a:endParaRPr lang="hu-HU" sz="1200" b="1"/>
          </a:p>
        </c:rich>
      </c:tx>
      <c:layout/>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endParaRPr lang="hu-HU"/>
        </a:p>
      </c:txPr>
    </c:title>
    <c:autoTitleDeleted val="0"/>
    <c:plotArea>
      <c:layout/>
      <c:barChart>
        <c:barDir val="col"/>
        <c:grouping val="clustered"/>
        <c:varyColors val="0"/>
        <c:ser>
          <c:idx val="0"/>
          <c:order val="0"/>
          <c:tx>
            <c:strRef>
              <c:f>'Költség részletes'!$D$168</c:f>
              <c:strCache>
                <c:ptCount val="1"/>
                <c:pt idx="0">
                  <c:v>2021.tény</c:v>
                </c:pt>
              </c:strCache>
            </c:strRef>
          </c:tx>
          <c:spPr>
            <a:solidFill>
              <a:schemeClr val="accent1">
                <a:lumMod val="75000"/>
              </a:schemeClr>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600" b="0" i="0" u="none" strike="noStrike" kern="1200" baseline="0">
                    <a:solidFill>
                      <a:schemeClr val="tx1">
                        <a:lumMod val="75000"/>
                        <a:lumOff val="25000"/>
                      </a:schemeClr>
                    </a:solidFill>
                    <a:latin typeface="+mn-lt"/>
                    <a:ea typeface="+mn-ea"/>
                    <a:cs typeface="+mn-cs"/>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'Költség részletes'!$B$169:$C$179</c:f>
              <c:strCache>
                <c:ptCount val="6"/>
                <c:pt idx="1">
                  <c:v>Vízkészlet járulék</c:v>
                </c:pt>
                <c:pt idx="2">
                  <c:v>MEH felügyeleti díj</c:v>
                </c:pt>
                <c:pt idx="3">
                  <c:v>Hatósági, igazgatási díjak, illetékek</c:v>
                </c:pt>
                <c:pt idx="4">
                  <c:v>PEK csekkelszám., bank ktg, tranzakciós illeték</c:v>
                </c:pt>
                <c:pt idx="5">
                  <c:v>Biztosítási díjak</c:v>
                </c:pt>
              </c:strCache>
            </c:strRef>
          </c:cat>
          <c:val>
            <c:numRef>
              <c:f>'Költség részletes'!$D$169:$D$179</c:f>
              <c:numCache>
                <c:formatCode>#,##0</c:formatCode>
                <c:ptCount val="6"/>
                <c:pt idx="1">
                  <c:v>59534</c:v>
                </c:pt>
                <c:pt idx="2">
                  <c:v>42578</c:v>
                </c:pt>
                <c:pt idx="3">
                  <c:v>27606</c:v>
                </c:pt>
                <c:pt idx="4">
                  <c:v>138005</c:v>
                </c:pt>
                <c:pt idx="5">
                  <c:v>27781</c:v>
                </c:pt>
              </c:numCache>
            </c:numRef>
          </c:val>
        </c:ser>
        <c:ser>
          <c:idx val="2"/>
          <c:order val="1"/>
          <c:tx>
            <c:strRef>
              <c:f>'Költség részletes'!$F$168</c:f>
              <c:strCache>
                <c:ptCount val="1"/>
                <c:pt idx="0">
                  <c:v>2022. év
terv</c:v>
                </c:pt>
              </c:strCache>
            </c:strRef>
          </c:tx>
          <c:spPr>
            <a:solidFill>
              <a:schemeClr val="accent2"/>
            </a:solidFill>
            <a:ln>
              <a:noFill/>
            </a:ln>
            <a:effectLst/>
          </c:spPr>
          <c:invertIfNegative val="0"/>
          <c:dLbls>
            <c:spPr>
              <a:noFill/>
              <a:ln>
                <a:noFill/>
              </a:ln>
              <a:effectLst/>
            </c:spPr>
            <c:txPr>
              <a:bodyPr rot="-5400000" spcFirstLastPara="1" vertOverflow="ellipsis" wrap="square" lIns="38100" tIns="19050" rIns="38100" bIns="19050" anchor="ctr" anchorCtr="0">
                <a:spAutoFit/>
              </a:bodyPr>
              <a:lstStyle/>
              <a:p>
                <a:pPr>
                  <a:defRPr sz="600" b="0" i="0" u="none" strike="noStrike" kern="1200" baseline="0">
                    <a:solidFill>
                      <a:schemeClr val="tx1">
                        <a:lumMod val="75000"/>
                        <a:lumOff val="25000"/>
                      </a:schemeClr>
                    </a:solidFill>
                    <a:latin typeface="+mn-lt"/>
                    <a:ea typeface="+mn-ea"/>
                    <a:cs typeface="+mn-cs"/>
                  </a:defRPr>
                </a:pPr>
                <a:endParaRPr lang="hu-H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'Költség részletes'!$B$169:$C$179</c:f>
              <c:strCache>
                <c:ptCount val="6"/>
                <c:pt idx="1">
                  <c:v>Vízkészlet járulék</c:v>
                </c:pt>
                <c:pt idx="2">
                  <c:v>MEH felügyeleti díj</c:v>
                </c:pt>
                <c:pt idx="3">
                  <c:v>Hatósági, igazgatási díjak, illetékek</c:v>
                </c:pt>
                <c:pt idx="4">
                  <c:v>PEK csekkelszám., bank ktg, tranzakciós illeték</c:v>
                </c:pt>
                <c:pt idx="5">
                  <c:v>Biztosítási díjak</c:v>
                </c:pt>
              </c:strCache>
            </c:strRef>
          </c:cat>
          <c:val>
            <c:numRef>
              <c:f>'Költség részletes'!$F$169:$F$179</c:f>
              <c:numCache>
                <c:formatCode>#,##0</c:formatCode>
                <c:ptCount val="6"/>
                <c:pt idx="1">
                  <c:v>58800</c:v>
                </c:pt>
                <c:pt idx="2">
                  <c:v>42578</c:v>
                </c:pt>
                <c:pt idx="3">
                  <c:v>27000</c:v>
                </c:pt>
                <c:pt idx="4">
                  <c:v>138000</c:v>
                </c:pt>
                <c:pt idx="5">
                  <c:v>24999</c:v>
                </c:pt>
              </c:numCache>
            </c:numRef>
          </c:val>
        </c:ser>
        <c:ser>
          <c:idx val="4"/>
          <c:order val="2"/>
          <c:tx>
            <c:strRef>
              <c:f>'Költség részletes'!$H$168</c:f>
              <c:strCache>
                <c:ptCount val="1"/>
                <c:pt idx="0">
                  <c:v>2022. 
tény</c:v>
                </c:pt>
              </c:strCache>
            </c:strRef>
          </c:tx>
          <c:spPr>
            <a:solidFill>
              <a:schemeClr val="bg2">
                <a:lumMod val="75000"/>
              </a:schemeClr>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600" b="0" i="0" u="none" strike="noStrike" kern="1200" baseline="0">
                    <a:solidFill>
                      <a:schemeClr val="tx1">
                        <a:lumMod val="75000"/>
                        <a:lumOff val="25000"/>
                      </a:schemeClr>
                    </a:solidFill>
                    <a:latin typeface="+mn-lt"/>
                    <a:ea typeface="+mn-ea"/>
                    <a:cs typeface="+mn-cs"/>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'Költség részletes'!$B$169:$C$179</c:f>
              <c:strCache>
                <c:ptCount val="6"/>
                <c:pt idx="1">
                  <c:v>Vízkészlet járulék</c:v>
                </c:pt>
                <c:pt idx="2">
                  <c:v>MEH felügyeleti díj</c:v>
                </c:pt>
                <c:pt idx="3">
                  <c:v>Hatósági, igazgatási díjak, illetékek</c:v>
                </c:pt>
                <c:pt idx="4">
                  <c:v>PEK csekkelszám., bank ktg, tranzakciós illeték</c:v>
                </c:pt>
                <c:pt idx="5">
                  <c:v>Biztosítási díjak</c:v>
                </c:pt>
              </c:strCache>
            </c:strRef>
          </c:cat>
          <c:val>
            <c:numRef>
              <c:f>'Költség részletes'!$H$169:$H$179</c:f>
              <c:numCache>
                <c:formatCode>#,##0</c:formatCode>
                <c:ptCount val="6"/>
                <c:pt idx="1">
                  <c:v>55655</c:v>
                </c:pt>
                <c:pt idx="2">
                  <c:v>42864</c:v>
                </c:pt>
                <c:pt idx="3">
                  <c:v>25505</c:v>
                </c:pt>
                <c:pt idx="4">
                  <c:v>145873</c:v>
                </c:pt>
                <c:pt idx="5">
                  <c:v>24770</c:v>
                </c:pt>
              </c:numCache>
            </c:numRef>
          </c:val>
        </c:ser>
        <c:dLbls>
          <c:showLegendKey val="0"/>
          <c:showVal val="0"/>
          <c:showCatName val="0"/>
          <c:showSerName val="0"/>
          <c:showPercent val="0"/>
          <c:showBubbleSize val="0"/>
        </c:dLbls>
        <c:gapWidth val="219"/>
        <c:overlap val="-27"/>
        <c:axId val="437429424"/>
        <c:axId val="437429816"/>
      </c:barChart>
      <c:catAx>
        <c:axId val="4374294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437429816"/>
        <c:crosses val="autoZero"/>
        <c:auto val="1"/>
        <c:lblAlgn val="ctr"/>
        <c:lblOffset val="100"/>
        <c:noMultiLvlLbl val="0"/>
      </c:catAx>
      <c:valAx>
        <c:axId val="43742981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437429424"/>
        <c:crosses val="autoZero"/>
        <c:crossBetween val="between"/>
      </c:valAx>
      <c:spPr>
        <a:noFill/>
        <a:ln>
          <a:noFill/>
        </a:ln>
        <a:effectLst/>
      </c:spPr>
    </c:plotArea>
    <c:legend>
      <c:legendPos val="b"/>
      <c:layout>
        <c:manualLayout>
          <c:xMode val="edge"/>
          <c:yMode val="edge"/>
          <c:x val="0.27844509420914065"/>
          <c:y val="0.83591233758318906"/>
          <c:w val="0.48830755169471296"/>
          <c:h val="0.1145520587016406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hu-HU"/>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r>
              <a:rPr lang="hu-HU" sz="1200" b="1"/>
              <a:t>Személyi</a:t>
            </a:r>
            <a:r>
              <a:rPr lang="hu-HU" sz="1200" b="1" baseline="0"/>
              <a:t> jellegű ráfordítások (eFt)</a:t>
            </a:r>
            <a:endParaRPr lang="hu-HU" sz="1200" b="1"/>
          </a:p>
        </c:rich>
      </c:tx>
      <c:layout/>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endParaRPr lang="hu-HU"/>
        </a:p>
      </c:txPr>
    </c:title>
    <c:autoTitleDeleted val="0"/>
    <c:plotArea>
      <c:layout>
        <c:manualLayout>
          <c:layoutTarget val="inner"/>
          <c:xMode val="edge"/>
          <c:yMode val="edge"/>
          <c:x val="0.12964195513296686"/>
          <c:y val="0.10623977450289533"/>
          <c:w val="0.81789863288554354"/>
          <c:h val="0.72788819295415863"/>
        </c:manualLayout>
      </c:layout>
      <c:barChart>
        <c:barDir val="col"/>
        <c:grouping val="stacked"/>
        <c:varyColors val="0"/>
        <c:ser>
          <c:idx val="0"/>
          <c:order val="0"/>
          <c:tx>
            <c:strRef>
              <c:f>'Személyi jellegű ráfordítások'!$A$2</c:f>
              <c:strCache>
                <c:ptCount val="1"/>
                <c:pt idx="0">
                  <c:v>Bérköltség</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hu-HU"/>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'Személyi jellegű ráfordítások'!$B$1:$D$1</c:f>
              <c:strCache>
                <c:ptCount val="3"/>
                <c:pt idx="0">
                  <c:v>2021.évi tény</c:v>
                </c:pt>
                <c:pt idx="1">
                  <c:v>2022. évi terv</c:v>
                </c:pt>
                <c:pt idx="2">
                  <c:v>2022.évi tény</c:v>
                </c:pt>
              </c:strCache>
            </c:strRef>
          </c:cat>
          <c:val>
            <c:numRef>
              <c:f>'Személyi jellegű ráfordítások'!$B$2:$D$2</c:f>
              <c:numCache>
                <c:formatCode>#,##0</c:formatCode>
                <c:ptCount val="3"/>
                <c:pt idx="0">
                  <c:v>2526278</c:v>
                </c:pt>
                <c:pt idx="1">
                  <c:v>2765205</c:v>
                </c:pt>
                <c:pt idx="2">
                  <c:v>2760771</c:v>
                </c:pt>
              </c:numCache>
            </c:numRef>
          </c:val>
        </c:ser>
        <c:ser>
          <c:idx val="1"/>
          <c:order val="1"/>
          <c:tx>
            <c:strRef>
              <c:f>'Személyi jellegű ráfordítások'!$A$3</c:f>
              <c:strCache>
                <c:ptCount val="1"/>
                <c:pt idx="0">
                  <c:v>Bérjárulékok</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hu-HU"/>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'Személyi jellegű ráfordítások'!$B$1:$D$1</c:f>
              <c:strCache>
                <c:ptCount val="3"/>
                <c:pt idx="0">
                  <c:v>2021.évi tény</c:v>
                </c:pt>
                <c:pt idx="1">
                  <c:v>2022. évi terv</c:v>
                </c:pt>
                <c:pt idx="2">
                  <c:v>2022.évi tény</c:v>
                </c:pt>
              </c:strCache>
            </c:strRef>
          </c:cat>
          <c:val>
            <c:numRef>
              <c:f>'Személyi jellegű ráfordítások'!$B$3:$D$3</c:f>
              <c:numCache>
                <c:formatCode>#,##0</c:formatCode>
                <c:ptCount val="3"/>
                <c:pt idx="0">
                  <c:v>438704</c:v>
                </c:pt>
                <c:pt idx="1">
                  <c:v>400193</c:v>
                </c:pt>
                <c:pt idx="2">
                  <c:v>386682</c:v>
                </c:pt>
              </c:numCache>
            </c:numRef>
          </c:val>
        </c:ser>
        <c:ser>
          <c:idx val="2"/>
          <c:order val="2"/>
          <c:tx>
            <c:strRef>
              <c:f>'Személyi jellegű ráfordítások'!$A$4</c:f>
              <c:strCache>
                <c:ptCount val="1"/>
                <c:pt idx="0">
                  <c:v>Személyi jellegű egyéb kifizetések</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hu-HU"/>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'Személyi jellegű ráfordítások'!$B$1:$D$1</c:f>
              <c:strCache>
                <c:ptCount val="3"/>
                <c:pt idx="0">
                  <c:v>2021.évi tény</c:v>
                </c:pt>
                <c:pt idx="1">
                  <c:v>2022. évi terv</c:v>
                </c:pt>
                <c:pt idx="2">
                  <c:v>2022.évi tény</c:v>
                </c:pt>
              </c:strCache>
            </c:strRef>
          </c:cat>
          <c:val>
            <c:numRef>
              <c:f>'Személyi jellegű ráfordítások'!$B$4:$D$4</c:f>
              <c:numCache>
                <c:formatCode>#,##0</c:formatCode>
                <c:ptCount val="3"/>
                <c:pt idx="0">
                  <c:v>217157</c:v>
                </c:pt>
                <c:pt idx="1">
                  <c:v>222428</c:v>
                </c:pt>
                <c:pt idx="2">
                  <c:v>211473</c:v>
                </c:pt>
              </c:numCache>
            </c:numRef>
          </c:val>
        </c:ser>
        <c:dLbls>
          <c:dLblPos val="ctr"/>
          <c:showLegendKey val="0"/>
          <c:showVal val="1"/>
          <c:showCatName val="0"/>
          <c:showSerName val="0"/>
          <c:showPercent val="0"/>
          <c:showBubbleSize val="0"/>
        </c:dLbls>
        <c:gapWidth val="150"/>
        <c:overlap val="100"/>
        <c:axId val="437427072"/>
        <c:axId val="437425896"/>
      </c:barChart>
      <c:catAx>
        <c:axId val="4374270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437425896"/>
        <c:crosses val="autoZero"/>
        <c:auto val="1"/>
        <c:lblAlgn val="ctr"/>
        <c:lblOffset val="100"/>
        <c:noMultiLvlLbl val="0"/>
      </c:catAx>
      <c:valAx>
        <c:axId val="43742589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43742707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hu-HU"/>
    </a:p>
  </c:txPr>
  <c:externalData r:id="rId3">
    <c:autoUpdate val="0"/>
  </c:externalData>
  <c:userShapes r:id="rId4"/>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r>
              <a:rPr lang="en-US" sz="1200" b="1"/>
              <a:t>Költségvetéssel elszám</a:t>
            </a:r>
            <a:r>
              <a:rPr lang="hu-HU" sz="1200" b="1"/>
              <a:t>olt</a:t>
            </a:r>
            <a:r>
              <a:rPr lang="en-US" sz="1200" b="1"/>
              <a:t> adók</a:t>
            </a:r>
            <a:r>
              <a:rPr lang="hu-HU" sz="1200" b="1" baseline="0"/>
              <a:t> (eFt)</a:t>
            </a:r>
            <a:r>
              <a:rPr lang="en-US" sz="1200" b="1"/>
              <a:t> </a:t>
            </a:r>
          </a:p>
        </c:rich>
      </c:tx>
      <c:layout/>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endParaRPr lang="hu-HU"/>
        </a:p>
      </c:txPr>
    </c:title>
    <c:autoTitleDeleted val="0"/>
    <c:plotArea>
      <c:layout>
        <c:manualLayout>
          <c:layoutTarget val="inner"/>
          <c:xMode val="edge"/>
          <c:yMode val="edge"/>
          <c:x val="0.22390687568887727"/>
          <c:y val="0.14497907949790795"/>
          <c:w val="0.7223217641601446"/>
          <c:h val="0.62092676176984152"/>
        </c:manualLayout>
      </c:layout>
      <c:barChart>
        <c:barDir val="bar"/>
        <c:grouping val="clustered"/>
        <c:varyColors val="0"/>
        <c:ser>
          <c:idx val="0"/>
          <c:order val="0"/>
          <c:tx>
            <c:strRef>
              <c:f>Ráfordítások!$D$47</c:f>
              <c:strCache>
                <c:ptCount val="1"/>
                <c:pt idx="0">
                  <c:v>2021.tény</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mn-lt"/>
                    <a:ea typeface="+mn-ea"/>
                    <a:cs typeface="+mn-cs"/>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Ráfordítások!$C$49:$C$53</c:f>
              <c:strCache>
                <c:ptCount val="5"/>
                <c:pt idx="0">
                  <c:v>     Innovációs hozzájárulás</c:v>
                </c:pt>
                <c:pt idx="1">
                  <c:v>     Vízterhelési díj</c:v>
                </c:pt>
                <c:pt idx="2">
                  <c:v>     Levegőterhelési díj</c:v>
                </c:pt>
                <c:pt idx="3">
                  <c:v>     Cégautóadó</c:v>
                </c:pt>
                <c:pt idx="4">
                  <c:v>     Közművezeték adó</c:v>
                </c:pt>
              </c:strCache>
            </c:strRef>
          </c:cat>
          <c:val>
            <c:numRef>
              <c:f>Ráfordítások!$D$49:$D$53</c:f>
              <c:numCache>
                <c:formatCode>#,##0</c:formatCode>
                <c:ptCount val="5"/>
                <c:pt idx="0">
                  <c:v>17781</c:v>
                </c:pt>
                <c:pt idx="1">
                  <c:v>40249</c:v>
                </c:pt>
                <c:pt idx="2">
                  <c:v>402</c:v>
                </c:pt>
                <c:pt idx="3">
                  <c:v>886</c:v>
                </c:pt>
                <c:pt idx="4">
                  <c:v>146111</c:v>
                </c:pt>
              </c:numCache>
            </c:numRef>
          </c:val>
        </c:ser>
        <c:ser>
          <c:idx val="1"/>
          <c:order val="1"/>
          <c:tx>
            <c:strRef>
              <c:f>Ráfordítások!$E$47</c:f>
              <c:strCache>
                <c:ptCount val="1"/>
                <c:pt idx="0">
                  <c:v>2022. év
terv</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mn-lt"/>
                    <a:ea typeface="+mn-ea"/>
                    <a:cs typeface="+mn-cs"/>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Ráfordítások!$C$49:$C$53</c:f>
              <c:strCache>
                <c:ptCount val="5"/>
                <c:pt idx="0">
                  <c:v>     Innovációs hozzájárulás</c:v>
                </c:pt>
                <c:pt idx="1">
                  <c:v>     Vízterhelési díj</c:v>
                </c:pt>
                <c:pt idx="2">
                  <c:v>     Levegőterhelési díj</c:v>
                </c:pt>
                <c:pt idx="3">
                  <c:v>     Cégautóadó</c:v>
                </c:pt>
                <c:pt idx="4">
                  <c:v>     Közművezeték adó</c:v>
                </c:pt>
              </c:strCache>
            </c:strRef>
          </c:cat>
          <c:val>
            <c:numRef>
              <c:f>Ráfordítások!$E$49:$E$53</c:f>
              <c:numCache>
                <c:formatCode>#,##0</c:formatCode>
                <c:ptCount val="5"/>
                <c:pt idx="0">
                  <c:v>18500</c:v>
                </c:pt>
                <c:pt idx="1">
                  <c:v>40277</c:v>
                </c:pt>
                <c:pt idx="2">
                  <c:v>440</c:v>
                </c:pt>
                <c:pt idx="3">
                  <c:v>900</c:v>
                </c:pt>
                <c:pt idx="4">
                  <c:v>147000</c:v>
                </c:pt>
              </c:numCache>
            </c:numRef>
          </c:val>
        </c:ser>
        <c:ser>
          <c:idx val="2"/>
          <c:order val="2"/>
          <c:tx>
            <c:strRef>
              <c:f>Ráfordítások!$F$47</c:f>
              <c:strCache>
                <c:ptCount val="1"/>
                <c:pt idx="0">
                  <c:v>2022. 
tény</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mn-lt"/>
                    <a:ea typeface="+mn-ea"/>
                    <a:cs typeface="+mn-cs"/>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Ráfordítások!$C$49:$C$53</c:f>
              <c:strCache>
                <c:ptCount val="5"/>
                <c:pt idx="0">
                  <c:v>     Innovációs hozzájárulás</c:v>
                </c:pt>
                <c:pt idx="1">
                  <c:v>     Vízterhelési díj</c:v>
                </c:pt>
                <c:pt idx="2">
                  <c:v>     Levegőterhelési díj</c:v>
                </c:pt>
                <c:pt idx="3">
                  <c:v>     Cégautóadó</c:v>
                </c:pt>
                <c:pt idx="4">
                  <c:v>     Közművezeték adó</c:v>
                </c:pt>
              </c:strCache>
            </c:strRef>
          </c:cat>
          <c:val>
            <c:numRef>
              <c:f>Ráfordítások!$F$49:$F$53</c:f>
              <c:numCache>
                <c:formatCode>#,##0</c:formatCode>
                <c:ptCount val="5"/>
                <c:pt idx="0">
                  <c:v>15632</c:v>
                </c:pt>
                <c:pt idx="1">
                  <c:v>40607</c:v>
                </c:pt>
                <c:pt idx="2">
                  <c:v>380</c:v>
                </c:pt>
                <c:pt idx="3">
                  <c:v>1321</c:v>
                </c:pt>
                <c:pt idx="4">
                  <c:v>146950</c:v>
                </c:pt>
              </c:numCache>
            </c:numRef>
          </c:val>
        </c:ser>
        <c:dLbls>
          <c:showLegendKey val="0"/>
          <c:showVal val="0"/>
          <c:showCatName val="0"/>
          <c:showSerName val="0"/>
          <c:showPercent val="0"/>
          <c:showBubbleSize val="0"/>
        </c:dLbls>
        <c:gapWidth val="182"/>
        <c:axId val="437425112"/>
        <c:axId val="437427464"/>
      </c:barChart>
      <c:catAx>
        <c:axId val="43742511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437427464"/>
        <c:crosses val="autoZero"/>
        <c:auto val="1"/>
        <c:lblAlgn val="ctr"/>
        <c:lblOffset val="100"/>
        <c:noMultiLvlLbl val="0"/>
      </c:catAx>
      <c:valAx>
        <c:axId val="437427464"/>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43742511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hu-HU"/>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r>
              <a:rPr lang="hu-HU" sz="1200" b="1"/>
              <a:t>Önkormányzatokkal</a:t>
            </a:r>
            <a:r>
              <a:rPr lang="hu-HU" sz="1200" b="1" baseline="0"/>
              <a:t> elszámolt adók (eFt)</a:t>
            </a:r>
            <a:endParaRPr lang="hu-HU" sz="1200" b="1"/>
          </a:p>
        </c:rich>
      </c:tx>
      <c:layout/>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endParaRPr lang="hu-HU"/>
        </a:p>
      </c:txPr>
    </c:title>
    <c:autoTitleDeleted val="0"/>
    <c:plotArea>
      <c:layout/>
      <c:barChart>
        <c:barDir val="bar"/>
        <c:grouping val="clustered"/>
        <c:varyColors val="0"/>
        <c:ser>
          <c:idx val="0"/>
          <c:order val="0"/>
          <c:tx>
            <c:strRef>
              <c:f>Ráfordítások!$D$64:$D$65</c:f>
              <c:strCache>
                <c:ptCount val="2"/>
                <c:pt idx="0">
                  <c:v>2021.tény</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Ráfordítások!$C$66:$C$71</c:f>
              <c:strCache>
                <c:ptCount val="3"/>
                <c:pt idx="0">
                  <c:v>     Iparűzési, kommunális adók</c:v>
                </c:pt>
                <c:pt idx="1">
                  <c:v>     Gépjárműadó</c:v>
                </c:pt>
                <c:pt idx="2">
                  <c:v>     Építményadó</c:v>
                </c:pt>
              </c:strCache>
            </c:strRef>
          </c:cat>
          <c:val>
            <c:numRef>
              <c:f>Ráfordítások!$D$66:$D$71</c:f>
              <c:numCache>
                <c:formatCode>#,##0</c:formatCode>
                <c:ptCount val="3"/>
                <c:pt idx="0">
                  <c:v>102921</c:v>
                </c:pt>
                <c:pt idx="1">
                  <c:v>7720</c:v>
                </c:pt>
                <c:pt idx="2">
                  <c:v>10184</c:v>
                </c:pt>
              </c:numCache>
            </c:numRef>
          </c:val>
        </c:ser>
        <c:ser>
          <c:idx val="1"/>
          <c:order val="1"/>
          <c:tx>
            <c:strRef>
              <c:f>Ráfordítások!$E$64:$E$65</c:f>
              <c:strCache>
                <c:ptCount val="2"/>
                <c:pt idx="0">
                  <c:v>2022. év
terv</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Ráfordítások!$C$66:$C$71</c:f>
              <c:strCache>
                <c:ptCount val="3"/>
                <c:pt idx="0">
                  <c:v>     Iparűzési, kommunális adók</c:v>
                </c:pt>
                <c:pt idx="1">
                  <c:v>     Gépjárműadó</c:v>
                </c:pt>
                <c:pt idx="2">
                  <c:v>     Építményadó</c:v>
                </c:pt>
              </c:strCache>
            </c:strRef>
          </c:cat>
          <c:val>
            <c:numRef>
              <c:f>Ráfordítások!$E$66:$E$71</c:f>
              <c:numCache>
                <c:formatCode>#,##0</c:formatCode>
                <c:ptCount val="3"/>
                <c:pt idx="0">
                  <c:v>107920</c:v>
                </c:pt>
                <c:pt idx="1">
                  <c:v>7800</c:v>
                </c:pt>
                <c:pt idx="2">
                  <c:v>10196</c:v>
                </c:pt>
              </c:numCache>
            </c:numRef>
          </c:val>
        </c:ser>
        <c:ser>
          <c:idx val="2"/>
          <c:order val="2"/>
          <c:tx>
            <c:strRef>
              <c:f>Ráfordítások!$F$64:$F$65</c:f>
              <c:strCache>
                <c:ptCount val="2"/>
                <c:pt idx="0">
                  <c:v>2022. 
tény</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Ráfordítások!$C$66:$C$71</c:f>
              <c:strCache>
                <c:ptCount val="3"/>
                <c:pt idx="0">
                  <c:v>     Iparűzési, kommunális adók</c:v>
                </c:pt>
                <c:pt idx="1">
                  <c:v>     Gépjárműadó</c:v>
                </c:pt>
                <c:pt idx="2">
                  <c:v>     Építményadó</c:v>
                </c:pt>
              </c:strCache>
            </c:strRef>
          </c:cat>
          <c:val>
            <c:numRef>
              <c:f>Ráfordítások!$F$66:$F$71</c:f>
              <c:numCache>
                <c:formatCode>#,##0</c:formatCode>
                <c:ptCount val="3"/>
                <c:pt idx="0">
                  <c:v>90843</c:v>
                </c:pt>
                <c:pt idx="1">
                  <c:v>7674</c:v>
                </c:pt>
                <c:pt idx="2">
                  <c:v>10196</c:v>
                </c:pt>
              </c:numCache>
            </c:numRef>
          </c:val>
        </c:ser>
        <c:dLbls>
          <c:showLegendKey val="0"/>
          <c:showVal val="0"/>
          <c:showCatName val="0"/>
          <c:showSerName val="0"/>
          <c:showPercent val="0"/>
          <c:showBubbleSize val="0"/>
        </c:dLbls>
        <c:gapWidth val="182"/>
        <c:axId val="434913896"/>
        <c:axId val="440109816"/>
      </c:barChart>
      <c:catAx>
        <c:axId val="43491389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440109816"/>
        <c:crosses val="autoZero"/>
        <c:auto val="1"/>
        <c:lblAlgn val="ctr"/>
        <c:lblOffset val="100"/>
        <c:noMultiLvlLbl val="0"/>
      </c:catAx>
      <c:valAx>
        <c:axId val="440109816"/>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43491389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hu-HU"/>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hu-HU" sz="1100"/>
              <a:t>Elsődleges tevékenységek üzemi (üzleti) eredménye (eFt)</a:t>
            </a:r>
          </a:p>
        </c:rich>
      </c:tx>
      <c:layout>
        <c:manualLayout>
          <c:xMode val="edge"/>
          <c:yMode val="edge"/>
          <c:x val="0.15627200458673865"/>
          <c:y val="0"/>
        </c:manualLayout>
      </c:layout>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hu-HU"/>
        </a:p>
      </c:txPr>
    </c:title>
    <c:autoTitleDeleted val="0"/>
    <c:plotArea>
      <c:layout>
        <c:manualLayout>
          <c:layoutTarget val="inner"/>
          <c:xMode val="edge"/>
          <c:yMode val="edge"/>
          <c:x val="0.12045921648897055"/>
          <c:y val="7.8485508140452659E-2"/>
          <c:w val="0.78969795831595813"/>
          <c:h val="0.89814814814814814"/>
        </c:manualLayout>
      </c:layout>
      <c:barChart>
        <c:barDir val="col"/>
        <c:grouping val="stacked"/>
        <c:varyColors val="0"/>
        <c:ser>
          <c:idx val="0"/>
          <c:order val="0"/>
          <c:tx>
            <c:strRef>
              <c:f>'X:\User\Kozgazdasagi\Kozos\Beszámolók\2022. év\2022.év\[Uzleti_jelentes_2022_táblák_SA-H.Viki prezentációhoz.xlsx]Tev-enként eredmények'!$F$3</c:f>
              <c:strCache>
                <c:ptCount val="1"/>
                <c:pt idx="0">
                  <c:v>Ivóvíz szolgáltatás</c:v>
                </c:pt>
              </c:strCache>
            </c:strRef>
          </c:tx>
          <c:spPr>
            <a:solidFill>
              <a:schemeClr val="accent1">
                <a:lumMod val="60000"/>
                <a:lumOff val="4000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dLbl>
              <c:idx val="0"/>
              <c:layout>
                <c:manualLayout>
                  <c:x val="1.5176469703464718E-4"/>
                  <c:y val="3.8653429190916352E-3"/>
                </c:manualLayout>
              </c:layout>
              <c:tx>
                <c:rich>
                  <a:bodyPr/>
                  <a:lstStyle/>
                  <a:p>
                    <a:r>
                      <a:rPr lang="en-US"/>
                      <a:t>-264 399</a:t>
                    </a:r>
                  </a:p>
                </c:rich>
              </c:tx>
              <c:dLblPos val="ctr"/>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3.8257647720739418E-3"/>
                  <c:y val="-7.6145208654881478E-3"/>
                </c:manualLayout>
              </c:layout>
              <c:tx>
                <c:rich>
                  <a:bodyPr rot="0" spcFirstLastPara="1" vertOverflow="ellipsis" vert="horz" wrap="square" lIns="38100" tIns="19050" rIns="38100" bIns="19050" anchor="ctr" anchorCtr="1">
                    <a:noAutofit/>
                  </a:bodyPr>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-291 185</a:t>
                    </a:r>
                  </a:p>
                </c:rich>
              </c:tx>
              <c:spPr>
                <a:solidFill>
                  <a:schemeClr val="accent1">
                    <a:lumMod val="60000"/>
                    <a:lumOff val="40000"/>
                  </a:schemeClr>
                </a:solidFill>
                <a:ln>
                  <a:noFill/>
                </a:ln>
                <a:effectLst/>
              </c:spPr>
              <c:txPr>
                <a:bodyPr rot="0" spcFirstLastPara="1" vertOverflow="ellipsis" vert="horz" wrap="square" lIns="38100" tIns="19050" rIns="38100" bIns="19050" anchor="ctr" anchorCtr="1">
                  <a:noAutofit/>
                </a:bodyPr>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hu-HU"/>
                </a:p>
              </c:txPr>
              <c:dLblPos val="ctr"/>
              <c:showLegendKey val="0"/>
              <c:showVal val="1"/>
              <c:showCatName val="0"/>
              <c:showSerName val="0"/>
              <c:showPercent val="0"/>
              <c:showBubbleSize val="0"/>
              <c:extLst>
                <c:ext xmlns:c15="http://schemas.microsoft.com/office/drawing/2012/chart" uri="{CE6537A1-D6FC-4f65-9D91-7224C49458BB}">
                  <c15:layout>
                    <c:manualLayout>
                      <c:w val="9.8408621502155583E-2"/>
                      <c:h val="6.496179793672277E-2"/>
                    </c:manualLayout>
                  </c15:layout>
                </c:ext>
              </c:extLst>
            </c:dLbl>
            <c:dLbl>
              <c:idx val="2"/>
              <c:delete val="1"/>
              <c:extLst>
                <c:ext xmlns:c15="http://schemas.microsoft.com/office/drawing/2012/chart" uri="{CE6537A1-D6FC-4f65-9D91-7224C49458BB}"/>
              </c:extLst>
            </c:dLbl>
            <c:spPr>
              <a:solidFill>
                <a:schemeClr val="accent1">
                  <a:lumMod val="60000"/>
                  <a:lumOff val="40000"/>
                </a:schemeClr>
              </a:solid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hu-H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'[6]Tev-enként eredmények'!$G$2:$I$2</c:f>
              <c:strCache>
                <c:ptCount val="3"/>
                <c:pt idx="0">
                  <c:v>2022. évi terv</c:v>
                </c:pt>
                <c:pt idx="1">
                  <c:v>2022.évi tény</c:v>
                </c:pt>
                <c:pt idx="2">
                  <c:v>0</c:v>
                </c:pt>
              </c:strCache>
            </c:strRef>
          </c:cat>
          <c:val>
            <c:numRef>
              <c:f>'[6]Tev-enként eredmények'!$G$3:$I$3</c:f>
              <c:numCache>
                <c:formatCode>General</c:formatCode>
                <c:ptCount val="3"/>
                <c:pt idx="0">
                  <c:v>-264399</c:v>
                </c:pt>
                <c:pt idx="1">
                  <c:v>-261662</c:v>
                </c:pt>
                <c:pt idx="2">
                  <c:v>0</c:v>
                </c:pt>
              </c:numCache>
            </c:numRef>
          </c:val>
        </c:ser>
        <c:ser>
          <c:idx val="1"/>
          <c:order val="1"/>
          <c:tx>
            <c:strRef>
              <c:f>'X:\User\Kozgazdasagi\Kozos\Beszámolók\2022. év\2022.év\[Uzleti_jelentes_2022_táblák_SA-H.Viki prezentációhoz.xlsx]Tev-enként eredmények'!$F$4</c:f>
              <c:strCache>
                <c:ptCount val="1"/>
                <c:pt idx="0">
                  <c:v>Szennyvízelvezetés és -tisztítás</c:v>
                </c:pt>
              </c:strCache>
            </c:strRef>
          </c:tx>
          <c:spPr>
            <a:solidFill>
              <a:schemeClr val="accent6">
                <a:lumMod val="60000"/>
                <a:lumOff val="4000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dLbl>
              <c:idx val="0"/>
              <c:layout>
                <c:manualLayout>
                  <c:x val="2.9901706412772901E-4"/>
                  <c:y val="1.851907641979535E-2"/>
                </c:manualLayout>
              </c:layout>
              <c:tx>
                <c:rich>
                  <a:bodyPr/>
                  <a:lstStyle/>
                  <a:p>
                    <a:r>
                      <a:rPr lang="en-US"/>
                      <a:t>-525 545</a:t>
                    </a:r>
                  </a:p>
                </c:rich>
              </c:tx>
              <c:dLblPos val="ctr"/>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4.1194564146530398E-3"/>
                  <c:y val="1.6224276313286996E-2"/>
                </c:manualLayout>
              </c:layout>
              <c:tx>
                <c:rich>
                  <a:bodyPr/>
                  <a:lstStyle/>
                  <a:p>
                    <a:r>
                      <a:rPr lang="en-US"/>
                      <a:t>-644</a:t>
                    </a:r>
                    <a:r>
                      <a:rPr lang="en-US" baseline="0"/>
                      <a:t> 367</a:t>
                    </a:r>
                    <a:endParaRPr lang="en-US"/>
                  </a:p>
                </c:rich>
              </c:tx>
              <c:dLblPos val="ctr"/>
              <c:showLegendKey val="0"/>
              <c:showVal val="1"/>
              <c:showCatName val="0"/>
              <c:showSerName val="0"/>
              <c:showPercent val="0"/>
              <c:showBubbleSize val="0"/>
              <c:extLst>
                <c:ext xmlns:c15="http://schemas.microsoft.com/office/drawing/2012/chart" uri="{CE6537A1-D6FC-4f65-9D91-7224C49458BB}">
                  <c15:layout/>
                </c:ext>
              </c:extLst>
            </c:dLbl>
            <c:dLbl>
              <c:idx val="2"/>
              <c:delete val="1"/>
              <c:extLst>
                <c:ext xmlns:c15="http://schemas.microsoft.com/office/drawing/2012/chart" uri="{CE6537A1-D6FC-4f65-9D91-7224C49458BB}"/>
              </c:extLst>
            </c:dLbl>
            <c:spPr>
              <a:solidFill>
                <a:srgbClr val="92D050"/>
              </a:solid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hu-H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'[6]Tev-enként eredmények'!$G$2:$I$2</c:f>
              <c:strCache>
                <c:ptCount val="3"/>
                <c:pt idx="0">
                  <c:v>2022. évi terv</c:v>
                </c:pt>
                <c:pt idx="1">
                  <c:v>2022.évi tény</c:v>
                </c:pt>
                <c:pt idx="2">
                  <c:v>0</c:v>
                </c:pt>
              </c:strCache>
            </c:strRef>
          </c:cat>
          <c:val>
            <c:numRef>
              <c:f>'[6]Tev-enként eredmények'!$G$4:$I$4</c:f>
              <c:numCache>
                <c:formatCode>General</c:formatCode>
                <c:ptCount val="3"/>
                <c:pt idx="0">
                  <c:v>-525545</c:v>
                </c:pt>
                <c:pt idx="1">
                  <c:v>-608036</c:v>
                </c:pt>
                <c:pt idx="2">
                  <c:v>0</c:v>
                </c:pt>
              </c:numCache>
            </c:numRef>
          </c:val>
        </c:ser>
        <c:dLbls>
          <c:dLblPos val="ctr"/>
          <c:showLegendKey val="0"/>
          <c:showVal val="1"/>
          <c:showCatName val="0"/>
          <c:showSerName val="0"/>
          <c:showPercent val="0"/>
          <c:showBubbleSize val="0"/>
        </c:dLbls>
        <c:gapWidth val="150"/>
        <c:overlap val="100"/>
        <c:axId val="440110208"/>
        <c:axId val="440109032"/>
      </c:barChart>
      <c:catAx>
        <c:axId val="440110208"/>
        <c:scaling>
          <c:orientation val="minMax"/>
        </c:scaling>
        <c:delete val="1"/>
        <c:axPos val="b"/>
        <c:numFmt formatCode="General" sourceLinked="1"/>
        <c:majorTickMark val="none"/>
        <c:minorTickMark val="none"/>
        <c:tickLblPos val="nextTo"/>
        <c:crossAx val="440109032"/>
        <c:crosses val="autoZero"/>
        <c:auto val="1"/>
        <c:lblAlgn val="ctr"/>
        <c:lblOffset val="100"/>
        <c:noMultiLvlLbl val="0"/>
      </c:catAx>
      <c:valAx>
        <c:axId val="44010903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hu-HU"/>
          </a:p>
        </c:txPr>
        <c:crossAx val="440110208"/>
        <c:crosses val="autoZero"/>
        <c:crossBetween val="between"/>
      </c:valAx>
      <c:spPr>
        <a:noFill/>
        <a:ln w="25400">
          <a:noFill/>
        </a:ln>
        <a:effectLst/>
      </c:spPr>
    </c:plotArea>
    <c:plotVisOnly val="1"/>
    <c:dispBlanksAs val="gap"/>
    <c:showDLblsOverMax val="0"/>
  </c:chart>
  <c:spPr>
    <a:solidFill>
      <a:schemeClr val="bg1"/>
    </a:solidFill>
    <a:ln w="28575" cap="flat" cmpd="sng" algn="ctr">
      <a:solidFill>
        <a:schemeClr val="tx2">
          <a:lumMod val="75000"/>
        </a:schemeClr>
      </a:solidFill>
      <a:round/>
    </a:ln>
    <a:effectLst/>
  </c:spPr>
  <c:txPr>
    <a:bodyPr/>
    <a:lstStyle/>
    <a:p>
      <a:pPr>
        <a:defRPr/>
      </a:pPr>
      <a:endParaRPr lang="hu-HU"/>
    </a:p>
  </c:txPr>
  <c:externalData r:id="rId3">
    <c:autoUpdate val="0"/>
  </c:externalData>
  <c:userShapes r:id="rId4"/>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spc="0" baseline="0">
                <a:solidFill>
                  <a:schemeClr val="tx1">
                    <a:lumMod val="65000"/>
                    <a:lumOff val="35000"/>
                  </a:schemeClr>
                </a:solidFill>
                <a:latin typeface="+mn-lt"/>
                <a:ea typeface="+mn-ea"/>
                <a:cs typeface="+mn-cs"/>
              </a:defRPr>
            </a:pPr>
            <a:r>
              <a:rPr lang="hu-HU" sz="1100" b="1" i="0" u="none" strike="noStrike" baseline="0"/>
              <a:t>Másodlagos tevékenységek üzemi (üzleti) eredménye</a:t>
            </a:r>
            <a:endParaRPr lang="en-US" sz="1100" b="1"/>
          </a:p>
        </c:rich>
      </c:tx>
      <c:layout/>
      <c:overlay val="0"/>
      <c:spPr>
        <a:noFill/>
        <a:ln>
          <a:noFill/>
        </a:ln>
        <a:effectLst/>
      </c:spPr>
      <c:txPr>
        <a:bodyPr rot="0" spcFirstLastPara="1" vertOverflow="ellipsis" vert="horz" wrap="square" anchor="ctr" anchorCtr="1"/>
        <a:lstStyle/>
        <a:p>
          <a:pPr>
            <a:defRPr sz="1100" b="1" i="0" u="none" strike="noStrike" kern="1200" spc="0" baseline="0">
              <a:solidFill>
                <a:schemeClr val="tx1">
                  <a:lumMod val="65000"/>
                  <a:lumOff val="35000"/>
                </a:schemeClr>
              </a:solidFill>
              <a:latin typeface="+mn-lt"/>
              <a:ea typeface="+mn-ea"/>
              <a:cs typeface="+mn-cs"/>
            </a:defRPr>
          </a:pPr>
          <a:endParaRPr lang="hu-HU"/>
        </a:p>
      </c:txPr>
    </c:title>
    <c:autoTitleDeleted val="0"/>
    <c:plotArea>
      <c:layout>
        <c:manualLayout>
          <c:layoutTarget val="inner"/>
          <c:xMode val="edge"/>
          <c:yMode val="edge"/>
          <c:x val="0.11887928344621258"/>
          <c:y val="0.14901441571072652"/>
          <c:w val="0.86480370023677111"/>
          <c:h val="0.57727275960423652"/>
        </c:manualLayout>
      </c:layout>
      <c:barChart>
        <c:barDir val="col"/>
        <c:grouping val="clustered"/>
        <c:varyColors val="0"/>
        <c:ser>
          <c:idx val="0"/>
          <c:order val="0"/>
          <c:tx>
            <c:strRef>
              <c:f>'Ágazati eredmény'!$B$66</c:f>
              <c:strCache>
                <c:ptCount val="1"/>
                <c:pt idx="0">
                  <c:v>Üzemi (üzleti) tev.2022. évi tervezett
eredménye</c:v>
                </c:pt>
              </c:strCache>
            </c:strRef>
          </c:tx>
          <c:spPr>
            <a:solidFill>
              <a:schemeClr val="accent1"/>
            </a:solidFill>
            <a:ln>
              <a:noFill/>
            </a:ln>
            <a:effectLst/>
          </c:spPr>
          <c:invertIfNegative val="0"/>
          <c:dLbls>
            <c:dLbl>
              <c:idx val="0"/>
              <c:layout>
                <c:manualLayout>
                  <c:x val="-2.2292747274222556E-2"/>
                  <c:y val="0.2414694831927735"/>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4.2734549061885293E-17"/>
                  <c:y val="1.8518518518518434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1.6317016317016316E-2"/>
                  <c:y val="1.3888888888888888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1.8648018648018648E-2"/>
                  <c:y val="4.6296296296296294E-3"/>
                </c:manualLayout>
              </c:layout>
              <c:showLegendKey val="0"/>
              <c:showVal val="1"/>
              <c:showCatName val="0"/>
              <c:showSerName val="0"/>
              <c:showPercent val="0"/>
              <c:showBubbleSize val="0"/>
              <c:extLst>
                <c:ext xmlns:c15="http://schemas.microsoft.com/office/drawing/2012/chart" uri="{CE6537A1-D6FC-4f65-9D91-7224C49458BB}">
                  <c15:layout/>
                </c:ext>
              </c:extLst>
            </c:dLbl>
            <c:dLbl>
              <c:idx val="4"/>
              <c:layout>
                <c:manualLayout>
                  <c:x val="-1.6317016317016316E-2"/>
                  <c:y val="1.3888888888888888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5"/>
              <c:layout>
                <c:manualLayout>
                  <c:x val="-1.3986013986013986E-2"/>
                  <c:y val="4.6296296296296294E-3"/>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'Ágazati eredmény'!$A$67:$A$72</c:f>
              <c:strCache>
                <c:ptCount val="6"/>
                <c:pt idx="0">
                  <c:v>Fürdő szolgáltatás</c:v>
                </c:pt>
                <c:pt idx="1">
                  <c:v>Építőipari tevékenység</c:v>
                </c:pt>
                <c:pt idx="2">
                  <c:v>Iparivíz szolgáltatás</c:v>
                </c:pt>
                <c:pt idx="3">
                  <c:v>Alaptevékenységgel kapcs. egyéb tevékenység</c:v>
                </c:pt>
                <c:pt idx="4">
                  <c:v>Alaptevékenységen kívüli egyéb tevékenység</c:v>
                </c:pt>
                <c:pt idx="5">
                  <c:v>Másodlagos tevékenységek összesen</c:v>
                </c:pt>
              </c:strCache>
            </c:strRef>
          </c:cat>
          <c:val>
            <c:numRef>
              <c:f>'Ágazati eredmény'!$B$67:$B$72</c:f>
              <c:numCache>
                <c:formatCode>#,##0</c:formatCode>
                <c:ptCount val="6"/>
                <c:pt idx="0">
                  <c:v>-161740</c:v>
                </c:pt>
                <c:pt idx="1">
                  <c:v>92504</c:v>
                </c:pt>
                <c:pt idx="2">
                  <c:v>3395</c:v>
                </c:pt>
                <c:pt idx="3">
                  <c:v>40716</c:v>
                </c:pt>
                <c:pt idx="4">
                  <c:v>203428</c:v>
                </c:pt>
                <c:pt idx="5">
                  <c:v>178303</c:v>
                </c:pt>
              </c:numCache>
            </c:numRef>
          </c:val>
        </c:ser>
        <c:ser>
          <c:idx val="1"/>
          <c:order val="1"/>
          <c:tx>
            <c:strRef>
              <c:f>'Ágazati eredmény'!$C$66</c:f>
              <c:strCache>
                <c:ptCount val="1"/>
                <c:pt idx="0">
                  <c:v>Üzemi (üzleti) tev.2022. évi eredménye</c:v>
                </c:pt>
              </c:strCache>
            </c:strRef>
          </c:tx>
          <c:spPr>
            <a:solidFill>
              <a:schemeClr val="accent2"/>
            </a:solidFill>
            <a:ln>
              <a:noFill/>
            </a:ln>
            <a:effectLst/>
          </c:spPr>
          <c:invertIfNegative val="0"/>
          <c:dLbls>
            <c:dLbl>
              <c:idx val="0"/>
              <c:layout>
                <c:manualLayout>
                  <c:x val="2.2433887852953201E-2"/>
                  <c:y val="0.21329289739797755"/>
                </c:manualLayout>
              </c:layout>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2.3310023310023312E-2"/>
                  <c:y val="1.3888888888888888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5"/>
              <c:layout>
                <c:manualLayout>
                  <c:x val="0"/>
                  <c:y val="1.6920473773265651E-2"/>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'Ágazati eredmény'!$A$67:$A$72</c:f>
              <c:strCache>
                <c:ptCount val="6"/>
                <c:pt idx="0">
                  <c:v>Fürdő szolgáltatás</c:v>
                </c:pt>
                <c:pt idx="1">
                  <c:v>Építőipari tevékenység</c:v>
                </c:pt>
                <c:pt idx="2">
                  <c:v>Iparivíz szolgáltatás</c:v>
                </c:pt>
                <c:pt idx="3">
                  <c:v>Alaptevékenységgel kapcs. egyéb tevékenység</c:v>
                </c:pt>
                <c:pt idx="4">
                  <c:v>Alaptevékenységen kívüli egyéb tevékenység</c:v>
                </c:pt>
                <c:pt idx="5">
                  <c:v>Másodlagos tevékenységek összesen</c:v>
                </c:pt>
              </c:strCache>
            </c:strRef>
          </c:cat>
          <c:val>
            <c:numRef>
              <c:f>'Ágazati eredmény'!$C$67:$C$72</c:f>
              <c:numCache>
                <c:formatCode>#,##0</c:formatCode>
                <c:ptCount val="6"/>
                <c:pt idx="0">
                  <c:v>-139455</c:v>
                </c:pt>
                <c:pt idx="1">
                  <c:v>110193</c:v>
                </c:pt>
                <c:pt idx="2">
                  <c:v>16940</c:v>
                </c:pt>
                <c:pt idx="3">
                  <c:v>36488</c:v>
                </c:pt>
                <c:pt idx="4">
                  <c:v>220776</c:v>
                </c:pt>
                <c:pt idx="5">
                  <c:v>244942</c:v>
                </c:pt>
              </c:numCache>
            </c:numRef>
          </c:val>
        </c:ser>
        <c:dLbls>
          <c:showLegendKey val="0"/>
          <c:showVal val="0"/>
          <c:showCatName val="0"/>
          <c:showSerName val="0"/>
          <c:showPercent val="0"/>
          <c:showBubbleSize val="0"/>
        </c:dLbls>
        <c:gapWidth val="219"/>
        <c:overlap val="-27"/>
        <c:axId val="440105504"/>
        <c:axId val="440109424"/>
      </c:barChart>
      <c:catAx>
        <c:axId val="440105504"/>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440109424"/>
        <c:crosses val="autoZero"/>
        <c:auto val="0"/>
        <c:lblAlgn val="ctr"/>
        <c:lblOffset val="100"/>
        <c:noMultiLvlLbl val="0"/>
      </c:catAx>
      <c:valAx>
        <c:axId val="44010942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440105504"/>
        <c:crosses val="autoZero"/>
        <c:crossBetween val="between"/>
      </c:valAx>
      <c:spPr>
        <a:noFill/>
        <a:ln>
          <a:noFill/>
        </a:ln>
        <a:effectLst/>
      </c:spPr>
    </c:plotArea>
    <c:legend>
      <c:legendPos val="b"/>
      <c:layout>
        <c:manualLayout>
          <c:xMode val="edge"/>
          <c:yMode val="edge"/>
          <c:x val="0.12524521169547684"/>
          <c:y val="0.87705040934923784"/>
          <c:w val="0.68788559340013211"/>
          <c:h val="9.6994883678687319E-2"/>
        </c:manualLayout>
      </c:layout>
      <c:overlay val="0"/>
      <c:spPr>
        <a:noFill/>
        <a:ln>
          <a:noFill/>
        </a:ln>
        <a:effectLst/>
      </c:spPr>
      <c:txPr>
        <a:bodyPr rot="0" spcFirstLastPara="1" vertOverflow="ellipsis" vert="horz" wrap="square" anchor="b" anchorCtr="1"/>
        <a:lstStyle/>
        <a:p>
          <a:pPr>
            <a:defRPr sz="900" b="0" i="0" u="none" strike="noStrike" kern="1200" baseline="0">
              <a:solidFill>
                <a:schemeClr val="tx1">
                  <a:lumMod val="65000"/>
                  <a:lumOff val="35000"/>
                </a:schemeClr>
              </a:solidFill>
              <a:latin typeface="+mn-lt"/>
              <a:ea typeface="+mn-ea"/>
              <a:cs typeface="+mn-cs"/>
            </a:defRPr>
          </a:pPr>
          <a:endParaRPr lang="hu-H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hu-H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800" b="1" i="0" u="none" strike="noStrike" baseline="0">
                <a:solidFill>
                  <a:srgbClr val="000000"/>
                </a:solidFill>
                <a:latin typeface="Arial CE"/>
                <a:ea typeface="Arial CE"/>
                <a:cs typeface="Arial CE"/>
              </a:defRPr>
            </a:pPr>
            <a:r>
              <a:rPr lang="hu-HU"/>
              <a:t>Ivóvíz értékesítés alakulása 
felhasználói csoportok és leolvasási gyakoriság szerint 2015-2022. év</a:t>
            </a:r>
          </a:p>
        </c:rich>
      </c:tx>
      <c:layout>
        <c:manualLayout>
          <c:xMode val="edge"/>
          <c:yMode val="edge"/>
          <c:x val="0.22242665211403029"/>
          <c:y val="3.4364261168384883E-2"/>
        </c:manualLayout>
      </c:layout>
      <c:overlay val="0"/>
      <c:spPr>
        <a:noFill/>
        <a:ln w="25400">
          <a:noFill/>
        </a:ln>
      </c:spPr>
    </c:title>
    <c:autoTitleDeleted val="0"/>
    <c:view3D>
      <c:rotX val="15"/>
      <c:hPercent val="63"/>
      <c:rotY val="20"/>
      <c:depthPercent val="100"/>
      <c:rAngAx val="1"/>
    </c:view3D>
    <c:floor>
      <c:thickness val="0"/>
      <c:spPr>
        <a:noFill/>
        <a:ln w="3175">
          <a:solidFill>
            <a:srgbClr val="000000"/>
          </a:solidFill>
          <a:prstDash val="solid"/>
        </a:ln>
      </c:spPr>
    </c:floor>
    <c:sideWall>
      <c:thickness val="0"/>
      <c:spPr>
        <a:noFill/>
        <a:ln w="12700">
          <a:solidFill>
            <a:srgbClr val="808080"/>
          </a:solidFill>
          <a:prstDash val="solid"/>
        </a:ln>
      </c:spPr>
    </c:sideWall>
    <c:backWall>
      <c:thickness val="0"/>
      <c:spPr>
        <a:noFill/>
        <a:ln w="12700">
          <a:solidFill>
            <a:srgbClr val="808080"/>
          </a:solidFill>
          <a:prstDash val="solid"/>
        </a:ln>
      </c:spPr>
    </c:backWall>
    <c:plotArea>
      <c:layout>
        <c:manualLayout>
          <c:layoutTarget val="inner"/>
          <c:xMode val="edge"/>
          <c:yMode val="edge"/>
          <c:x val="0.15014647362628061"/>
          <c:y val="0.15059483770558832"/>
          <c:w val="0.71113859961053261"/>
          <c:h val="0.73992897558659454"/>
        </c:manualLayout>
      </c:layout>
      <c:bar3DChart>
        <c:barDir val="col"/>
        <c:grouping val="stacked"/>
        <c:varyColors val="0"/>
        <c:ser>
          <c:idx val="0"/>
          <c:order val="0"/>
          <c:tx>
            <c:strRef>
              <c:f>'Műsz,Menny. VÍZ'!$C$59:$C$60</c:f>
              <c:strCache>
                <c:ptCount val="2"/>
                <c:pt idx="0">
                  <c:v>lakosság</c:v>
                </c:pt>
                <c:pt idx="1">
                  <c:v>havonta</c:v>
                </c:pt>
              </c:strCache>
            </c:strRef>
          </c:tx>
          <c:spPr>
            <a:solidFill>
              <a:srgbClr val="003366"/>
            </a:solidFill>
            <a:ln w="12700">
              <a:solidFill>
                <a:srgbClr val="000000"/>
              </a:solidFill>
              <a:prstDash val="solid"/>
            </a:ln>
          </c:spPr>
          <c:invertIfNegative val="0"/>
          <c:dLbls>
            <c:spPr>
              <a:solidFill>
                <a:sysClr val="window" lastClr="FFFFFF"/>
              </a:solidFill>
              <a:ln>
                <a:solidFill>
                  <a:sysClr val="windowText" lastClr="000000">
                    <a:lumMod val="65000"/>
                    <a:lumOff val="35000"/>
                  </a:sysClr>
                </a:solidFill>
              </a:ln>
              <a:effectLst/>
            </c:spPr>
            <c:txPr>
              <a:bodyPr wrap="square" lIns="38100" tIns="19050" rIns="38100" bIns="19050" anchor="ctr">
                <a:spAutoFit/>
              </a:bodyPr>
              <a:lstStyle/>
              <a:p>
                <a:pPr>
                  <a:defRPr sz="800"/>
                </a:pPr>
                <a:endParaRPr lang="hu-H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layout/>
                <c15:showLeaderLines val="1"/>
              </c:ext>
            </c:extLst>
          </c:dLbls>
          <c:cat>
            <c:strRef>
              <c:f>'Műsz,Menny. VÍZ'!$A$68:$A$75</c:f>
              <c:strCache>
                <c:ptCount val="8"/>
                <c:pt idx="0">
                  <c:v>2015.</c:v>
                </c:pt>
                <c:pt idx="1">
                  <c:v>2016.</c:v>
                </c:pt>
                <c:pt idx="2">
                  <c:v>2017.</c:v>
                </c:pt>
                <c:pt idx="3">
                  <c:v>2018.</c:v>
                </c:pt>
                <c:pt idx="4">
                  <c:v>2019.</c:v>
                </c:pt>
                <c:pt idx="5">
                  <c:v>2020.</c:v>
                </c:pt>
                <c:pt idx="6">
                  <c:v>2021.</c:v>
                </c:pt>
                <c:pt idx="7">
                  <c:v>2022.</c:v>
                </c:pt>
              </c:strCache>
            </c:strRef>
          </c:cat>
          <c:val>
            <c:numRef>
              <c:f>'Műsz,Menny. VÍZ'!$C$68:$C$75</c:f>
              <c:numCache>
                <c:formatCode>#,##0</c:formatCode>
                <c:ptCount val="8"/>
                <c:pt idx="0">
                  <c:v>2521</c:v>
                </c:pt>
                <c:pt idx="1">
                  <c:v>2255</c:v>
                </c:pt>
                <c:pt idx="2">
                  <c:v>2225</c:v>
                </c:pt>
                <c:pt idx="3">
                  <c:v>2226</c:v>
                </c:pt>
                <c:pt idx="4">
                  <c:v>2227</c:v>
                </c:pt>
                <c:pt idx="5">
                  <c:v>2273</c:v>
                </c:pt>
                <c:pt idx="6">
                  <c:v>2266</c:v>
                </c:pt>
                <c:pt idx="7">
                  <c:v>2212.9149900000002</c:v>
                </c:pt>
              </c:numCache>
            </c:numRef>
          </c:val>
        </c:ser>
        <c:ser>
          <c:idx val="1"/>
          <c:order val="1"/>
          <c:tx>
            <c:strRef>
              <c:f>'Műsz,Menny. VÍZ'!$D$59:$D$60</c:f>
              <c:strCache>
                <c:ptCount val="2"/>
                <c:pt idx="0">
                  <c:v>lakosság</c:v>
                </c:pt>
                <c:pt idx="1">
                  <c:v>félévente</c:v>
                </c:pt>
              </c:strCache>
            </c:strRef>
          </c:tx>
          <c:spPr>
            <a:solidFill>
              <a:srgbClr val="99CCFF"/>
            </a:solidFill>
            <a:ln w="12700">
              <a:solidFill>
                <a:srgbClr val="000000"/>
              </a:solidFill>
              <a:prstDash val="solid"/>
            </a:ln>
          </c:spPr>
          <c:invertIfNegative val="0"/>
          <c:dLbls>
            <c:spPr>
              <a:solidFill>
                <a:sysClr val="window" lastClr="FFFFFF"/>
              </a:solidFill>
              <a:ln>
                <a:solidFill>
                  <a:sysClr val="windowText" lastClr="000000">
                    <a:lumMod val="65000"/>
                    <a:lumOff val="35000"/>
                  </a:sysClr>
                </a:solidFill>
              </a:ln>
              <a:effectLst/>
            </c:spPr>
            <c:txPr>
              <a:bodyPr wrap="square" lIns="38100" tIns="19050" rIns="38100" bIns="19050" anchor="ctr">
                <a:spAutoFit/>
              </a:bodyPr>
              <a:lstStyle/>
              <a:p>
                <a:pPr>
                  <a:defRPr sz="800"/>
                </a:pPr>
                <a:endParaRPr lang="hu-H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wedgeRectCallout">
                    <a:avLst/>
                  </a:prstGeom>
                </c15:spPr>
                <c15:layout/>
                <c15:showLeaderLines val="0"/>
              </c:ext>
            </c:extLst>
          </c:dLbls>
          <c:cat>
            <c:strRef>
              <c:f>'Műsz,Menny. VÍZ'!$A$68:$A$75</c:f>
              <c:strCache>
                <c:ptCount val="8"/>
                <c:pt idx="0">
                  <c:v>2015.</c:v>
                </c:pt>
                <c:pt idx="1">
                  <c:v>2016.</c:v>
                </c:pt>
                <c:pt idx="2">
                  <c:v>2017.</c:v>
                </c:pt>
                <c:pt idx="3">
                  <c:v>2018.</c:v>
                </c:pt>
                <c:pt idx="4">
                  <c:v>2019.</c:v>
                </c:pt>
                <c:pt idx="5">
                  <c:v>2020.</c:v>
                </c:pt>
                <c:pt idx="6">
                  <c:v>2021.</c:v>
                </c:pt>
                <c:pt idx="7">
                  <c:v>2022.</c:v>
                </c:pt>
              </c:strCache>
            </c:strRef>
          </c:cat>
          <c:val>
            <c:numRef>
              <c:f>'Műsz,Menny. VÍZ'!$D$68:$D$75</c:f>
              <c:numCache>
                <c:formatCode>#,##0</c:formatCode>
                <c:ptCount val="8"/>
                <c:pt idx="0">
                  <c:v>5772</c:v>
                </c:pt>
                <c:pt idx="1">
                  <c:v>5767</c:v>
                </c:pt>
                <c:pt idx="2">
                  <c:v>6000</c:v>
                </c:pt>
                <c:pt idx="3">
                  <c:v>6096</c:v>
                </c:pt>
                <c:pt idx="4">
                  <c:v>6203</c:v>
                </c:pt>
                <c:pt idx="5">
                  <c:v>6480</c:v>
                </c:pt>
                <c:pt idx="6">
                  <c:v>6683</c:v>
                </c:pt>
                <c:pt idx="7">
                  <c:v>6563.29</c:v>
                </c:pt>
              </c:numCache>
            </c:numRef>
          </c:val>
        </c:ser>
        <c:ser>
          <c:idx val="2"/>
          <c:order val="2"/>
          <c:tx>
            <c:strRef>
              <c:f>'Műsz,Menny. VÍZ'!$E$59:$E$60</c:f>
              <c:strCache>
                <c:ptCount val="2"/>
                <c:pt idx="0">
                  <c:v>nem lakosság</c:v>
                </c:pt>
                <c:pt idx="1">
                  <c:v>havonta</c:v>
                </c:pt>
              </c:strCache>
            </c:strRef>
          </c:tx>
          <c:spPr>
            <a:solidFill>
              <a:srgbClr val="33CCCC"/>
            </a:solidFill>
            <a:ln w="12700">
              <a:solidFill>
                <a:srgbClr val="000000"/>
              </a:solidFill>
              <a:prstDash val="solid"/>
            </a:ln>
          </c:spPr>
          <c:invertIfNegative val="0"/>
          <c:dLbls>
            <c:spPr>
              <a:solidFill>
                <a:sysClr val="window" lastClr="FFFFFF"/>
              </a:solidFill>
              <a:ln>
                <a:solidFill>
                  <a:sysClr val="windowText" lastClr="000000">
                    <a:lumMod val="65000"/>
                    <a:lumOff val="35000"/>
                  </a:sysClr>
                </a:solidFill>
              </a:ln>
              <a:effectLst/>
            </c:spPr>
            <c:txPr>
              <a:bodyPr wrap="square" lIns="38100" tIns="19050" rIns="38100" bIns="19050" anchor="ctr">
                <a:spAutoFit/>
              </a:bodyPr>
              <a:lstStyle/>
              <a:p>
                <a:pPr>
                  <a:defRPr sz="800"/>
                </a:pPr>
                <a:endParaRPr lang="hu-H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layout/>
                <c15:showLeaderLines val="1"/>
              </c:ext>
            </c:extLst>
          </c:dLbls>
          <c:cat>
            <c:strRef>
              <c:f>'Műsz,Menny. VÍZ'!$A$68:$A$75</c:f>
              <c:strCache>
                <c:ptCount val="8"/>
                <c:pt idx="0">
                  <c:v>2015.</c:v>
                </c:pt>
                <c:pt idx="1">
                  <c:v>2016.</c:v>
                </c:pt>
                <c:pt idx="2">
                  <c:v>2017.</c:v>
                </c:pt>
                <c:pt idx="3">
                  <c:v>2018.</c:v>
                </c:pt>
                <c:pt idx="4">
                  <c:v>2019.</c:v>
                </c:pt>
                <c:pt idx="5">
                  <c:v>2020.</c:v>
                </c:pt>
                <c:pt idx="6">
                  <c:v>2021.</c:v>
                </c:pt>
                <c:pt idx="7">
                  <c:v>2022.</c:v>
                </c:pt>
              </c:strCache>
            </c:strRef>
          </c:cat>
          <c:val>
            <c:numRef>
              <c:f>'Műsz,Menny. VÍZ'!$E$68:$E$75</c:f>
              <c:numCache>
                <c:formatCode>#,##0</c:formatCode>
                <c:ptCount val="8"/>
                <c:pt idx="0">
                  <c:v>2146</c:v>
                </c:pt>
                <c:pt idx="1">
                  <c:v>2336</c:v>
                </c:pt>
                <c:pt idx="2">
                  <c:v>2329</c:v>
                </c:pt>
                <c:pt idx="3">
                  <c:v>2273</c:v>
                </c:pt>
                <c:pt idx="4">
                  <c:v>2252</c:v>
                </c:pt>
                <c:pt idx="5">
                  <c:v>2003</c:v>
                </c:pt>
                <c:pt idx="6">
                  <c:v>2083</c:v>
                </c:pt>
                <c:pt idx="7">
                  <c:v>2186.4422400000003</c:v>
                </c:pt>
              </c:numCache>
            </c:numRef>
          </c:val>
        </c:ser>
        <c:ser>
          <c:idx val="3"/>
          <c:order val="3"/>
          <c:tx>
            <c:strRef>
              <c:f>'Műsz,Menny. VÍZ'!$F$59:$F$60</c:f>
              <c:strCache>
                <c:ptCount val="2"/>
                <c:pt idx="0">
                  <c:v>nem lakosság</c:v>
                </c:pt>
                <c:pt idx="1">
                  <c:v>félévente</c:v>
                </c:pt>
              </c:strCache>
            </c:strRef>
          </c:tx>
          <c:spPr>
            <a:solidFill>
              <a:srgbClr val="CCFFFF"/>
            </a:solidFill>
            <a:ln w="12700">
              <a:solidFill>
                <a:srgbClr val="000000"/>
              </a:solidFill>
              <a:prstDash val="solid"/>
            </a:ln>
          </c:spPr>
          <c:invertIfNegative val="0"/>
          <c:dLbls>
            <c:dLbl>
              <c:idx val="0"/>
              <c:layout>
                <c:manualLayout>
                  <c:x val="3.5727045373347625E-3"/>
                  <c:y val="-5.196733481811433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
                  <c:y val="-5.5679287305122498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1.7863522686673158E-3"/>
                  <c:y val="-4.8255382331106163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1.7863522686673813E-3"/>
                  <c:y val="-6.3103192279138867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4"/>
              <c:layout>
                <c:manualLayout>
                  <c:x val="3.5727045373347625E-3"/>
                  <c:y val="-6.3103192279138839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5"/>
              <c:layout>
                <c:manualLayout>
                  <c:x val="0"/>
                  <c:y val="-7.4239049740163321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6"/>
              <c:layout>
                <c:manualLayout>
                  <c:x val="0"/>
                  <c:y val="-6.6815144766147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7"/>
              <c:layout>
                <c:manualLayout>
                  <c:x val="0"/>
                  <c:y val="-5.9391239792130679E-2"/>
                </c:manualLayout>
              </c:layout>
              <c:showLegendKey val="0"/>
              <c:showVal val="1"/>
              <c:showCatName val="0"/>
              <c:showSerName val="0"/>
              <c:showPercent val="0"/>
              <c:showBubbleSize val="0"/>
              <c:extLst>
                <c:ext xmlns:c15="http://schemas.microsoft.com/office/drawing/2012/chart" uri="{CE6537A1-D6FC-4f65-9D91-7224C49458BB}">
                  <c15:layout/>
                </c:ext>
              </c:extLst>
            </c:dLbl>
            <c:spPr>
              <a:solidFill>
                <a:sysClr val="window" lastClr="FFFFFF"/>
              </a:solidFill>
              <a:ln>
                <a:solidFill>
                  <a:sysClr val="windowText" lastClr="000000">
                    <a:lumMod val="65000"/>
                    <a:lumOff val="35000"/>
                  </a:sysClr>
                </a:solidFill>
              </a:ln>
              <a:effectLst/>
            </c:spPr>
            <c:txPr>
              <a:bodyPr wrap="square" lIns="38100" tIns="19050" rIns="38100" bIns="19050" anchor="ctr">
                <a:spAutoFit/>
              </a:bodyPr>
              <a:lstStyle/>
              <a:p>
                <a:pPr>
                  <a:defRPr sz="700"/>
                </a:pPr>
                <a:endParaRPr lang="hu-H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wedgeRectCallout">
                    <a:avLst/>
                  </a:prstGeom>
                </c15:spPr>
                <c15:showLeaderLines val="1"/>
              </c:ext>
            </c:extLst>
          </c:dLbls>
          <c:cat>
            <c:strRef>
              <c:f>'Műsz,Menny. VÍZ'!$A$68:$A$75</c:f>
              <c:strCache>
                <c:ptCount val="8"/>
                <c:pt idx="0">
                  <c:v>2015.</c:v>
                </c:pt>
                <c:pt idx="1">
                  <c:v>2016.</c:v>
                </c:pt>
                <c:pt idx="2">
                  <c:v>2017.</c:v>
                </c:pt>
                <c:pt idx="3">
                  <c:v>2018.</c:v>
                </c:pt>
                <c:pt idx="4">
                  <c:v>2019.</c:v>
                </c:pt>
                <c:pt idx="5">
                  <c:v>2020.</c:v>
                </c:pt>
                <c:pt idx="6">
                  <c:v>2021.</c:v>
                </c:pt>
                <c:pt idx="7">
                  <c:v>2022.</c:v>
                </c:pt>
              </c:strCache>
            </c:strRef>
          </c:cat>
          <c:val>
            <c:numRef>
              <c:f>'Műsz,Menny. VÍZ'!$F$68:$F$75</c:f>
              <c:numCache>
                <c:formatCode>#,##0</c:formatCode>
                <c:ptCount val="8"/>
                <c:pt idx="0">
                  <c:v>455</c:v>
                </c:pt>
                <c:pt idx="1">
                  <c:v>454</c:v>
                </c:pt>
                <c:pt idx="2">
                  <c:v>508</c:v>
                </c:pt>
                <c:pt idx="3">
                  <c:v>518</c:v>
                </c:pt>
                <c:pt idx="4">
                  <c:v>547</c:v>
                </c:pt>
                <c:pt idx="5">
                  <c:v>522</c:v>
                </c:pt>
                <c:pt idx="6">
                  <c:v>528</c:v>
                </c:pt>
                <c:pt idx="7">
                  <c:v>574.21</c:v>
                </c:pt>
              </c:numCache>
            </c:numRef>
          </c:val>
        </c:ser>
        <c:dLbls>
          <c:showLegendKey val="0"/>
          <c:showVal val="0"/>
          <c:showCatName val="0"/>
          <c:showSerName val="0"/>
          <c:showPercent val="0"/>
          <c:showBubbleSize val="0"/>
        </c:dLbls>
        <c:gapWidth val="150"/>
        <c:shape val="box"/>
        <c:axId val="433074904"/>
        <c:axId val="433071376"/>
        <c:axId val="0"/>
      </c:bar3DChart>
      <c:catAx>
        <c:axId val="433074904"/>
        <c:scaling>
          <c:orientation val="minMax"/>
        </c:scaling>
        <c:delete val="0"/>
        <c:axPos val="b"/>
        <c:title>
          <c:tx>
            <c:rich>
              <a:bodyPr/>
              <a:lstStyle/>
              <a:p>
                <a:pPr>
                  <a:defRPr sz="850" b="1" i="0" u="none" strike="noStrike" baseline="0">
                    <a:solidFill>
                      <a:srgbClr val="000000"/>
                    </a:solidFill>
                    <a:latin typeface="Arial CE"/>
                    <a:ea typeface="Arial CE"/>
                    <a:cs typeface="Arial CE"/>
                  </a:defRPr>
                </a:pPr>
                <a:r>
                  <a:rPr lang="hu-HU"/>
                  <a:t>évek</a:t>
                </a:r>
              </a:p>
            </c:rich>
          </c:tx>
          <c:layout>
            <c:manualLayout>
              <c:xMode val="edge"/>
              <c:yMode val="edge"/>
              <c:x val="0.85899303273709537"/>
              <c:y val="0.77510056487504275"/>
            </c:manualLayout>
          </c:layout>
          <c:overlay val="0"/>
          <c:spPr>
            <a:noFill/>
            <a:ln w="25400">
              <a:noFill/>
            </a:ln>
          </c:spPr>
        </c:title>
        <c:numFmt formatCode="General" sourceLinked="1"/>
        <c:majorTickMark val="out"/>
        <c:minorTickMark val="none"/>
        <c:tickLblPos val="low"/>
        <c:spPr>
          <a:ln w="3175">
            <a:solidFill>
              <a:srgbClr val="000000"/>
            </a:solidFill>
            <a:prstDash val="solid"/>
          </a:ln>
        </c:spPr>
        <c:txPr>
          <a:bodyPr rot="0" vert="horz"/>
          <a:lstStyle/>
          <a:p>
            <a:pPr>
              <a:defRPr sz="850" b="0" i="0" u="none" strike="noStrike" baseline="0">
                <a:solidFill>
                  <a:srgbClr val="000000"/>
                </a:solidFill>
                <a:latin typeface="Arial CE"/>
                <a:ea typeface="Arial CE"/>
                <a:cs typeface="Arial CE"/>
              </a:defRPr>
            </a:pPr>
            <a:endParaRPr lang="hu-HU"/>
          </a:p>
        </c:txPr>
        <c:crossAx val="433071376"/>
        <c:crosses val="autoZero"/>
        <c:auto val="1"/>
        <c:lblAlgn val="ctr"/>
        <c:lblOffset val="100"/>
        <c:tickLblSkip val="1"/>
        <c:tickMarkSkip val="1"/>
        <c:noMultiLvlLbl val="0"/>
      </c:catAx>
      <c:valAx>
        <c:axId val="433071376"/>
        <c:scaling>
          <c:orientation val="minMax"/>
        </c:scaling>
        <c:delete val="0"/>
        <c:axPos val="l"/>
        <c:majorGridlines>
          <c:spPr>
            <a:ln w="3175">
              <a:solidFill>
                <a:srgbClr val="000000"/>
              </a:solidFill>
              <a:prstDash val="solid"/>
            </a:ln>
          </c:spPr>
        </c:majorGridlines>
        <c:title>
          <c:tx>
            <c:rich>
              <a:bodyPr rot="0" vert="horz"/>
              <a:lstStyle/>
              <a:p>
                <a:pPr algn="ctr">
                  <a:defRPr sz="1100" b="0" i="0" u="none" strike="noStrike" baseline="0">
                    <a:solidFill>
                      <a:srgbClr val="000000"/>
                    </a:solidFill>
                    <a:latin typeface="Calibri"/>
                    <a:ea typeface="Calibri"/>
                    <a:cs typeface="Calibri"/>
                  </a:defRPr>
                </a:pPr>
                <a:r>
                  <a:rPr lang="hu-HU" sz="850" b="1" i="0" u="none" strike="noStrike" baseline="0">
                    <a:solidFill>
                      <a:srgbClr val="000000"/>
                    </a:solidFill>
                    <a:latin typeface="Arial CE"/>
                    <a:cs typeface="Arial CE"/>
                  </a:rPr>
                  <a:t>em</a:t>
                </a:r>
                <a:r>
                  <a:rPr lang="hu-HU" sz="850" b="1" i="0" u="none" strike="noStrike" baseline="30000">
                    <a:solidFill>
                      <a:srgbClr val="000000"/>
                    </a:solidFill>
                    <a:latin typeface="Arial CE"/>
                    <a:cs typeface="Arial CE"/>
                  </a:rPr>
                  <a:t>3</a:t>
                </a:r>
              </a:p>
            </c:rich>
          </c:tx>
          <c:layout>
            <c:manualLayout>
              <c:xMode val="edge"/>
              <c:yMode val="edge"/>
              <c:x val="0.16627987291062304"/>
              <c:y val="0.11454789800759441"/>
            </c:manualLayout>
          </c:layout>
          <c:overlay val="0"/>
          <c:spPr>
            <a:noFill/>
            <a:ln w="25400">
              <a:noFill/>
            </a:ln>
          </c:spPr>
        </c:title>
        <c:numFmt formatCode="#,##0" sourceLinked="1"/>
        <c:majorTickMark val="out"/>
        <c:minorTickMark val="none"/>
        <c:tickLblPos val="nextTo"/>
        <c:spPr>
          <a:ln w="3175">
            <a:solidFill>
              <a:srgbClr val="000000"/>
            </a:solidFill>
            <a:prstDash val="solid"/>
          </a:ln>
        </c:spPr>
        <c:txPr>
          <a:bodyPr rot="0" vert="horz"/>
          <a:lstStyle/>
          <a:p>
            <a:pPr>
              <a:defRPr sz="850" b="0" i="0" u="none" strike="noStrike" baseline="0">
                <a:solidFill>
                  <a:srgbClr val="000000"/>
                </a:solidFill>
                <a:latin typeface="Arial CE"/>
                <a:ea typeface="Arial CE"/>
                <a:cs typeface="Arial CE"/>
              </a:defRPr>
            </a:pPr>
            <a:endParaRPr lang="hu-HU"/>
          </a:p>
        </c:txPr>
        <c:crossAx val="433074904"/>
        <c:crosses val="autoZero"/>
        <c:crossBetween val="between"/>
      </c:valAx>
      <c:spPr>
        <a:noFill/>
        <a:ln w="25400">
          <a:noFill/>
        </a:ln>
      </c:spPr>
    </c:plotArea>
    <c:legend>
      <c:legendPos val="r"/>
      <c:layout>
        <c:manualLayout>
          <c:xMode val="edge"/>
          <c:yMode val="edge"/>
          <c:x val="0.79800204635437533"/>
          <c:y val="0.35509880852522302"/>
          <c:w val="0.19939576859823216"/>
          <c:h val="0.26460553255585317"/>
        </c:manualLayout>
      </c:layout>
      <c:overlay val="0"/>
      <c:spPr>
        <a:noFill/>
        <a:ln w="25400">
          <a:noFill/>
        </a:ln>
      </c:spPr>
      <c:txPr>
        <a:bodyPr/>
        <a:lstStyle/>
        <a:p>
          <a:pPr>
            <a:defRPr sz="735" b="0" i="0" u="none" strike="noStrike" baseline="0">
              <a:solidFill>
                <a:srgbClr val="000000"/>
              </a:solidFill>
              <a:latin typeface="Arial CE"/>
              <a:ea typeface="Arial CE"/>
              <a:cs typeface="Arial CE"/>
            </a:defRPr>
          </a:pPr>
          <a:endParaRPr lang="hu-HU"/>
        </a:p>
      </c:txPr>
    </c:legend>
    <c:plotVisOnly val="1"/>
    <c:dispBlanksAs val="gap"/>
    <c:showDLblsOverMax val="0"/>
  </c:chart>
  <c:spPr>
    <a:noFill/>
    <a:ln w="3175">
      <a:solidFill>
        <a:srgbClr val="000000"/>
      </a:solidFill>
      <a:prstDash val="solid"/>
    </a:ln>
  </c:spPr>
  <c:txPr>
    <a:bodyPr/>
    <a:lstStyle/>
    <a:p>
      <a:pPr>
        <a:defRPr sz="1025" b="0" i="0" u="none" strike="noStrike" baseline="0">
          <a:solidFill>
            <a:srgbClr val="000000"/>
          </a:solidFill>
          <a:latin typeface="Arial CE"/>
          <a:ea typeface="Arial CE"/>
          <a:cs typeface="Arial CE"/>
        </a:defRPr>
      </a:pPr>
      <a:endParaRPr lang="hu-HU"/>
    </a:p>
  </c:txPr>
  <c:externalData r:id="rId1">
    <c:autoUpdate val="0"/>
  </c:externalData>
  <c:userShapes r:id="rId2"/>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hu-HU" sz="1100"/>
              <a:t>Ivóvíz termelés alakulása 2015-2022. év</a:t>
            </a:r>
          </a:p>
        </c:rich>
      </c:tx>
      <c:layout>
        <c:manualLayout>
          <c:xMode val="edge"/>
          <c:yMode val="edge"/>
          <c:x val="0.24569966728842438"/>
          <c:y val="5.5501211387038167E-2"/>
        </c:manualLayout>
      </c:layout>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hu-HU"/>
        </a:p>
      </c:txPr>
    </c:title>
    <c:autoTitleDeleted val="0"/>
    <c:view3D>
      <c:rotX val="30"/>
      <c:rotY val="1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7.6095414543770265E-2"/>
          <c:y val="4.7368266783910894E-2"/>
          <c:w val="0.85311918288694943"/>
          <c:h val="0.73635770864964756"/>
        </c:manualLayout>
      </c:layout>
      <c:area3DChart>
        <c:grouping val="standard"/>
        <c:varyColors val="0"/>
        <c:ser>
          <c:idx val="8"/>
          <c:order val="0"/>
          <c:tx>
            <c:strRef>
              <c:f>'Műsz,Menny. VÍZ'!$E$40</c:f>
              <c:strCache>
                <c:ptCount val="1"/>
                <c:pt idx="0">
                  <c:v>2015.</c:v>
                </c:pt>
              </c:strCache>
            </c:strRef>
          </c:tx>
          <c:spPr>
            <a:gradFill rotWithShape="1">
              <a:gsLst>
                <a:gs pos="0">
                  <a:schemeClr val="accent3">
                    <a:lumMod val="60000"/>
                    <a:shade val="51000"/>
                    <a:satMod val="130000"/>
                  </a:schemeClr>
                </a:gs>
                <a:gs pos="80000">
                  <a:schemeClr val="accent3">
                    <a:lumMod val="60000"/>
                    <a:shade val="93000"/>
                    <a:satMod val="130000"/>
                  </a:schemeClr>
                </a:gs>
                <a:gs pos="100000">
                  <a:schemeClr val="accent3">
                    <a:lumMod val="60000"/>
                    <a:shade val="94000"/>
                    <a:satMod val="135000"/>
                  </a:schemeClr>
                </a:gs>
              </a:gsLst>
              <a:lin ang="16200000" scaled="0"/>
            </a:gradFill>
            <a:ln w="25400">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cat>
            <c:strRef>
              <c:f>'Műsz,Menny. VÍZ'!$A$41:$A$52</c:f>
              <c:strCache>
                <c:ptCount val="12"/>
                <c:pt idx="0">
                  <c:v>I.</c:v>
                </c:pt>
                <c:pt idx="1">
                  <c:v>II.</c:v>
                </c:pt>
                <c:pt idx="2">
                  <c:v>III.</c:v>
                </c:pt>
                <c:pt idx="3">
                  <c:v>IV.</c:v>
                </c:pt>
                <c:pt idx="4">
                  <c:v>V.</c:v>
                </c:pt>
                <c:pt idx="5">
                  <c:v>VI.</c:v>
                </c:pt>
                <c:pt idx="6">
                  <c:v>VII.</c:v>
                </c:pt>
                <c:pt idx="7">
                  <c:v>VIII.</c:v>
                </c:pt>
                <c:pt idx="8">
                  <c:v>IX.</c:v>
                </c:pt>
                <c:pt idx="9">
                  <c:v>X.</c:v>
                </c:pt>
                <c:pt idx="10">
                  <c:v>XI.</c:v>
                </c:pt>
                <c:pt idx="11">
                  <c:v>XII.</c:v>
                </c:pt>
              </c:strCache>
            </c:strRef>
          </c:cat>
          <c:val>
            <c:numRef>
              <c:f>'Műsz,Menny. VÍZ'!$E$41:$E$52</c:f>
              <c:numCache>
                <c:formatCode>#,##0</c:formatCode>
                <c:ptCount val="12"/>
                <c:pt idx="0">
                  <c:v>1155</c:v>
                </c:pt>
                <c:pt idx="1">
                  <c:v>1036</c:v>
                </c:pt>
                <c:pt idx="2">
                  <c:v>1178</c:v>
                </c:pt>
                <c:pt idx="3">
                  <c:v>1167</c:v>
                </c:pt>
                <c:pt idx="4">
                  <c:v>1207</c:v>
                </c:pt>
                <c:pt idx="5">
                  <c:v>1266</c:v>
                </c:pt>
                <c:pt idx="6">
                  <c:v>1320</c:v>
                </c:pt>
                <c:pt idx="7">
                  <c:v>1317</c:v>
                </c:pt>
                <c:pt idx="8">
                  <c:v>1187</c:v>
                </c:pt>
                <c:pt idx="9">
                  <c:v>1182</c:v>
                </c:pt>
                <c:pt idx="10">
                  <c:v>1124</c:v>
                </c:pt>
                <c:pt idx="11">
                  <c:v>1135</c:v>
                </c:pt>
              </c:numCache>
            </c:numRef>
          </c:val>
        </c:ser>
        <c:ser>
          <c:idx val="0"/>
          <c:order val="1"/>
          <c:tx>
            <c:strRef>
              <c:f>'Műsz,Menny. VÍZ'!$F$40</c:f>
              <c:strCache>
                <c:ptCount val="1"/>
                <c:pt idx="0">
                  <c:v>2016.</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cat>
            <c:strRef>
              <c:f>'Műsz,Menny. VÍZ'!$A$41:$A$52</c:f>
              <c:strCache>
                <c:ptCount val="12"/>
                <c:pt idx="0">
                  <c:v>I.</c:v>
                </c:pt>
                <c:pt idx="1">
                  <c:v>II.</c:v>
                </c:pt>
                <c:pt idx="2">
                  <c:v>III.</c:v>
                </c:pt>
                <c:pt idx="3">
                  <c:v>IV.</c:v>
                </c:pt>
                <c:pt idx="4">
                  <c:v>V.</c:v>
                </c:pt>
                <c:pt idx="5">
                  <c:v>VI.</c:v>
                </c:pt>
                <c:pt idx="6">
                  <c:v>VII.</c:v>
                </c:pt>
                <c:pt idx="7">
                  <c:v>VIII.</c:v>
                </c:pt>
                <c:pt idx="8">
                  <c:v>IX.</c:v>
                </c:pt>
                <c:pt idx="9">
                  <c:v>X.</c:v>
                </c:pt>
                <c:pt idx="10">
                  <c:v>XI.</c:v>
                </c:pt>
                <c:pt idx="11">
                  <c:v>XII.</c:v>
                </c:pt>
              </c:strCache>
            </c:strRef>
          </c:cat>
          <c:val>
            <c:numRef>
              <c:f>'Műsz,Menny. VÍZ'!$F$41:$F$52</c:f>
              <c:numCache>
                <c:formatCode>#,##0</c:formatCode>
                <c:ptCount val="12"/>
                <c:pt idx="0">
                  <c:v>1154</c:v>
                </c:pt>
                <c:pt idx="1">
                  <c:v>1079</c:v>
                </c:pt>
                <c:pt idx="2">
                  <c:v>1163</c:v>
                </c:pt>
                <c:pt idx="3">
                  <c:v>1173</c:v>
                </c:pt>
                <c:pt idx="4">
                  <c:v>1219</c:v>
                </c:pt>
                <c:pt idx="5">
                  <c:v>1218</c:v>
                </c:pt>
                <c:pt idx="6">
                  <c:v>1265</c:v>
                </c:pt>
                <c:pt idx="7">
                  <c:v>1207</c:v>
                </c:pt>
                <c:pt idx="8">
                  <c:v>1185</c:v>
                </c:pt>
                <c:pt idx="9">
                  <c:v>1191</c:v>
                </c:pt>
                <c:pt idx="10">
                  <c:v>1139</c:v>
                </c:pt>
                <c:pt idx="11">
                  <c:v>1155</c:v>
                </c:pt>
              </c:numCache>
            </c:numRef>
          </c:val>
        </c:ser>
        <c:ser>
          <c:idx val="1"/>
          <c:order val="2"/>
          <c:tx>
            <c:strRef>
              <c:f>'Műsz,Menny. VÍZ'!$G$40</c:f>
              <c:strCache>
                <c:ptCount val="1"/>
                <c:pt idx="0">
                  <c:v>2017.</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cat>
            <c:strRef>
              <c:f>'Műsz,Menny. VÍZ'!$A$41:$A$52</c:f>
              <c:strCache>
                <c:ptCount val="12"/>
                <c:pt idx="0">
                  <c:v>I.</c:v>
                </c:pt>
                <c:pt idx="1">
                  <c:v>II.</c:v>
                </c:pt>
                <c:pt idx="2">
                  <c:v>III.</c:v>
                </c:pt>
                <c:pt idx="3">
                  <c:v>IV.</c:v>
                </c:pt>
                <c:pt idx="4">
                  <c:v>V.</c:v>
                </c:pt>
                <c:pt idx="5">
                  <c:v>VI.</c:v>
                </c:pt>
                <c:pt idx="6">
                  <c:v>VII.</c:v>
                </c:pt>
                <c:pt idx="7">
                  <c:v>VIII.</c:v>
                </c:pt>
                <c:pt idx="8">
                  <c:v>IX.</c:v>
                </c:pt>
                <c:pt idx="9">
                  <c:v>X.</c:v>
                </c:pt>
                <c:pt idx="10">
                  <c:v>XI.</c:v>
                </c:pt>
                <c:pt idx="11">
                  <c:v>XII.</c:v>
                </c:pt>
              </c:strCache>
            </c:strRef>
          </c:cat>
          <c:val>
            <c:numRef>
              <c:f>'Műsz,Menny. VÍZ'!$G$41:$G$52</c:f>
              <c:numCache>
                <c:formatCode>#,##0</c:formatCode>
                <c:ptCount val="12"/>
                <c:pt idx="0">
                  <c:v>1188</c:v>
                </c:pt>
                <c:pt idx="1">
                  <c:v>1119</c:v>
                </c:pt>
                <c:pt idx="2">
                  <c:v>1206</c:v>
                </c:pt>
                <c:pt idx="3">
                  <c:v>1171</c:v>
                </c:pt>
                <c:pt idx="4">
                  <c:v>1234</c:v>
                </c:pt>
                <c:pt idx="5">
                  <c:v>1261</c:v>
                </c:pt>
                <c:pt idx="6">
                  <c:v>1275</c:v>
                </c:pt>
                <c:pt idx="7">
                  <c:v>1308</c:v>
                </c:pt>
                <c:pt idx="8">
                  <c:v>1186</c:v>
                </c:pt>
                <c:pt idx="9">
                  <c:v>1210</c:v>
                </c:pt>
                <c:pt idx="10">
                  <c:v>1142</c:v>
                </c:pt>
                <c:pt idx="11">
                  <c:v>1169</c:v>
                </c:pt>
              </c:numCache>
            </c:numRef>
          </c:val>
        </c:ser>
        <c:ser>
          <c:idx val="2"/>
          <c:order val="3"/>
          <c:tx>
            <c:strRef>
              <c:f>'Műsz,Menny. VÍZ'!$H$40</c:f>
              <c:strCache>
                <c:ptCount val="1"/>
                <c:pt idx="0">
                  <c:v>2018.</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cat>
            <c:strRef>
              <c:f>'Műsz,Menny. VÍZ'!$A$41:$A$52</c:f>
              <c:strCache>
                <c:ptCount val="12"/>
                <c:pt idx="0">
                  <c:v>I.</c:v>
                </c:pt>
                <c:pt idx="1">
                  <c:v>II.</c:v>
                </c:pt>
                <c:pt idx="2">
                  <c:v>III.</c:v>
                </c:pt>
                <c:pt idx="3">
                  <c:v>IV.</c:v>
                </c:pt>
                <c:pt idx="4">
                  <c:v>V.</c:v>
                </c:pt>
                <c:pt idx="5">
                  <c:v>VI.</c:v>
                </c:pt>
                <c:pt idx="6">
                  <c:v>VII.</c:v>
                </c:pt>
                <c:pt idx="7">
                  <c:v>VIII.</c:v>
                </c:pt>
                <c:pt idx="8">
                  <c:v>IX.</c:v>
                </c:pt>
                <c:pt idx="9">
                  <c:v>X.</c:v>
                </c:pt>
                <c:pt idx="10">
                  <c:v>XI.</c:v>
                </c:pt>
                <c:pt idx="11">
                  <c:v>XII.</c:v>
                </c:pt>
              </c:strCache>
            </c:strRef>
          </c:cat>
          <c:val>
            <c:numRef>
              <c:f>'Műsz,Menny. VÍZ'!$H$41:$H$52</c:f>
              <c:numCache>
                <c:formatCode>#,##0</c:formatCode>
                <c:ptCount val="12"/>
                <c:pt idx="0">
                  <c:v>1186</c:v>
                </c:pt>
                <c:pt idx="1">
                  <c:v>1066</c:v>
                </c:pt>
                <c:pt idx="2">
                  <c:v>1241</c:v>
                </c:pt>
                <c:pt idx="3">
                  <c:v>1198</c:v>
                </c:pt>
                <c:pt idx="4">
                  <c:v>1224</c:v>
                </c:pt>
                <c:pt idx="5">
                  <c:v>1178</c:v>
                </c:pt>
                <c:pt idx="6">
                  <c:v>1272</c:v>
                </c:pt>
                <c:pt idx="7">
                  <c:v>1302</c:v>
                </c:pt>
                <c:pt idx="8">
                  <c:v>1170</c:v>
                </c:pt>
                <c:pt idx="9">
                  <c:v>1200</c:v>
                </c:pt>
                <c:pt idx="10">
                  <c:v>1108</c:v>
                </c:pt>
                <c:pt idx="11">
                  <c:v>1139</c:v>
                </c:pt>
              </c:numCache>
            </c:numRef>
          </c:val>
        </c:ser>
        <c:ser>
          <c:idx val="3"/>
          <c:order val="4"/>
          <c:tx>
            <c:strRef>
              <c:f>'Műsz,Menny. VÍZ'!$I$40</c:f>
              <c:strCache>
                <c:ptCount val="1"/>
                <c:pt idx="0">
                  <c:v>2019.</c:v>
                </c:pt>
              </c:strCache>
            </c:strRef>
          </c:tx>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cat>
            <c:strRef>
              <c:f>'Műsz,Menny. VÍZ'!$A$41:$A$52</c:f>
              <c:strCache>
                <c:ptCount val="12"/>
                <c:pt idx="0">
                  <c:v>I.</c:v>
                </c:pt>
                <c:pt idx="1">
                  <c:v>II.</c:v>
                </c:pt>
                <c:pt idx="2">
                  <c:v>III.</c:v>
                </c:pt>
                <c:pt idx="3">
                  <c:v>IV.</c:v>
                </c:pt>
                <c:pt idx="4">
                  <c:v>V.</c:v>
                </c:pt>
                <c:pt idx="5">
                  <c:v>VI.</c:v>
                </c:pt>
                <c:pt idx="6">
                  <c:v>VII.</c:v>
                </c:pt>
                <c:pt idx="7">
                  <c:v>VIII.</c:v>
                </c:pt>
                <c:pt idx="8">
                  <c:v>IX.</c:v>
                </c:pt>
                <c:pt idx="9">
                  <c:v>X.</c:v>
                </c:pt>
                <c:pt idx="10">
                  <c:v>XI.</c:v>
                </c:pt>
                <c:pt idx="11">
                  <c:v>XII.</c:v>
                </c:pt>
              </c:strCache>
            </c:strRef>
          </c:cat>
          <c:val>
            <c:numRef>
              <c:f>'Műsz,Menny. VÍZ'!$I$41:$I$52</c:f>
              <c:numCache>
                <c:formatCode>#,##0</c:formatCode>
                <c:ptCount val="12"/>
                <c:pt idx="0">
                  <c:v>1143</c:v>
                </c:pt>
                <c:pt idx="1">
                  <c:v>1041</c:v>
                </c:pt>
                <c:pt idx="2">
                  <c:v>1176</c:v>
                </c:pt>
                <c:pt idx="3">
                  <c:v>1175</c:v>
                </c:pt>
                <c:pt idx="4">
                  <c:v>1175</c:v>
                </c:pt>
                <c:pt idx="5">
                  <c:v>1310</c:v>
                </c:pt>
                <c:pt idx="6">
                  <c:v>1330</c:v>
                </c:pt>
                <c:pt idx="7">
                  <c:v>1250</c:v>
                </c:pt>
                <c:pt idx="8">
                  <c:v>1165</c:v>
                </c:pt>
                <c:pt idx="9">
                  <c:v>1173</c:v>
                </c:pt>
                <c:pt idx="10">
                  <c:v>1109</c:v>
                </c:pt>
                <c:pt idx="11">
                  <c:v>1128</c:v>
                </c:pt>
              </c:numCache>
            </c:numRef>
          </c:val>
        </c:ser>
        <c:ser>
          <c:idx val="4"/>
          <c:order val="5"/>
          <c:tx>
            <c:strRef>
              <c:f>'Műsz,Menny. VÍZ'!$J$40</c:f>
              <c:strCache>
                <c:ptCount val="1"/>
                <c:pt idx="0">
                  <c:v>2020.</c:v>
                </c:pt>
              </c:strCache>
            </c:strRef>
          </c:tx>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cat>
            <c:strRef>
              <c:f>'Műsz,Menny. VÍZ'!$A$41:$A$52</c:f>
              <c:strCache>
                <c:ptCount val="12"/>
                <c:pt idx="0">
                  <c:v>I.</c:v>
                </c:pt>
                <c:pt idx="1">
                  <c:v>II.</c:v>
                </c:pt>
                <c:pt idx="2">
                  <c:v>III.</c:v>
                </c:pt>
                <c:pt idx="3">
                  <c:v>IV.</c:v>
                </c:pt>
                <c:pt idx="4">
                  <c:v>V.</c:v>
                </c:pt>
                <c:pt idx="5">
                  <c:v>VI.</c:v>
                </c:pt>
                <c:pt idx="6">
                  <c:v>VII.</c:v>
                </c:pt>
                <c:pt idx="7">
                  <c:v>VIII.</c:v>
                </c:pt>
                <c:pt idx="8">
                  <c:v>IX.</c:v>
                </c:pt>
                <c:pt idx="9">
                  <c:v>X.</c:v>
                </c:pt>
                <c:pt idx="10">
                  <c:v>XI.</c:v>
                </c:pt>
                <c:pt idx="11">
                  <c:v>XII.</c:v>
                </c:pt>
              </c:strCache>
            </c:strRef>
          </c:cat>
          <c:val>
            <c:numRef>
              <c:f>'Műsz,Menny. VÍZ'!$J$41:$J$52</c:f>
              <c:numCache>
                <c:formatCode>#,##0</c:formatCode>
                <c:ptCount val="12"/>
                <c:pt idx="0">
                  <c:v>1122</c:v>
                </c:pt>
                <c:pt idx="1">
                  <c:v>1065</c:v>
                </c:pt>
                <c:pt idx="2">
                  <c:v>1165</c:v>
                </c:pt>
                <c:pt idx="3">
                  <c:v>1215</c:v>
                </c:pt>
                <c:pt idx="4">
                  <c:v>1229</c:v>
                </c:pt>
                <c:pt idx="5">
                  <c:v>1227</c:v>
                </c:pt>
                <c:pt idx="6">
                  <c:v>1289</c:v>
                </c:pt>
                <c:pt idx="7">
                  <c:v>1267</c:v>
                </c:pt>
                <c:pt idx="8">
                  <c:v>1192</c:v>
                </c:pt>
                <c:pt idx="9">
                  <c:v>1173</c:v>
                </c:pt>
                <c:pt idx="10">
                  <c:v>1107</c:v>
                </c:pt>
                <c:pt idx="11">
                  <c:v>1130</c:v>
                </c:pt>
              </c:numCache>
            </c:numRef>
          </c:val>
        </c:ser>
        <c:ser>
          <c:idx val="5"/>
          <c:order val="6"/>
          <c:tx>
            <c:strRef>
              <c:f>'Műsz,Menny. VÍZ'!$K$40</c:f>
              <c:strCache>
                <c:ptCount val="1"/>
                <c:pt idx="0">
                  <c:v>2021.</c:v>
                </c:pt>
              </c:strCache>
            </c:strRef>
          </c:tx>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cat>
            <c:strRef>
              <c:f>'Műsz,Menny. VÍZ'!$A$41:$A$52</c:f>
              <c:strCache>
                <c:ptCount val="12"/>
                <c:pt idx="0">
                  <c:v>I.</c:v>
                </c:pt>
                <c:pt idx="1">
                  <c:v>II.</c:v>
                </c:pt>
                <c:pt idx="2">
                  <c:v>III.</c:v>
                </c:pt>
                <c:pt idx="3">
                  <c:v>IV.</c:v>
                </c:pt>
                <c:pt idx="4">
                  <c:v>V.</c:v>
                </c:pt>
                <c:pt idx="5">
                  <c:v>VI.</c:v>
                </c:pt>
                <c:pt idx="6">
                  <c:v>VII.</c:v>
                </c:pt>
                <c:pt idx="7">
                  <c:v>VIII.</c:v>
                </c:pt>
                <c:pt idx="8">
                  <c:v>IX.</c:v>
                </c:pt>
                <c:pt idx="9">
                  <c:v>X.</c:v>
                </c:pt>
                <c:pt idx="10">
                  <c:v>XI.</c:v>
                </c:pt>
                <c:pt idx="11">
                  <c:v>XII.</c:v>
                </c:pt>
              </c:strCache>
            </c:strRef>
          </c:cat>
          <c:val>
            <c:numRef>
              <c:f>'Műsz,Menny. VÍZ'!$K$41:$K$52</c:f>
              <c:numCache>
                <c:formatCode>#,##0</c:formatCode>
                <c:ptCount val="12"/>
                <c:pt idx="0">
                  <c:v>1141</c:v>
                </c:pt>
                <c:pt idx="1">
                  <c:v>1055</c:v>
                </c:pt>
                <c:pt idx="2">
                  <c:v>1172</c:v>
                </c:pt>
                <c:pt idx="3">
                  <c:v>1162</c:v>
                </c:pt>
                <c:pt idx="4">
                  <c:v>1207</c:v>
                </c:pt>
                <c:pt idx="5">
                  <c:v>1390</c:v>
                </c:pt>
                <c:pt idx="6">
                  <c:v>1348</c:v>
                </c:pt>
                <c:pt idx="7">
                  <c:v>1241</c:v>
                </c:pt>
                <c:pt idx="8">
                  <c:v>1204</c:v>
                </c:pt>
                <c:pt idx="9">
                  <c:v>1202</c:v>
                </c:pt>
                <c:pt idx="10">
                  <c:v>1130</c:v>
                </c:pt>
                <c:pt idx="11">
                  <c:v>1174</c:v>
                </c:pt>
              </c:numCache>
            </c:numRef>
          </c:val>
        </c:ser>
        <c:ser>
          <c:idx val="6"/>
          <c:order val="7"/>
          <c:tx>
            <c:strRef>
              <c:f>'Műsz,Menny. VÍZ'!$L$40</c:f>
              <c:strCache>
                <c:ptCount val="1"/>
                <c:pt idx="0">
                  <c:v>2022.</c:v>
                </c:pt>
              </c:strCache>
            </c:strRef>
          </c:tx>
          <c:spPr>
            <a:gradFill rotWithShape="1">
              <a:gsLst>
                <a:gs pos="0">
                  <a:schemeClr val="accent1">
                    <a:lumMod val="60000"/>
                    <a:shade val="51000"/>
                    <a:satMod val="130000"/>
                  </a:schemeClr>
                </a:gs>
                <a:gs pos="80000">
                  <a:schemeClr val="accent1">
                    <a:lumMod val="60000"/>
                    <a:shade val="93000"/>
                    <a:satMod val="130000"/>
                  </a:schemeClr>
                </a:gs>
                <a:gs pos="100000">
                  <a:schemeClr val="accent1">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cat>
            <c:strRef>
              <c:f>'Műsz,Menny. VÍZ'!$A$41:$A$52</c:f>
              <c:strCache>
                <c:ptCount val="12"/>
                <c:pt idx="0">
                  <c:v>I.</c:v>
                </c:pt>
                <c:pt idx="1">
                  <c:v>II.</c:v>
                </c:pt>
                <c:pt idx="2">
                  <c:v>III.</c:v>
                </c:pt>
                <c:pt idx="3">
                  <c:v>IV.</c:v>
                </c:pt>
                <c:pt idx="4">
                  <c:v>V.</c:v>
                </c:pt>
                <c:pt idx="5">
                  <c:v>VI.</c:v>
                </c:pt>
                <c:pt idx="6">
                  <c:v>VII.</c:v>
                </c:pt>
                <c:pt idx="7">
                  <c:v>VIII.</c:v>
                </c:pt>
                <c:pt idx="8">
                  <c:v>IX.</c:v>
                </c:pt>
                <c:pt idx="9">
                  <c:v>X.</c:v>
                </c:pt>
                <c:pt idx="10">
                  <c:v>XI.</c:v>
                </c:pt>
                <c:pt idx="11">
                  <c:v>XII.</c:v>
                </c:pt>
              </c:strCache>
            </c:strRef>
          </c:cat>
          <c:val>
            <c:numRef>
              <c:f>'Műsz,Menny. VÍZ'!$L$41:$L$52</c:f>
              <c:numCache>
                <c:formatCode>#,##0</c:formatCode>
                <c:ptCount val="12"/>
                <c:pt idx="0">
                  <c:v>1175</c:v>
                </c:pt>
                <c:pt idx="1">
                  <c:v>1067</c:v>
                </c:pt>
                <c:pt idx="2">
                  <c:v>1221</c:v>
                </c:pt>
                <c:pt idx="3">
                  <c:v>1166</c:v>
                </c:pt>
                <c:pt idx="4">
                  <c:v>1279</c:v>
                </c:pt>
                <c:pt idx="5">
                  <c:v>1290</c:v>
                </c:pt>
                <c:pt idx="6">
                  <c:v>1353</c:v>
                </c:pt>
                <c:pt idx="7">
                  <c:v>1305</c:v>
                </c:pt>
                <c:pt idx="8">
                  <c:v>1162</c:v>
                </c:pt>
                <c:pt idx="9">
                  <c:v>1188</c:v>
                </c:pt>
                <c:pt idx="10">
                  <c:v>1140</c:v>
                </c:pt>
                <c:pt idx="11">
                  <c:v>1185</c:v>
                </c:pt>
              </c:numCache>
            </c:numRef>
          </c:val>
        </c:ser>
        <c:dLbls>
          <c:showLegendKey val="0"/>
          <c:showVal val="0"/>
          <c:showCatName val="0"/>
          <c:showSerName val="0"/>
          <c:showPercent val="0"/>
          <c:showBubbleSize val="0"/>
        </c:dLbls>
        <c:gapDepth val="209"/>
        <c:axId val="433073728"/>
        <c:axId val="433076864"/>
        <c:axId val="433320216"/>
        <c:extLst/>
      </c:area3DChart>
      <c:catAx>
        <c:axId val="433073728"/>
        <c:scaling>
          <c:orientation val="minMax"/>
        </c:scaling>
        <c:delete val="0"/>
        <c:axPos val="b"/>
        <c:title>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hu-HU"/>
                  <a:t>hónap</a:t>
                </a:r>
              </a:p>
            </c:rich>
          </c:tx>
          <c:layout>
            <c:manualLayout>
              <c:xMode val="edge"/>
              <c:yMode val="edge"/>
              <c:x val="0.82406496656272399"/>
              <c:y val="0.8127654956591963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title>
        <c:numFmt formatCode="General" sourceLinked="1"/>
        <c:majorTickMark val="out"/>
        <c:minorTickMark val="none"/>
        <c:tickLblPos val="low"/>
        <c:spPr>
          <a:noFill/>
          <a:ln w="12700" cap="flat" cmpd="sng" algn="ctr">
            <a:solidFill>
              <a:schemeClr val="tx1">
                <a:lumMod val="15000"/>
                <a:lumOff val="85000"/>
              </a:schemeClr>
            </a:solidFill>
            <a:round/>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433076864"/>
        <c:crosses val="autoZero"/>
        <c:auto val="1"/>
        <c:lblAlgn val="ctr"/>
        <c:lblOffset val="100"/>
        <c:tickLblSkip val="1"/>
        <c:tickMarkSkip val="1"/>
        <c:noMultiLvlLbl val="1"/>
      </c:catAx>
      <c:valAx>
        <c:axId val="433076864"/>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r>
                  <a:rPr lang="hu-HU"/>
                  <a:t>em3</a:t>
                </a:r>
              </a:p>
            </c:rich>
          </c:tx>
          <c:layout>
            <c:manualLayout>
              <c:xMode val="edge"/>
              <c:yMode val="edge"/>
              <c:x val="0.11202194662376064"/>
              <c:y val="0.25859428629113668"/>
            </c:manualLayout>
          </c:layout>
          <c:overlay val="0"/>
          <c:spPr>
            <a:noFill/>
            <a:ln>
              <a:noFill/>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title>
        <c:numFmt formatCode="#,##0" sourceLinked="1"/>
        <c:majorTickMark val="none"/>
        <c:minorTickMark val="none"/>
        <c:tickLblPos val="nextTo"/>
        <c:spPr>
          <a:noFill/>
          <a:ln>
            <a:noFill/>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433073728"/>
        <c:crosses val="autoZero"/>
        <c:crossBetween val="midCat"/>
      </c:valAx>
      <c:serAx>
        <c:axId val="433320216"/>
        <c:scaling>
          <c:orientation val="maxMin"/>
        </c:scaling>
        <c:delete val="0"/>
        <c:axPos val="b"/>
        <c:majorTickMark val="out"/>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433076864"/>
        <c:crosses val="autoZero"/>
      </c:serAx>
      <c:spPr>
        <a:noFill/>
        <a:ln>
          <a:noFill/>
        </a:ln>
        <a:effectLst/>
      </c:spPr>
    </c:plotArea>
    <c:legend>
      <c:legendPos val="b"/>
      <c:layout>
        <c:manualLayout>
          <c:xMode val="edge"/>
          <c:yMode val="edge"/>
          <c:x val="0.10424038767305986"/>
          <c:y val="0.86578487785180702"/>
          <c:w val="0.89575961093098655"/>
          <c:h val="5.710699868100244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hu-HU"/>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b="1" i="0" u="none" strike="noStrike" baseline="0">
                <a:solidFill>
                  <a:srgbClr val="000000"/>
                </a:solidFill>
                <a:latin typeface="Arial CE"/>
                <a:ea typeface="Arial CE"/>
                <a:cs typeface="Arial CE"/>
              </a:defRPr>
            </a:pPr>
            <a:r>
              <a:rPr lang="hu-HU" sz="1000"/>
              <a:t>Számlázott szennyvízelvezetés alakulása
felhasználói csoportok és leolvasási gyakoriság szerint 2015-2022. év</a:t>
            </a:r>
          </a:p>
        </c:rich>
      </c:tx>
      <c:layout>
        <c:manualLayout>
          <c:xMode val="edge"/>
          <c:yMode val="edge"/>
          <c:x val="0.20917568471549794"/>
          <c:y val="2.082866599272826E-2"/>
        </c:manualLayout>
      </c:layout>
      <c:overlay val="0"/>
      <c:spPr>
        <a:noFill/>
        <a:ln w="25400">
          <a:noFill/>
        </a:ln>
      </c:spPr>
    </c:title>
    <c:autoTitleDeleted val="0"/>
    <c:plotArea>
      <c:layout>
        <c:manualLayout>
          <c:layoutTarget val="inner"/>
          <c:xMode val="edge"/>
          <c:yMode val="edge"/>
          <c:x val="0.10770418088976778"/>
          <c:y val="0.16753830748283638"/>
          <c:w val="0.7248192345798854"/>
          <c:h val="0.7395840387289192"/>
        </c:manualLayout>
      </c:layout>
      <c:barChart>
        <c:barDir val="col"/>
        <c:grouping val="stacked"/>
        <c:varyColors val="0"/>
        <c:ser>
          <c:idx val="0"/>
          <c:order val="0"/>
          <c:tx>
            <c:strRef>
              <c:f>'Műsz,Menny. SZVÍZ'!$B$31:$B$32</c:f>
              <c:strCache>
                <c:ptCount val="2"/>
                <c:pt idx="0">
                  <c:v>lakosság</c:v>
                </c:pt>
                <c:pt idx="1">
                  <c:v>havonta</c:v>
                </c:pt>
              </c:strCache>
            </c:strRef>
          </c:tx>
          <c:spPr>
            <a:solidFill>
              <a:srgbClr val="333300"/>
            </a:solidFill>
            <a:ln w="12700">
              <a:solidFill>
                <a:srgbClr val="000000"/>
              </a:solidFill>
              <a:prstDash val="solid"/>
            </a:ln>
          </c:spPr>
          <c:invertIfNegative val="0"/>
          <c:dLbls>
            <c:spPr>
              <a:solidFill>
                <a:sysClr val="window" lastClr="FFFFFF"/>
              </a:solidFill>
              <a:ln>
                <a:solidFill>
                  <a:sysClr val="windowText" lastClr="000000">
                    <a:lumMod val="65000"/>
                    <a:lumOff val="35000"/>
                  </a:sysClr>
                </a:solidFill>
              </a:ln>
              <a:effectLst/>
            </c:spPr>
            <c:txPr>
              <a:bodyPr wrap="square" lIns="38100" tIns="19050" rIns="38100" bIns="19050" anchor="ctr">
                <a:spAutoFit/>
              </a:bodyPr>
              <a:lstStyle/>
              <a:p>
                <a:pPr>
                  <a:defRPr sz="800"/>
                </a:pPr>
                <a:endParaRPr lang="hu-H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wedgeRectCallout">
                    <a:avLst/>
                  </a:prstGeom>
                </c15:spPr>
                <c15:layout/>
                <c15:showLeaderLines val="0"/>
              </c:ext>
            </c:extLst>
          </c:dLbls>
          <c:cat>
            <c:strRef>
              <c:f>'Műsz,Menny. SZVÍZ'!$A$40:$A$47</c:f>
              <c:strCache>
                <c:ptCount val="8"/>
                <c:pt idx="0">
                  <c:v>2015.</c:v>
                </c:pt>
                <c:pt idx="1">
                  <c:v>2016.</c:v>
                </c:pt>
                <c:pt idx="2">
                  <c:v>2017.</c:v>
                </c:pt>
                <c:pt idx="3">
                  <c:v>2018.</c:v>
                </c:pt>
                <c:pt idx="4">
                  <c:v>2019.</c:v>
                </c:pt>
                <c:pt idx="5">
                  <c:v>2020.</c:v>
                </c:pt>
                <c:pt idx="6">
                  <c:v>2021.</c:v>
                </c:pt>
                <c:pt idx="7">
                  <c:v>2022.</c:v>
                </c:pt>
              </c:strCache>
            </c:strRef>
          </c:cat>
          <c:val>
            <c:numRef>
              <c:f>'Műsz,Menny. SZVÍZ'!$B$40:$B$47</c:f>
              <c:numCache>
                <c:formatCode>#,##0</c:formatCode>
                <c:ptCount val="8"/>
                <c:pt idx="0">
                  <c:v>2434</c:v>
                </c:pt>
                <c:pt idx="1">
                  <c:v>2181</c:v>
                </c:pt>
                <c:pt idx="2">
                  <c:v>2180</c:v>
                </c:pt>
                <c:pt idx="3">
                  <c:v>2186</c:v>
                </c:pt>
                <c:pt idx="4">
                  <c:v>2184</c:v>
                </c:pt>
                <c:pt idx="5">
                  <c:v>2232</c:v>
                </c:pt>
                <c:pt idx="6">
                  <c:v>2224</c:v>
                </c:pt>
                <c:pt idx="7">
                  <c:v>2162.3459900000003</c:v>
                </c:pt>
              </c:numCache>
            </c:numRef>
          </c:val>
        </c:ser>
        <c:ser>
          <c:idx val="1"/>
          <c:order val="1"/>
          <c:tx>
            <c:strRef>
              <c:f>'Műsz,Menny. SZVÍZ'!$C$31:$C$32</c:f>
              <c:strCache>
                <c:ptCount val="2"/>
                <c:pt idx="0">
                  <c:v>lakosság</c:v>
                </c:pt>
                <c:pt idx="1">
                  <c:v>félévente</c:v>
                </c:pt>
              </c:strCache>
            </c:strRef>
          </c:tx>
          <c:spPr>
            <a:solidFill>
              <a:srgbClr val="808000"/>
            </a:solidFill>
            <a:ln w="12700">
              <a:solidFill>
                <a:srgbClr val="000000"/>
              </a:solidFill>
              <a:prstDash val="solid"/>
            </a:ln>
          </c:spPr>
          <c:invertIfNegative val="0"/>
          <c:dLbls>
            <c:spPr>
              <a:solidFill>
                <a:sysClr val="window" lastClr="FFFFFF"/>
              </a:solidFill>
              <a:ln>
                <a:solidFill>
                  <a:sysClr val="windowText" lastClr="000000">
                    <a:lumMod val="65000"/>
                    <a:lumOff val="35000"/>
                  </a:sysClr>
                </a:solidFill>
              </a:ln>
              <a:effectLst/>
            </c:spPr>
            <c:txPr>
              <a:bodyPr wrap="square" lIns="38100" tIns="19050" rIns="38100" bIns="19050" anchor="ctr">
                <a:spAutoFit/>
              </a:bodyPr>
              <a:lstStyle/>
              <a:p>
                <a:pPr>
                  <a:defRPr sz="800"/>
                </a:pPr>
                <a:endParaRPr lang="hu-H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wedgeRectCallout">
                    <a:avLst/>
                  </a:prstGeom>
                </c15:spPr>
                <c15:layout/>
                <c15:showLeaderLines val="0"/>
              </c:ext>
            </c:extLst>
          </c:dLbls>
          <c:cat>
            <c:strRef>
              <c:f>'Műsz,Menny. SZVÍZ'!$A$40:$A$47</c:f>
              <c:strCache>
                <c:ptCount val="8"/>
                <c:pt idx="0">
                  <c:v>2015.</c:v>
                </c:pt>
                <c:pt idx="1">
                  <c:v>2016.</c:v>
                </c:pt>
                <c:pt idx="2">
                  <c:v>2017.</c:v>
                </c:pt>
                <c:pt idx="3">
                  <c:v>2018.</c:v>
                </c:pt>
                <c:pt idx="4">
                  <c:v>2019.</c:v>
                </c:pt>
                <c:pt idx="5">
                  <c:v>2020.</c:v>
                </c:pt>
                <c:pt idx="6">
                  <c:v>2021.</c:v>
                </c:pt>
                <c:pt idx="7">
                  <c:v>2022.</c:v>
                </c:pt>
              </c:strCache>
            </c:strRef>
          </c:cat>
          <c:val>
            <c:numRef>
              <c:f>'Műsz,Menny. SZVÍZ'!$C$40:$C$47</c:f>
              <c:numCache>
                <c:formatCode>#,##0</c:formatCode>
                <c:ptCount val="8"/>
                <c:pt idx="0">
                  <c:v>4377</c:v>
                </c:pt>
                <c:pt idx="1">
                  <c:v>4551</c:v>
                </c:pt>
                <c:pt idx="2">
                  <c:v>4646</c:v>
                </c:pt>
                <c:pt idx="3">
                  <c:v>4761</c:v>
                </c:pt>
                <c:pt idx="4">
                  <c:v>4860</c:v>
                </c:pt>
                <c:pt idx="5">
                  <c:v>5146</c:v>
                </c:pt>
                <c:pt idx="6">
                  <c:v>5338</c:v>
                </c:pt>
                <c:pt idx="7">
                  <c:v>5351.2969999999996</c:v>
                </c:pt>
              </c:numCache>
            </c:numRef>
          </c:val>
        </c:ser>
        <c:ser>
          <c:idx val="2"/>
          <c:order val="2"/>
          <c:tx>
            <c:strRef>
              <c:f>'Műsz,Menny. SZVÍZ'!$D$31:$D$32</c:f>
              <c:strCache>
                <c:ptCount val="2"/>
                <c:pt idx="0">
                  <c:v>nem lakosság</c:v>
                </c:pt>
                <c:pt idx="1">
                  <c:v>havonta</c:v>
                </c:pt>
              </c:strCache>
            </c:strRef>
          </c:tx>
          <c:spPr>
            <a:solidFill>
              <a:srgbClr val="99CC00"/>
            </a:solidFill>
            <a:ln w="12700">
              <a:solidFill>
                <a:srgbClr val="000000"/>
              </a:solidFill>
              <a:prstDash val="solid"/>
            </a:ln>
          </c:spPr>
          <c:invertIfNegative val="0"/>
          <c:dLbls>
            <c:spPr>
              <a:solidFill>
                <a:sysClr val="window" lastClr="FFFFFF"/>
              </a:solidFill>
              <a:ln>
                <a:solidFill>
                  <a:sysClr val="windowText" lastClr="000000">
                    <a:lumMod val="65000"/>
                    <a:lumOff val="35000"/>
                  </a:sysClr>
                </a:solidFill>
              </a:ln>
              <a:effectLst/>
            </c:spPr>
            <c:txPr>
              <a:bodyPr wrap="square" lIns="38100" tIns="19050" rIns="38100" bIns="19050" anchor="ctr">
                <a:spAutoFit/>
              </a:bodyPr>
              <a:lstStyle/>
              <a:p>
                <a:pPr>
                  <a:defRPr sz="800"/>
                </a:pPr>
                <a:endParaRPr lang="hu-H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wedgeRectCallout">
                    <a:avLst/>
                  </a:prstGeom>
                </c15:spPr>
                <c15:layout/>
                <c15:showLeaderLines val="0"/>
              </c:ext>
            </c:extLst>
          </c:dLbls>
          <c:cat>
            <c:strRef>
              <c:f>'Műsz,Menny. SZVÍZ'!$A$40:$A$47</c:f>
              <c:strCache>
                <c:ptCount val="8"/>
                <c:pt idx="0">
                  <c:v>2015.</c:v>
                </c:pt>
                <c:pt idx="1">
                  <c:v>2016.</c:v>
                </c:pt>
                <c:pt idx="2">
                  <c:v>2017.</c:v>
                </c:pt>
                <c:pt idx="3">
                  <c:v>2018.</c:v>
                </c:pt>
                <c:pt idx="4">
                  <c:v>2019.</c:v>
                </c:pt>
                <c:pt idx="5">
                  <c:v>2020.</c:v>
                </c:pt>
                <c:pt idx="6">
                  <c:v>2021.</c:v>
                </c:pt>
                <c:pt idx="7">
                  <c:v>2022.</c:v>
                </c:pt>
              </c:strCache>
            </c:strRef>
          </c:cat>
          <c:val>
            <c:numRef>
              <c:f>'Műsz,Menny. SZVÍZ'!$D$40:$D$47</c:f>
              <c:numCache>
                <c:formatCode>#,##0</c:formatCode>
                <c:ptCount val="8"/>
                <c:pt idx="0">
                  <c:v>2182</c:v>
                </c:pt>
                <c:pt idx="1">
                  <c:v>2566</c:v>
                </c:pt>
                <c:pt idx="2">
                  <c:v>2564</c:v>
                </c:pt>
                <c:pt idx="3">
                  <c:v>2581</c:v>
                </c:pt>
                <c:pt idx="4">
                  <c:v>2592</c:v>
                </c:pt>
                <c:pt idx="5">
                  <c:v>2285</c:v>
                </c:pt>
                <c:pt idx="6">
                  <c:v>2308</c:v>
                </c:pt>
                <c:pt idx="7">
                  <c:v>2471.6422400000001</c:v>
                </c:pt>
              </c:numCache>
            </c:numRef>
          </c:val>
        </c:ser>
        <c:ser>
          <c:idx val="3"/>
          <c:order val="3"/>
          <c:tx>
            <c:strRef>
              <c:f>'Műsz,Menny. SZVÍZ'!$E$31:$E$32</c:f>
              <c:strCache>
                <c:ptCount val="2"/>
                <c:pt idx="0">
                  <c:v>nem lakosság</c:v>
                </c:pt>
                <c:pt idx="1">
                  <c:v>félévente</c:v>
                </c:pt>
              </c:strCache>
            </c:strRef>
          </c:tx>
          <c:spPr>
            <a:solidFill>
              <a:srgbClr val="008000"/>
            </a:solidFill>
            <a:ln w="12700">
              <a:solidFill>
                <a:srgbClr val="000000"/>
              </a:solidFill>
              <a:prstDash val="solid"/>
            </a:ln>
          </c:spPr>
          <c:invertIfNegative val="0"/>
          <c:dLbls>
            <c:dLbl>
              <c:idx val="0"/>
              <c:layout>
                <c:manualLayout>
                  <c:x val="3.2016074108719268E-2"/>
                  <c:y val="2.16262006672427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3.1109907645940071E-2"/>
                  <c:y val="2.8181558139517473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3.2621992660051655E-2"/>
                  <c:y val="2.288036159866402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3.2922240571498493E-2"/>
                  <c:y val="2.2532512586420781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4"/>
              <c:layout>
                <c:manualLayout>
                  <c:x val="3.2621992660051585E-2"/>
                  <c:y val="1.6883653747769695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5"/>
              <c:layout>
                <c:manualLayout>
                  <c:x val="3.745307288539456E-2"/>
                  <c:y val="2.0719888748064706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6"/>
              <c:layout>
                <c:manualLayout>
                  <c:x val="3.3528159122830865E-2"/>
                  <c:y val="2.8740021046452315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7"/>
              <c:layout>
                <c:manualLayout>
                  <c:x val="3.2621992660051655E-2"/>
                  <c:y val="2.4556123748359669E-2"/>
                </c:manualLayout>
              </c:layout>
              <c:showLegendKey val="0"/>
              <c:showVal val="1"/>
              <c:showCatName val="0"/>
              <c:showSerName val="0"/>
              <c:showPercent val="0"/>
              <c:showBubbleSize val="0"/>
              <c:extLst>
                <c:ext xmlns:c15="http://schemas.microsoft.com/office/drawing/2012/chart" uri="{CE6537A1-D6FC-4f65-9D91-7224C49458BB}">
                  <c15:layout/>
                </c:ext>
              </c:extLst>
            </c:dLbl>
            <c:spPr>
              <a:solidFill>
                <a:sysClr val="window" lastClr="FFFFFF"/>
              </a:solidFill>
              <a:ln>
                <a:solidFill>
                  <a:sysClr val="windowText" lastClr="000000">
                    <a:lumMod val="65000"/>
                    <a:lumOff val="35000"/>
                  </a:sysClr>
                </a:solidFill>
              </a:ln>
              <a:effectLst/>
            </c:spPr>
            <c:txPr>
              <a:bodyPr wrap="square" lIns="38100" tIns="19050" rIns="38100" bIns="19050" anchor="ctr">
                <a:spAutoFit/>
              </a:bodyPr>
              <a:lstStyle/>
              <a:p>
                <a:pPr>
                  <a:defRPr sz="900"/>
                </a:pPr>
                <a:endParaRPr lang="hu-H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wedgeRectCallout">
                    <a:avLst/>
                  </a:prstGeom>
                </c15:spPr>
                <c15:showLeaderLines val="0"/>
              </c:ext>
            </c:extLst>
          </c:dLbls>
          <c:cat>
            <c:strRef>
              <c:f>'Műsz,Menny. SZVÍZ'!$A$40:$A$47</c:f>
              <c:strCache>
                <c:ptCount val="8"/>
                <c:pt idx="0">
                  <c:v>2015.</c:v>
                </c:pt>
                <c:pt idx="1">
                  <c:v>2016.</c:v>
                </c:pt>
                <c:pt idx="2">
                  <c:v>2017.</c:v>
                </c:pt>
                <c:pt idx="3">
                  <c:v>2018.</c:v>
                </c:pt>
                <c:pt idx="4">
                  <c:v>2019.</c:v>
                </c:pt>
                <c:pt idx="5">
                  <c:v>2020.</c:v>
                </c:pt>
                <c:pt idx="6">
                  <c:v>2021.</c:v>
                </c:pt>
                <c:pt idx="7">
                  <c:v>2022.</c:v>
                </c:pt>
              </c:strCache>
            </c:strRef>
          </c:cat>
          <c:val>
            <c:numRef>
              <c:f>'Műsz,Menny. SZVÍZ'!$E$40:$E$47</c:f>
              <c:numCache>
                <c:formatCode>#,##0</c:formatCode>
                <c:ptCount val="8"/>
                <c:pt idx="0">
                  <c:v>336</c:v>
                </c:pt>
                <c:pt idx="1">
                  <c:v>367</c:v>
                </c:pt>
                <c:pt idx="2">
                  <c:v>367</c:v>
                </c:pt>
                <c:pt idx="3">
                  <c:v>384</c:v>
                </c:pt>
                <c:pt idx="4">
                  <c:v>370</c:v>
                </c:pt>
                <c:pt idx="5">
                  <c:v>348</c:v>
                </c:pt>
                <c:pt idx="6">
                  <c:v>383</c:v>
                </c:pt>
                <c:pt idx="7">
                  <c:v>409.25099999999998</c:v>
                </c:pt>
              </c:numCache>
            </c:numRef>
          </c:val>
        </c:ser>
        <c:dLbls>
          <c:showLegendKey val="0"/>
          <c:showVal val="0"/>
          <c:showCatName val="0"/>
          <c:showSerName val="0"/>
          <c:showPercent val="0"/>
          <c:showBubbleSize val="0"/>
        </c:dLbls>
        <c:gapWidth val="150"/>
        <c:overlap val="100"/>
        <c:axId val="433077648"/>
        <c:axId val="433077256"/>
      </c:barChart>
      <c:lineChart>
        <c:grouping val="standard"/>
        <c:varyColors val="0"/>
        <c:ser>
          <c:idx val="6"/>
          <c:order val="4"/>
          <c:tx>
            <c:strRef>
              <c:f>'Műsz,Menny. SZVÍZ'!$H$31:$H$32</c:f>
              <c:strCache>
                <c:ptCount val="2"/>
                <c:pt idx="0">
                  <c:v>Mind-
összesen</c:v>
                </c:pt>
              </c:strCache>
            </c:strRef>
          </c:tx>
          <c:spPr>
            <a:ln w="63500" cap="sq">
              <a:solidFill>
                <a:schemeClr val="accent4">
                  <a:lumMod val="75000"/>
                </a:schemeClr>
              </a:solidFill>
              <a:bevel/>
            </a:ln>
          </c:spPr>
          <c:marker>
            <c:symbol val="none"/>
          </c:marker>
          <c:dLbls>
            <c:dLbl>
              <c:idx val="0"/>
              <c:layout>
                <c:manualLayout>
                  <c:x val="-2.1084210334792831E-2"/>
                  <c:y val="-7.1138203792095706E-2"/>
                </c:manualLayout>
              </c:layout>
              <c:dLblPos val="r"/>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2.1990376797572046E-2"/>
                  <c:y val="-5.9281836493413106E-2"/>
                </c:manualLayout>
              </c:layout>
              <c:dLblPos val="r"/>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1.9271877409234407E-2"/>
                  <c:y val="-5.6910563033676566E-2"/>
                </c:manualLayout>
              </c:layout>
              <c:dLblPos val="r"/>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2.0178043872013621E-2"/>
                  <c:y val="-7.1138203792095706E-2"/>
                </c:manualLayout>
              </c:layout>
              <c:dLblPos val="r"/>
              <c:showLegendKey val="0"/>
              <c:showVal val="1"/>
              <c:showCatName val="0"/>
              <c:showSerName val="0"/>
              <c:showPercent val="0"/>
              <c:showBubbleSize val="0"/>
              <c:extLst>
                <c:ext xmlns:c15="http://schemas.microsoft.com/office/drawing/2012/chart" uri="{CE6537A1-D6FC-4f65-9D91-7224C49458BB}">
                  <c15:layout/>
                </c:ext>
              </c:extLst>
            </c:dLbl>
            <c:dLbl>
              <c:idx val="4"/>
              <c:layout>
                <c:manualLayout>
                  <c:x val="-2.2950913248118009E-2"/>
                  <c:y val="-8.5365844550514866E-2"/>
                </c:manualLayout>
              </c:layout>
              <c:dLblPos val="r"/>
              <c:showLegendKey val="0"/>
              <c:showVal val="1"/>
              <c:showCatName val="0"/>
              <c:showSerName val="0"/>
              <c:showPercent val="0"/>
              <c:showBubbleSize val="0"/>
              <c:extLst>
                <c:ext xmlns:c15="http://schemas.microsoft.com/office/drawing/2012/chart" uri="{CE6537A1-D6FC-4f65-9D91-7224C49458BB}">
                  <c15:layout/>
                </c:ext>
              </c:extLst>
            </c:dLbl>
            <c:dLbl>
              <c:idx val="5"/>
              <c:layout>
                <c:manualLayout>
                  <c:x val="-2.2950913248118078E-2"/>
                  <c:y val="-8.0623297631041799E-2"/>
                </c:manualLayout>
              </c:layout>
              <c:dLblPos val="r"/>
              <c:showLegendKey val="0"/>
              <c:showVal val="1"/>
              <c:showCatName val="0"/>
              <c:showSerName val="0"/>
              <c:showPercent val="0"/>
              <c:showBubbleSize val="0"/>
              <c:extLst>
                <c:ext xmlns:c15="http://schemas.microsoft.com/office/drawing/2012/chart" uri="{CE6537A1-D6FC-4f65-9D91-7224C49458BB}">
                  <c15:layout/>
                </c:ext>
              </c:extLst>
            </c:dLbl>
            <c:dLbl>
              <c:idx val="6"/>
              <c:layout>
                <c:manualLayout>
                  <c:x val="-2.5669412636455648E-2"/>
                  <c:y val="-8.7737118010251372E-2"/>
                </c:manualLayout>
              </c:layout>
              <c:dLblPos val="r"/>
              <c:showLegendKey val="0"/>
              <c:showVal val="1"/>
              <c:showCatName val="0"/>
              <c:showSerName val="0"/>
              <c:showPercent val="0"/>
              <c:showBubbleSize val="0"/>
              <c:extLst>
                <c:ext xmlns:c15="http://schemas.microsoft.com/office/drawing/2012/chart" uri="{CE6537A1-D6FC-4f65-9D91-7224C49458BB}">
                  <c15:layout/>
                </c:ext>
              </c:extLst>
            </c:dLbl>
            <c:dLbl>
              <c:idx val="7"/>
              <c:layout>
                <c:manualLayout>
                  <c:x val="-2.4763246173676434E-2"/>
                  <c:y val="-7.8252024171305279E-2"/>
                </c:manualLayout>
              </c:layout>
              <c:dLblPos val="r"/>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wrap="square" lIns="38100" tIns="19050" rIns="38100" bIns="19050" anchor="ctr">
                <a:spAutoFit/>
              </a:bodyPr>
              <a:lstStyle/>
              <a:p>
                <a:pPr>
                  <a:defRPr b="1"/>
                </a:pPr>
                <a:endParaRPr lang="hu-H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'Műsz,Menny. SZVÍZ'!$A$40:$A$47</c:f>
              <c:strCache>
                <c:ptCount val="8"/>
                <c:pt idx="0">
                  <c:v>2015.</c:v>
                </c:pt>
                <c:pt idx="1">
                  <c:v>2016.</c:v>
                </c:pt>
                <c:pt idx="2">
                  <c:v>2017.</c:v>
                </c:pt>
                <c:pt idx="3">
                  <c:v>2018.</c:v>
                </c:pt>
                <c:pt idx="4">
                  <c:v>2019.</c:v>
                </c:pt>
                <c:pt idx="5">
                  <c:v>2020.</c:v>
                </c:pt>
                <c:pt idx="6">
                  <c:v>2021.</c:v>
                </c:pt>
                <c:pt idx="7">
                  <c:v>2022.</c:v>
                </c:pt>
              </c:strCache>
            </c:strRef>
          </c:cat>
          <c:val>
            <c:numRef>
              <c:f>'Műsz,Menny. SZVÍZ'!$H$40:$H$47</c:f>
              <c:numCache>
                <c:formatCode>#,##0</c:formatCode>
                <c:ptCount val="8"/>
                <c:pt idx="0">
                  <c:v>9329</c:v>
                </c:pt>
                <c:pt idx="1">
                  <c:v>9665</c:v>
                </c:pt>
                <c:pt idx="2">
                  <c:v>9757</c:v>
                </c:pt>
                <c:pt idx="3">
                  <c:v>9912</c:v>
                </c:pt>
                <c:pt idx="4">
                  <c:v>10006</c:v>
                </c:pt>
                <c:pt idx="5">
                  <c:v>10011</c:v>
                </c:pt>
                <c:pt idx="6">
                  <c:v>10253</c:v>
                </c:pt>
                <c:pt idx="7">
                  <c:v>10394.536230000002</c:v>
                </c:pt>
              </c:numCache>
            </c:numRef>
          </c:val>
          <c:smooth val="0"/>
        </c:ser>
        <c:dLbls>
          <c:showLegendKey val="0"/>
          <c:showVal val="0"/>
          <c:showCatName val="0"/>
          <c:showSerName val="0"/>
          <c:showPercent val="0"/>
          <c:showBubbleSize val="0"/>
        </c:dLbls>
        <c:marker val="1"/>
        <c:smooth val="0"/>
        <c:axId val="433077648"/>
        <c:axId val="433077256"/>
      </c:lineChart>
      <c:catAx>
        <c:axId val="433077648"/>
        <c:scaling>
          <c:orientation val="minMax"/>
        </c:scaling>
        <c:delete val="0"/>
        <c:axPos val="b"/>
        <c:title>
          <c:tx>
            <c:rich>
              <a:bodyPr/>
              <a:lstStyle/>
              <a:p>
                <a:pPr>
                  <a:defRPr sz="800" b="1" i="0" u="none" strike="noStrike" baseline="0">
                    <a:solidFill>
                      <a:srgbClr val="000000"/>
                    </a:solidFill>
                    <a:latin typeface="Arial CE"/>
                    <a:ea typeface="Arial CE"/>
                    <a:cs typeface="Arial CE"/>
                  </a:defRPr>
                </a:pPr>
                <a:r>
                  <a:rPr lang="hu-HU"/>
                  <a:t>évek</a:t>
                </a:r>
              </a:p>
            </c:rich>
          </c:tx>
          <c:layout>
            <c:manualLayout>
              <c:xMode val="edge"/>
              <c:yMode val="edge"/>
              <c:x val="0.8488561001767535"/>
              <c:y val="0.94091212754798648"/>
            </c:manualLayout>
          </c:layout>
          <c:overlay val="0"/>
          <c:spPr>
            <a:noFill/>
            <a:ln w="25400">
              <a:noFill/>
            </a:ln>
          </c:spPr>
        </c:title>
        <c:numFmt formatCode="General" sourceLinked="1"/>
        <c:majorTickMark val="out"/>
        <c:minorTickMark val="none"/>
        <c:tickLblPos val="low"/>
        <c:spPr>
          <a:ln w="3175">
            <a:solidFill>
              <a:srgbClr val="000000"/>
            </a:solidFill>
            <a:prstDash val="solid"/>
          </a:ln>
        </c:spPr>
        <c:txPr>
          <a:bodyPr rot="0" vert="horz"/>
          <a:lstStyle/>
          <a:p>
            <a:pPr>
              <a:defRPr sz="800" b="0" i="0" u="none" strike="noStrike" baseline="0">
                <a:solidFill>
                  <a:srgbClr val="000000"/>
                </a:solidFill>
                <a:latin typeface="Arial CE"/>
                <a:ea typeface="Arial CE"/>
                <a:cs typeface="Arial CE"/>
              </a:defRPr>
            </a:pPr>
            <a:endParaRPr lang="hu-HU"/>
          </a:p>
        </c:txPr>
        <c:crossAx val="433077256"/>
        <c:crosses val="autoZero"/>
        <c:auto val="1"/>
        <c:lblAlgn val="ctr"/>
        <c:lblOffset val="100"/>
        <c:noMultiLvlLbl val="0"/>
      </c:catAx>
      <c:valAx>
        <c:axId val="433077256"/>
        <c:scaling>
          <c:orientation val="minMax"/>
        </c:scaling>
        <c:delete val="0"/>
        <c:axPos val="l"/>
        <c:majorGridlines>
          <c:spPr>
            <a:ln w="3175">
              <a:solidFill>
                <a:srgbClr val="000000"/>
              </a:solidFill>
              <a:prstDash val="solid"/>
            </a:ln>
          </c:spPr>
        </c:majorGridlines>
        <c:numFmt formatCode="#,##0" sourceLinked="0"/>
        <c:majorTickMark val="out"/>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Arial CE"/>
                <a:ea typeface="Arial CE"/>
                <a:cs typeface="Arial CE"/>
              </a:defRPr>
            </a:pPr>
            <a:endParaRPr lang="hu-HU"/>
          </a:p>
        </c:txPr>
        <c:crossAx val="433077648"/>
        <c:crosses val="autoZero"/>
        <c:crossBetween val="between"/>
      </c:valAx>
      <c:spPr>
        <a:noFill/>
        <a:ln w="12700">
          <a:solidFill>
            <a:srgbClr val="808080"/>
          </a:solidFill>
          <a:prstDash val="solid"/>
        </a:ln>
      </c:spPr>
    </c:plotArea>
    <c:legend>
      <c:legendPos val="r"/>
      <c:layout>
        <c:manualLayout>
          <c:xMode val="edge"/>
          <c:yMode val="edge"/>
          <c:x val="0.83386027332421453"/>
          <c:y val="0.43532618462595202"/>
          <c:w val="0.1661397266757855"/>
          <c:h val="0.34439749011245507"/>
        </c:manualLayout>
      </c:layout>
      <c:overlay val="0"/>
      <c:spPr>
        <a:noFill/>
        <a:ln w="25400">
          <a:noFill/>
        </a:ln>
      </c:spPr>
      <c:txPr>
        <a:bodyPr/>
        <a:lstStyle/>
        <a:p>
          <a:pPr>
            <a:defRPr sz="805" b="0" i="0" u="none" strike="noStrike" baseline="0">
              <a:solidFill>
                <a:srgbClr val="000000"/>
              </a:solidFill>
              <a:latin typeface="Arial CE"/>
              <a:ea typeface="Arial CE"/>
              <a:cs typeface="Arial CE"/>
            </a:defRPr>
          </a:pPr>
          <a:endParaRPr lang="hu-HU"/>
        </a:p>
      </c:txPr>
    </c:legend>
    <c:plotVisOnly val="1"/>
    <c:dispBlanksAs val="gap"/>
    <c:showDLblsOverMax val="0"/>
  </c:chart>
  <c:spPr>
    <a:noFill/>
    <a:ln w="3175">
      <a:solidFill>
        <a:srgbClr val="000000">
          <a:alpha val="99000"/>
        </a:srgbClr>
      </a:solidFill>
      <a:prstDash val="solid"/>
    </a:ln>
  </c:spPr>
  <c:txPr>
    <a:bodyPr/>
    <a:lstStyle/>
    <a:p>
      <a:pPr>
        <a:defRPr sz="1100" b="0" i="0" u="none" strike="noStrike" baseline="0">
          <a:solidFill>
            <a:srgbClr val="000000"/>
          </a:solidFill>
          <a:latin typeface="Arial CE"/>
          <a:ea typeface="Arial CE"/>
          <a:cs typeface="Arial CE"/>
        </a:defRPr>
      </a:pPr>
      <a:endParaRPr lang="hu-HU"/>
    </a:p>
  </c:txPr>
  <c:externalData r:id="rId1">
    <c:autoUpdate val="0"/>
  </c:externalData>
  <c:userShapes r:id="rId2"/>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b="1" i="0" u="none" strike="noStrike" baseline="0">
                <a:solidFill>
                  <a:srgbClr val="000000"/>
                </a:solidFill>
                <a:latin typeface="Arial CE"/>
                <a:ea typeface="Arial CE"/>
                <a:cs typeface="Arial CE"/>
              </a:defRPr>
            </a:pPr>
            <a:r>
              <a:rPr lang="hu-HU" sz="1000"/>
              <a:t>Eszközfenntartás alakulása 2015-2022. év
</a:t>
            </a:r>
          </a:p>
        </c:rich>
      </c:tx>
      <c:layout>
        <c:manualLayout>
          <c:xMode val="edge"/>
          <c:yMode val="edge"/>
          <c:x val="0.24530453018741596"/>
          <c:y val="7.2534579471813812E-2"/>
        </c:manualLayout>
      </c:layout>
      <c:overlay val="0"/>
      <c:spPr>
        <a:noFill/>
        <a:ln w="25400">
          <a:noFill/>
        </a:ln>
      </c:spPr>
    </c:title>
    <c:autoTitleDeleted val="0"/>
    <c:plotArea>
      <c:layout>
        <c:manualLayout>
          <c:layoutTarget val="inner"/>
          <c:xMode val="edge"/>
          <c:yMode val="edge"/>
          <c:x val="0.15303862665105686"/>
          <c:y val="0.2195944368163944"/>
          <c:w val="0.81953708636522016"/>
          <c:h val="0.47972972972972971"/>
        </c:manualLayout>
      </c:layout>
      <c:barChart>
        <c:barDir val="col"/>
        <c:grouping val="stacked"/>
        <c:varyColors val="0"/>
        <c:ser>
          <c:idx val="0"/>
          <c:order val="0"/>
          <c:tx>
            <c:strRef>
              <c:f>Eszk.fennt.!$H$4</c:f>
              <c:strCache>
                <c:ptCount val="1"/>
                <c:pt idx="0">
                  <c:v>Saját kivitelezésű eszközfenntartás</c:v>
                </c:pt>
              </c:strCache>
            </c:strRef>
          </c:tx>
          <c:spPr>
            <a:solidFill>
              <a:srgbClr val="003366"/>
            </a:solidFill>
            <a:ln w="12700">
              <a:solidFill>
                <a:srgbClr val="000000"/>
              </a:solidFill>
              <a:prstDash val="solid"/>
            </a:ln>
          </c:spPr>
          <c:invertIfNegative val="0"/>
          <c:cat>
            <c:numRef>
              <c:f>Eszk.fennt.!$G$12:$G$19</c:f>
              <c:numCache>
                <c:formatCode>General</c:formatCode>
                <c:ptCount val="8"/>
                <c:pt idx="0">
                  <c:v>2015</c:v>
                </c:pt>
                <c:pt idx="1">
                  <c:v>2016</c:v>
                </c:pt>
                <c:pt idx="2">
                  <c:v>2017</c:v>
                </c:pt>
                <c:pt idx="3">
                  <c:v>2018</c:v>
                </c:pt>
                <c:pt idx="4">
                  <c:v>2019</c:v>
                </c:pt>
                <c:pt idx="5">
                  <c:v>2020</c:v>
                </c:pt>
                <c:pt idx="6">
                  <c:v>2021</c:v>
                </c:pt>
                <c:pt idx="7">
                  <c:v>2022</c:v>
                </c:pt>
              </c:numCache>
            </c:numRef>
          </c:cat>
          <c:val>
            <c:numRef>
              <c:f>Eszk.fennt.!$H$12:$H$19</c:f>
              <c:numCache>
                <c:formatCode>#,##0</c:formatCode>
                <c:ptCount val="8"/>
                <c:pt idx="0">
                  <c:v>941253</c:v>
                </c:pt>
                <c:pt idx="1">
                  <c:v>883171</c:v>
                </c:pt>
                <c:pt idx="2">
                  <c:v>849414</c:v>
                </c:pt>
                <c:pt idx="3">
                  <c:v>948641</c:v>
                </c:pt>
                <c:pt idx="4">
                  <c:v>897989</c:v>
                </c:pt>
                <c:pt idx="5">
                  <c:v>964540</c:v>
                </c:pt>
                <c:pt idx="6">
                  <c:v>910873</c:v>
                </c:pt>
                <c:pt idx="7">
                  <c:v>912263</c:v>
                </c:pt>
              </c:numCache>
            </c:numRef>
          </c:val>
        </c:ser>
        <c:ser>
          <c:idx val="1"/>
          <c:order val="1"/>
          <c:tx>
            <c:strRef>
              <c:f>Eszk.fennt.!$I$4</c:f>
              <c:strCache>
                <c:ptCount val="1"/>
                <c:pt idx="0">
                  <c:v>Megbízásba adott eszközfenntartás</c:v>
                </c:pt>
              </c:strCache>
            </c:strRef>
          </c:tx>
          <c:spPr>
            <a:solidFill>
              <a:srgbClr val="00FFFF"/>
            </a:solidFill>
            <a:ln w="12700">
              <a:solidFill>
                <a:srgbClr val="000000"/>
              </a:solidFill>
              <a:prstDash val="solid"/>
            </a:ln>
          </c:spPr>
          <c:invertIfNegative val="0"/>
          <c:cat>
            <c:numRef>
              <c:f>Eszk.fennt.!$G$12:$G$19</c:f>
              <c:numCache>
                <c:formatCode>General</c:formatCode>
                <c:ptCount val="8"/>
                <c:pt idx="0">
                  <c:v>2015</c:v>
                </c:pt>
                <c:pt idx="1">
                  <c:v>2016</c:v>
                </c:pt>
                <c:pt idx="2">
                  <c:v>2017</c:v>
                </c:pt>
                <c:pt idx="3">
                  <c:v>2018</c:v>
                </c:pt>
                <c:pt idx="4">
                  <c:v>2019</c:v>
                </c:pt>
                <c:pt idx="5">
                  <c:v>2020</c:v>
                </c:pt>
                <c:pt idx="6">
                  <c:v>2021</c:v>
                </c:pt>
                <c:pt idx="7">
                  <c:v>2022</c:v>
                </c:pt>
              </c:numCache>
            </c:numRef>
          </c:cat>
          <c:val>
            <c:numRef>
              <c:f>Eszk.fennt.!$I$12:$I$19</c:f>
              <c:numCache>
                <c:formatCode>#,##0</c:formatCode>
                <c:ptCount val="8"/>
                <c:pt idx="0">
                  <c:v>115804</c:v>
                </c:pt>
                <c:pt idx="1">
                  <c:v>123931</c:v>
                </c:pt>
                <c:pt idx="2">
                  <c:v>147424</c:v>
                </c:pt>
                <c:pt idx="3">
                  <c:v>164839</c:v>
                </c:pt>
                <c:pt idx="4">
                  <c:v>164303</c:v>
                </c:pt>
                <c:pt idx="5">
                  <c:v>189792</c:v>
                </c:pt>
                <c:pt idx="6">
                  <c:v>181387</c:v>
                </c:pt>
                <c:pt idx="7">
                  <c:v>180190</c:v>
                </c:pt>
              </c:numCache>
            </c:numRef>
          </c:val>
        </c:ser>
        <c:dLbls>
          <c:showLegendKey val="0"/>
          <c:showVal val="0"/>
          <c:showCatName val="0"/>
          <c:showSerName val="0"/>
          <c:showPercent val="0"/>
          <c:showBubbleSize val="0"/>
        </c:dLbls>
        <c:gapWidth val="150"/>
        <c:overlap val="100"/>
        <c:axId val="433072552"/>
        <c:axId val="433070984"/>
      </c:barChart>
      <c:catAx>
        <c:axId val="433072552"/>
        <c:scaling>
          <c:orientation val="minMax"/>
        </c:scaling>
        <c:delete val="0"/>
        <c:axPos val="b"/>
        <c:title>
          <c:tx>
            <c:rich>
              <a:bodyPr/>
              <a:lstStyle/>
              <a:p>
                <a:pPr>
                  <a:defRPr sz="850" b="1" i="0" u="none" strike="noStrike" baseline="0">
                    <a:solidFill>
                      <a:srgbClr val="000000"/>
                    </a:solidFill>
                    <a:latin typeface="Arial CE"/>
                    <a:ea typeface="Arial CE"/>
                    <a:cs typeface="Arial CE"/>
                  </a:defRPr>
                </a:pPr>
                <a:r>
                  <a:rPr lang="hu-HU"/>
                  <a:t>évek</a:t>
                </a:r>
              </a:p>
            </c:rich>
          </c:tx>
          <c:layout>
            <c:manualLayout>
              <c:xMode val="edge"/>
              <c:yMode val="edge"/>
              <c:x val="0.91074300388286411"/>
              <c:y val="0.75119856262602369"/>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850" b="0" i="0" u="none" strike="noStrike" baseline="0">
                <a:solidFill>
                  <a:srgbClr val="000000"/>
                </a:solidFill>
                <a:latin typeface="Arial CE"/>
                <a:ea typeface="Arial CE"/>
                <a:cs typeface="Arial CE"/>
              </a:defRPr>
            </a:pPr>
            <a:endParaRPr lang="hu-HU"/>
          </a:p>
        </c:txPr>
        <c:crossAx val="433070984"/>
        <c:crosses val="autoZero"/>
        <c:auto val="1"/>
        <c:lblAlgn val="ctr"/>
        <c:lblOffset val="100"/>
        <c:tickLblSkip val="1"/>
        <c:tickMarkSkip val="1"/>
        <c:noMultiLvlLbl val="0"/>
      </c:catAx>
      <c:valAx>
        <c:axId val="433070984"/>
        <c:scaling>
          <c:orientation val="minMax"/>
        </c:scaling>
        <c:delete val="0"/>
        <c:axPos val="l"/>
        <c:majorGridlines>
          <c:spPr>
            <a:ln w="3175">
              <a:solidFill>
                <a:srgbClr val="000000"/>
              </a:solidFill>
              <a:prstDash val="solid"/>
            </a:ln>
          </c:spPr>
        </c:majorGridlines>
        <c:numFmt formatCode="#,##0" sourceLinked="1"/>
        <c:majorTickMark val="out"/>
        <c:minorTickMark val="none"/>
        <c:tickLblPos val="nextTo"/>
        <c:spPr>
          <a:ln w="3175">
            <a:solidFill>
              <a:srgbClr val="000000"/>
            </a:solidFill>
            <a:prstDash val="solid"/>
          </a:ln>
        </c:spPr>
        <c:txPr>
          <a:bodyPr rot="0" vert="horz"/>
          <a:lstStyle/>
          <a:p>
            <a:pPr>
              <a:defRPr sz="850" b="0" i="0" u="none" strike="noStrike" baseline="0">
                <a:solidFill>
                  <a:srgbClr val="000000"/>
                </a:solidFill>
                <a:latin typeface="Arial CE"/>
                <a:ea typeface="Arial CE"/>
                <a:cs typeface="Arial CE"/>
              </a:defRPr>
            </a:pPr>
            <a:endParaRPr lang="hu-HU"/>
          </a:p>
        </c:txPr>
        <c:crossAx val="433072552"/>
        <c:crosses val="autoZero"/>
        <c:crossBetween val="between"/>
      </c:valAx>
      <c:spPr>
        <a:noFill/>
        <a:ln w="25400">
          <a:noFill/>
        </a:ln>
      </c:spPr>
    </c:plotArea>
    <c:legend>
      <c:legendPos val="b"/>
      <c:layout>
        <c:manualLayout>
          <c:xMode val="edge"/>
          <c:yMode val="edge"/>
          <c:x val="4.225690845618757E-2"/>
          <c:y val="0.81903379477306604"/>
          <c:w val="0.93393788448349657"/>
          <c:h val="7.8947421894843828E-2"/>
        </c:manualLayout>
      </c:layout>
      <c:overlay val="0"/>
      <c:spPr>
        <a:noFill/>
        <a:ln w="25400">
          <a:noFill/>
        </a:ln>
      </c:spPr>
      <c:txPr>
        <a:bodyPr/>
        <a:lstStyle/>
        <a:p>
          <a:pPr>
            <a:defRPr sz="900" b="0" i="0" u="none" strike="noStrike" baseline="0">
              <a:solidFill>
                <a:srgbClr val="000000"/>
              </a:solidFill>
              <a:latin typeface="Arial CE"/>
              <a:ea typeface="Arial CE"/>
              <a:cs typeface="Arial CE"/>
            </a:defRPr>
          </a:pPr>
          <a:endParaRPr lang="hu-HU"/>
        </a:p>
      </c:txPr>
    </c:legend>
    <c:plotVisOnly val="1"/>
    <c:dispBlanksAs val="gap"/>
    <c:showDLblsOverMax val="0"/>
  </c:chart>
  <c:spPr>
    <a:noFill/>
    <a:ln w="3175">
      <a:solidFill>
        <a:srgbClr val="000000"/>
      </a:solidFill>
      <a:prstDash val="solid"/>
    </a:ln>
  </c:spPr>
  <c:txPr>
    <a:bodyPr/>
    <a:lstStyle/>
    <a:p>
      <a:pPr>
        <a:defRPr sz="1050" b="0" i="0" u="none" strike="noStrike" baseline="0">
          <a:solidFill>
            <a:srgbClr val="000000"/>
          </a:solidFill>
          <a:latin typeface="Arial CE"/>
          <a:ea typeface="Arial CE"/>
          <a:cs typeface="Arial CE"/>
        </a:defRPr>
      </a:pPr>
      <a:endParaRPr lang="hu-HU"/>
    </a:p>
  </c:txPr>
  <c:externalData r:id="rId1">
    <c:autoUpdate val="0"/>
  </c:externalData>
  <c:userShapes r:id="rId2"/>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b="1" i="0" u="none" strike="noStrike" baseline="0">
                <a:solidFill>
                  <a:srgbClr val="000000"/>
                </a:solidFill>
                <a:latin typeface="Arial CE"/>
                <a:ea typeface="Arial CE"/>
                <a:cs typeface="Arial CE"/>
              </a:defRPr>
            </a:pPr>
            <a:r>
              <a:rPr lang="hu-HU"/>
              <a:t>Beruházások alakulása források szerint</a:t>
            </a:r>
          </a:p>
        </c:rich>
      </c:tx>
      <c:layout>
        <c:manualLayout>
          <c:xMode val="edge"/>
          <c:yMode val="edge"/>
          <c:x val="0.2575042811591679"/>
          <c:y val="3.3434650455927049E-2"/>
        </c:manualLayout>
      </c:layout>
      <c:overlay val="0"/>
      <c:spPr>
        <a:noFill/>
        <a:ln w="25400">
          <a:noFill/>
        </a:ln>
      </c:spPr>
    </c:title>
    <c:autoTitleDeleted val="0"/>
    <c:view3D>
      <c:rotX val="15"/>
      <c:hPercent val="57"/>
      <c:rotY val="20"/>
      <c:depthPercent val="100"/>
      <c:rAngAx val="1"/>
    </c:view3D>
    <c:floor>
      <c:thickness val="0"/>
      <c:spPr>
        <a:noFill/>
        <a:ln w="3175">
          <a:solidFill>
            <a:srgbClr val="000000"/>
          </a:solidFill>
          <a:prstDash val="solid"/>
        </a:ln>
      </c:spPr>
    </c:floor>
    <c:sideWall>
      <c:thickness val="0"/>
      <c:spPr>
        <a:noFill/>
        <a:ln w="12700">
          <a:solidFill>
            <a:srgbClr val="808080"/>
          </a:solidFill>
          <a:prstDash val="solid"/>
        </a:ln>
      </c:spPr>
    </c:sideWall>
    <c:backWall>
      <c:thickness val="0"/>
      <c:spPr>
        <a:noFill/>
        <a:ln w="12700">
          <a:solidFill>
            <a:srgbClr val="808080"/>
          </a:solidFill>
          <a:prstDash val="solid"/>
        </a:ln>
      </c:spPr>
    </c:backWall>
    <c:plotArea>
      <c:layout>
        <c:manualLayout>
          <c:layoutTarget val="inner"/>
          <c:xMode val="edge"/>
          <c:yMode val="edge"/>
          <c:x val="0.10222686549656153"/>
          <c:y val="0.18237082066869301"/>
          <c:w val="0.65760184413808342"/>
          <c:h val="0.63829787234042556"/>
        </c:manualLayout>
      </c:layout>
      <c:bar3DChart>
        <c:barDir val="col"/>
        <c:grouping val="stacked"/>
        <c:varyColors val="0"/>
        <c:ser>
          <c:idx val="0"/>
          <c:order val="0"/>
          <c:tx>
            <c:strRef>
              <c:f>'Beruh. forrás'!$B$5</c:f>
              <c:strCache>
                <c:ptCount val="1"/>
                <c:pt idx="0">
                  <c:v>Amortizáció</c:v>
                </c:pt>
              </c:strCache>
            </c:strRef>
          </c:tx>
          <c:spPr>
            <a:solidFill>
              <a:srgbClr val="FFFF99"/>
            </a:solidFill>
            <a:ln w="12700">
              <a:solidFill>
                <a:srgbClr val="000000"/>
              </a:solidFill>
              <a:prstDash val="solid"/>
            </a:ln>
          </c:spPr>
          <c:invertIfNegative val="0"/>
          <c:cat>
            <c:numRef>
              <c:f>'Beruh. forrás'!$A$12:$A$19</c:f>
              <c:numCache>
                <c:formatCode>General</c:formatCode>
                <c:ptCount val="8"/>
                <c:pt idx="0">
                  <c:v>2015</c:v>
                </c:pt>
                <c:pt idx="1">
                  <c:v>2016</c:v>
                </c:pt>
                <c:pt idx="2">
                  <c:v>2017</c:v>
                </c:pt>
                <c:pt idx="3">
                  <c:v>2018</c:v>
                </c:pt>
                <c:pt idx="4">
                  <c:v>2019</c:v>
                </c:pt>
                <c:pt idx="5">
                  <c:v>2020</c:v>
                </c:pt>
                <c:pt idx="6">
                  <c:v>2021</c:v>
                </c:pt>
                <c:pt idx="7">
                  <c:v>2022</c:v>
                </c:pt>
              </c:numCache>
            </c:numRef>
          </c:cat>
          <c:val>
            <c:numRef>
              <c:f>'Beruh. forrás'!$B$12:$B$19</c:f>
              <c:numCache>
                <c:formatCode>#,##0</c:formatCode>
                <c:ptCount val="8"/>
                <c:pt idx="0">
                  <c:v>349484</c:v>
                </c:pt>
                <c:pt idx="1">
                  <c:v>436491</c:v>
                </c:pt>
                <c:pt idx="2">
                  <c:v>503407</c:v>
                </c:pt>
                <c:pt idx="3">
                  <c:v>439095</c:v>
                </c:pt>
                <c:pt idx="4">
                  <c:v>407459</c:v>
                </c:pt>
                <c:pt idx="5">
                  <c:v>411335</c:v>
                </c:pt>
                <c:pt idx="6">
                  <c:v>345908</c:v>
                </c:pt>
                <c:pt idx="7">
                  <c:v>296539</c:v>
                </c:pt>
              </c:numCache>
            </c:numRef>
          </c:val>
        </c:ser>
        <c:ser>
          <c:idx val="2"/>
          <c:order val="2"/>
          <c:tx>
            <c:strRef>
              <c:f>'Beruh. forrás'!$D$5</c:f>
              <c:strCache>
                <c:ptCount val="1"/>
                <c:pt idx="0">
                  <c:v>Közműfelesztési
hozzájárulás</c:v>
                </c:pt>
              </c:strCache>
            </c:strRef>
          </c:tx>
          <c:spPr>
            <a:solidFill>
              <a:srgbClr val="3366FF"/>
            </a:solidFill>
            <a:ln w="12700">
              <a:solidFill>
                <a:srgbClr val="000000"/>
              </a:solidFill>
              <a:prstDash val="solid"/>
            </a:ln>
          </c:spPr>
          <c:invertIfNegative val="0"/>
          <c:cat>
            <c:numRef>
              <c:f>'Beruh. forrás'!$A$12:$A$19</c:f>
              <c:numCache>
                <c:formatCode>General</c:formatCode>
                <c:ptCount val="8"/>
                <c:pt idx="0">
                  <c:v>2015</c:v>
                </c:pt>
                <c:pt idx="1">
                  <c:v>2016</c:v>
                </c:pt>
                <c:pt idx="2">
                  <c:v>2017</c:v>
                </c:pt>
                <c:pt idx="3">
                  <c:v>2018</c:v>
                </c:pt>
                <c:pt idx="4">
                  <c:v>2019</c:v>
                </c:pt>
                <c:pt idx="5">
                  <c:v>2020</c:v>
                </c:pt>
                <c:pt idx="6">
                  <c:v>2021</c:v>
                </c:pt>
                <c:pt idx="7">
                  <c:v>2022</c:v>
                </c:pt>
              </c:numCache>
            </c:numRef>
          </c:cat>
          <c:val>
            <c:numRef>
              <c:f>'Beruh. forrás'!$D$12:$D$19</c:f>
              <c:numCache>
                <c:formatCode>#,##0</c:formatCode>
                <c:ptCount val="8"/>
                <c:pt idx="0">
                  <c:v>12279</c:v>
                </c:pt>
                <c:pt idx="1">
                  <c:v>10125</c:v>
                </c:pt>
                <c:pt idx="2">
                  <c:v>10368</c:v>
                </c:pt>
                <c:pt idx="3">
                  <c:v>9421</c:v>
                </c:pt>
                <c:pt idx="4">
                  <c:v>0</c:v>
                </c:pt>
                <c:pt idx="5">
                  <c:v>0</c:v>
                </c:pt>
                <c:pt idx="6">
                  <c:v>3438</c:v>
                </c:pt>
                <c:pt idx="7">
                  <c:v>49278</c:v>
                </c:pt>
              </c:numCache>
            </c:numRef>
          </c:val>
        </c:ser>
        <c:ser>
          <c:idx val="3"/>
          <c:order val="3"/>
          <c:tx>
            <c:strRef>
              <c:f>'Beruh. forrás'!$E$5</c:f>
              <c:strCache>
                <c:ptCount val="1"/>
                <c:pt idx="0">
                  <c:v>Fejlesztési tartalék</c:v>
                </c:pt>
              </c:strCache>
            </c:strRef>
          </c:tx>
          <c:spPr>
            <a:solidFill>
              <a:srgbClr val="FFCC00"/>
            </a:solidFill>
            <a:ln w="12700">
              <a:solidFill>
                <a:srgbClr val="000000"/>
              </a:solidFill>
              <a:prstDash val="solid"/>
            </a:ln>
          </c:spPr>
          <c:invertIfNegative val="0"/>
          <c:cat>
            <c:numRef>
              <c:f>'Beruh. forrás'!$A$12:$A$19</c:f>
              <c:numCache>
                <c:formatCode>General</c:formatCode>
                <c:ptCount val="8"/>
                <c:pt idx="0">
                  <c:v>2015</c:v>
                </c:pt>
                <c:pt idx="1">
                  <c:v>2016</c:v>
                </c:pt>
                <c:pt idx="2">
                  <c:v>2017</c:v>
                </c:pt>
                <c:pt idx="3">
                  <c:v>2018</c:v>
                </c:pt>
                <c:pt idx="4">
                  <c:v>2019</c:v>
                </c:pt>
                <c:pt idx="5">
                  <c:v>2020</c:v>
                </c:pt>
                <c:pt idx="6">
                  <c:v>2021</c:v>
                </c:pt>
                <c:pt idx="7">
                  <c:v>2022</c:v>
                </c:pt>
              </c:numCache>
            </c:numRef>
          </c:cat>
          <c:val>
            <c:numRef>
              <c:f>'Beruh. forrás'!$E$12:$E$19</c:f>
              <c:numCache>
                <c:formatCode>#,##0</c:formatCode>
                <c:ptCount val="8"/>
                <c:pt idx="0">
                  <c:v>19610</c:v>
                </c:pt>
                <c:pt idx="1">
                  <c:v>0</c:v>
                </c:pt>
                <c:pt idx="2">
                  <c:v>0</c:v>
                </c:pt>
                <c:pt idx="3">
                  <c:v>0</c:v>
                </c:pt>
                <c:pt idx="4">
                  <c:v>0</c:v>
                </c:pt>
              </c:numCache>
            </c:numRef>
          </c:val>
        </c:ser>
        <c:ser>
          <c:idx val="4"/>
          <c:order val="4"/>
          <c:tx>
            <c:strRef>
              <c:f>'Beruh. forrás'!$F$5</c:f>
              <c:strCache>
                <c:ptCount val="1"/>
                <c:pt idx="0">
                  <c:v>2015. évi eredménytartalék fejlesztési célra</c:v>
                </c:pt>
              </c:strCache>
            </c:strRef>
          </c:tx>
          <c:spPr>
            <a:solidFill>
              <a:srgbClr val="99CC00"/>
            </a:solidFill>
            <a:ln w="12700">
              <a:solidFill>
                <a:srgbClr val="000000"/>
              </a:solidFill>
              <a:prstDash val="solid"/>
            </a:ln>
          </c:spPr>
          <c:invertIfNegative val="0"/>
          <c:cat>
            <c:numRef>
              <c:f>'Beruh. forrás'!$A$12:$A$19</c:f>
              <c:numCache>
                <c:formatCode>General</c:formatCode>
                <c:ptCount val="8"/>
                <c:pt idx="0">
                  <c:v>2015</c:v>
                </c:pt>
                <c:pt idx="1">
                  <c:v>2016</c:v>
                </c:pt>
                <c:pt idx="2">
                  <c:v>2017</c:v>
                </c:pt>
                <c:pt idx="3">
                  <c:v>2018</c:v>
                </c:pt>
                <c:pt idx="4">
                  <c:v>2019</c:v>
                </c:pt>
                <c:pt idx="5">
                  <c:v>2020</c:v>
                </c:pt>
                <c:pt idx="6">
                  <c:v>2021</c:v>
                </c:pt>
                <c:pt idx="7">
                  <c:v>2022</c:v>
                </c:pt>
              </c:numCache>
            </c:numRef>
          </c:cat>
          <c:val>
            <c:numRef>
              <c:f>'Beruh. forrás'!$F$12:$F$19</c:f>
              <c:numCache>
                <c:formatCode>#,##0</c:formatCode>
                <c:ptCount val="8"/>
                <c:pt idx="1">
                  <c:v>30963</c:v>
                </c:pt>
                <c:pt idx="2">
                  <c:v>57396</c:v>
                </c:pt>
                <c:pt idx="3">
                  <c:v>0</c:v>
                </c:pt>
                <c:pt idx="4">
                  <c:v>0</c:v>
                </c:pt>
                <c:pt idx="5">
                  <c:v>0</c:v>
                </c:pt>
                <c:pt idx="6">
                  <c:v>0</c:v>
                </c:pt>
                <c:pt idx="7">
                  <c:v>0</c:v>
                </c:pt>
              </c:numCache>
            </c:numRef>
          </c:val>
        </c:ser>
        <c:ser>
          <c:idx val="5"/>
          <c:order val="5"/>
          <c:tx>
            <c:strRef>
              <c:f>'Beruh. forrás'!$G$5</c:f>
              <c:strCache>
                <c:ptCount val="1"/>
                <c:pt idx="0">
                  <c:v>Fejlesztési támogatás</c:v>
                </c:pt>
              </c:strCache>
            </c:strRef>
          </c:tx>
          <c:spPr>
            <a:solidFill>
              <a:srgbClr val="FF9900"/>
            </a:solidFill>
            <a:ln w="12700">
              <a:solidFill>
                <a:srgbClr val="000000"/>
              </a:solidFill>
              <a:prstDash val="solid"/>
            </a:ln>
          </c:spPr>
          <c:invertIfNegative val="0"/>
          <c:cat>
            <c:numRef>
              <c:f>'Beruh. forrás'!$A$12:$A$19</c:f>
              <c:numCache>
                <c:formatCode>General</c:formatCode>
                <c:ptCount val="8"/>
                <c:pt idx="0">
                  <c:v>2015</c:v>
                </c:pt>
                <c:pt idx="1">
                  <c:v>2016</c:v>
                </c:pt>
                <c:pt idx="2">
                  <c:v>2017</c:v>
                </c:pt>
                <c:pt idx="3">
                  <c:v>2018</c:v>
                </c:pt>
                <c:pt idx="4">
                  <c:v>2019</c:v>
                </c:pt>
                <c:pt idx="5">
                  <c:v>2020</c:v>
                </c:pt>
                <c:pt idx="6">
                  <c:v>2021</c:v>
                </c:pt>
                <c:pt idx="7">
                  <c:v>2022</c:v>
                </c:pt>
              </c:numCache>
            </c:numRef>
          </c:cat>
          <c:val>
            <c:numRef>
              <c:f>'Beruh. forrás'!$G$12:$G$19</c:f>
              <c:numCache>
                <c:formatCode>#,##0</c:formatCode>
                <c:ptCount val="8"/>
                <c:pt idx="0">
                  <c:v>315455</c:v>
                </c:pt>
                <c:pt idx="1">
                  <c:v>75427</c:v>
                </c:pt>
                <c:pt idx="2">
                  <c:v>31239</c:v>
                </c:pt>
                <c:pt idx="3">
                  <c:v>0</c:v>
                </c:pt>
                <c:pt idx="4">
                  <c:v>0</c:v>
                </c:pt>
                <c:pt idx="5">
                  <c:v>0</c:v>
                </c:pt>
                <c:pt idx="6">
                  <c:v>0</c:v>
                </c:pt>
                <c:pt idx="7">
                  <c:v>0</c:v>
                </c:pt>
              </c:numCache>
            </c:numRef>
          </c:val>
        </c:ser>
        <c:ser>
          <c:idx val="7"/>
          <c:order val="7"/>
          <c:tx>
            <c:strRef>
              <c:f>'Beruh. forrás'!$I$5</c:f>
              <c:strCache>
                <c:ptCount val="1"/>
                <c:pt idx="0">
                  <c:v>Lekötött tartalék</c:v>
                </c:pt>
              </c:strCache>
            </c:strRef>
          </c:tx>
          <c:spPr>
            <a:solidFill>
              <a:schemeClr val="accent6">
                <a:lumMod val="60000"/>
                <a:lumOff val="40000"/>
              </a:schemeClr>
            </a:solidFill>
            <a:ln>
              <a:solidFill>
                <a:schemeClr val="tx1"/>
              </a:solidFill>
            </a:ln>
          </c:spPr>
          <c:invertIfNegative val="0"/>
          <c:cat>
            <c:numRef>
              <c:f>'Beruh. forrás'!$A$12:$A$19</c:f>
              <c:numCache>
                <c:formatCode>General</c:formatCode>
                <c:ptCount val="8"/>
                <c:pt idx="0">
                  <c:v>2015</c:v>
                </c:pt>
                <c:pt idx="1">
                  <c:v>2016</c:v>
                </c:pt>
                <c:pt idx="2">
                  <c:v>2017</c:v>
                </c:pt>
                <c:pt idx="3">
                  <c:v>2018</c:v>
                </c:pt>
                <c:pt idx="4">
                  <c:v>2019</c:v>
                </c:pt>
                <c:pt idx="5">
                  <c:v>2020</c:v>
                </c:pt>
                <c:pt idx="6">
                  <c:v>2021</c:v>
                </c:pt>
                <c:pt idx="7">
                  <c:v>2022</c:v>
                </c:pt>
              </c:numCache>
            </c:numRef>
          </c:cat>
          <c:val>
            <c:numRef>
              <c:f>'Beruh. forrás'!$I$12:$I$19</c:f>
              <c:numCache>
                <c:formatCode>#,##0</c:formatCode>
                <c:ptCount val="8"/>
                <c:pt idx="0">
                  <c:v>31023</c:v>
                </c:pt>
                <c:pt idx="1">
                  <c:v>6954</c:v>
                </c:pt>
                <c:pt idx="2">
                  <c:v>0</c:v>
                </c:pt>
                <c:pt idx="3">
                  <c:v>0</c:v>
                </c:pt>
                <c:pt idx="4">
                  <c:v>0</c:v>
                </c:pt>
                <c:pt idx="5">
                  <c:v>0</c:v>
                </c:pt>
                <c:pt idx="7">
                  <c:v>15163</c:v>
                </c:pt>
              </c:numCache>
            </c:numRef>
          </c:val>
        </c:ser>
        <c:ser>
          <c:idx val="8"/>
          <c:order val="8"/>
          <c:tx>
            <c:strRef>
              <c:f>'Beruh. forrás'!$J$5</c:f>
              <c:strCache>
                <c:ptCount val="1"/>
                <c:pt idx="0">
                  <c:v>VEF pályázati támogatás</c:v>
                </c:pt>
              </c:strCache>
            </c:strRef>
          </c:tx>
          <c:spPr>
            <a:solidFill>
              <a:srgbClr val="00B0F0"/>
            </a:solidFill>
            <a:ln>
              <a:solidFill>
                <a:srgbClr val="000000"/>
              </a:solidFill>
            </a:ln>
          </c:spPr>
          <c:invertIfNegative val="0"/>
          <c:cat>
            <c:numRef>
              <c:f>'Beruh. forrás'!$A$12:$A$19</c:f>
              <c:numCache>
                <c:formatCode>General</c:formatCode>
                <c:ptCount val="8"/>
                <c:pt idx="0">
                  <c:v>2015</c:v>
                </c:pt>
                <c:pt idx="1">
                  <c:v>2016</c:v>
                </c:pt>
                <c:pt idx="2">
                  <c:v>2017</c:v>
                </c:pt>
                <c:pt idx="3">
                  <c:v>2018</c:v>
                </c:pt>
                <c:pt idx="4">
                  <c:v>2019</c:v>
                </c:pt>
                <c:pt idx="5">
                  <c:v>2020</c:v>
                </c:pt>
                <c:pt idx="6">
                  <c:v>2021</c:v>
                </c:pt>
                <c:pt idx="7">
                  <c:v>2022</c:v>
                </c:pt>
              </c:numCache>
            </c:numRef>
          </c:cat>
          <c:val>
            <c:numRef>
              <c:f>'Beruh. forrás'!$J$12:$J$19</c:f>
              <c:numCache>
                <c:formatCode>General</c:formatCode>
                <c:ptCount val="8"/>
                <c:pt idx="7" formatCode="#,##0">
                  <c:v>93946</c:v>
                </c:pt>
              </c:numCache>
            </c:numRef>
          </c:val>
        </c:ser>
        <c:dLbls>
          <c:showLegendKey val="0"/>
          <c:showVal val="0"/>
          <c:showCatName val="0"/>
          <c:showSerName val="0"/>
          <c:showPercent val="0"/>
          <c:showBubbleSize val="0"/>
        </c:dLbls>
        <c:gapWidth val="150"/>
        <c:shape val="box"/>
        <c:axId val="433072160"/>
        <c:axId val="433073336"/>
        <c:axId val="0"/>
        <c:extLst>
          <c:ext xmlns:c15="http://schemas.microsoft.com/office/drawing/2012/chart" uri="{02D57815-91ED-43cb-92C2-25804820EDAC}">
            <c15:filteredBarSeries>
              <c15:ser>
                <c:idx val="1"/>
                <c:order val="1"/>
                <c:tx>
                  <c:strRef>
                    <c:extLst>
                      <c:ext uri="{02D57815-91ED-43cb-92C2-25804820EDAC}">
                        <c15:formulaRef>
                          <c15:sqref>'Beruh. forrás'!$C$5</c15:sqref>
                        </c15:formulaRef>
                      </c:ext>
                    </c:extLst>
                    <c:strCache>
                      <c:ptCount val="1"/>
                      <c:pt idx="0">
                        <c:v>Átadott pénzeszközök</c:v>
                      </c:pt>
                    </c:strCache>
                  </c:strRef>
                </c:tx>
                <c:spPr>
                  <a:solidFill>
                    <a:srgbClr val="00FFFF"/>
                  </a:solidFill>
                  <a:ln w="12700">
                    <a:solidFill>
                      <a:srgbClr val="000000"/>
                    </a:solidFill>
                    <a:prstDash val="solid"/>
                  </a:ln>
                </c:spPr>
                <c:invertIfNegative val="0"/>
                <c:cat>
                  <c:numRef>
                    <c:extLst>
                      <c:ext uri="{02D57815-91ED-43cb-92C2-25804820EDAC}">
                        <c15:formulaRef>
                          <c15:sqref>'Beruh. forrás'!$A$12:$A$19</c15:sqref>
                        </c15:formulaRef>
                      </c:ext>
                    </c:extLst>
                    <c:numCache>
                      <c:formatCode>General</c:formatCode>
                      <c:ptCount val="8"/>
                      <c:pt idx="0">
                        <c:v>2015</c:v>
                      </c:pt>
                      <c:pt idx="1">
                        <c:v>2016</c:v>
                      </c:pt>
                      <c:pt idx="2">
                        <c:v>2017</c:v>
                      </c:pt>
                      <c:pt idx="3">
                        <c:v>2018</c:v>
                      </c:pt>
                      <c:pt idx="4">
                        <c:v>2019</c:v>
                      </c:pt>
                      <c:pt idx="5">
                        <c:v>2020</c:v>
                      </c:pt>
                      <c:pt idx="6">
                        <c:v>2021</c:v>
                      </c:pt>
                      <c:pt idx="7">
                        <c:v>2022</c:v>
                      </c:pt>
                    </c:numCache>
                  </c:numRef>
                </c:cat>
                <c:val>
                  <c:numRef>
                    <c:extLst>
                      <c:ext uri="{02D57815-91ED-43cb-92C2-25804820EDAC}">
                        <c15:formulaRef>
                          <c15:sqref>'Beruh. forrás'!$C$12:$C$19</c15:sqref>
                        </c15:formulaRef>
                      </c:ext>
                    </c:extLst>
                    <c:numCache>
                      <c:formatCode>#,##0</c:formatCode>
                      <c:ptCount val="8"/>
                      <c:pt idx="0">
                        <c:v>0</c:v>
                      </c:pt>
                      <c:pt idx="1">
                        <c:v>0</c:v>
                      </c:pt>
                      <c:pt idx="2">
                        <c:v>0</c:v>
                      </c:pt>
                      <c:pt idx="3">
                        <c:v>0</c:v>
                      </c:pt>
                      <c:pt idx="4">
                        <c:v>0</c:v>
                      </c:pt>
                      <c:pt idx="5">
                        <c:v>0</c:v>
                      </c:pt>
                      <c:pt idx="6">
                        <c:v>0</c:v>
                      </c:pt>
                      <c:pt idx="7">
                        <c:v>0</c:v>
                      </c:pt>
                    </c:numCache>
                  </c:numRef>
                </c:val>
              </c15:ser>
            </c15:filteredBarSeries>
            <c15:filteredBarSeries>
              <c15:ser>
                <c:idx val="6"/>
                <c:order val="6"/>
                <c:tx>
                  <c:strRef>
                    <c:extLst xmlns:c15="http://schemas.microsoft.com/office/drawing/2012/chart">
                      <c:ext xmlns:c15="http://schemas.microsoft.com/office/drawing/2012/chart" uri="{02D57815-91ED-43cb-92C2-25804820EDAC}">
                        <c15:formulaRef>
                          <c15:sqref>'Beruh. forrás'!$H$5</c15:sqref>
                        </c15:formulaRef>
                      </c:ext>
                    </c:extLst>
                    <c:strCache>
                      <c:ptCount val="1"/>
                      <c:pt idx="0">
                        <c:v>Vízterhelési díj</c:v>
                      </c:pt>
                    </c:strCache>
                  </c:strRef>
                </c:tx>
                <c:spPr>
                  <a:solidFill>
                    <a:srgbClr val="99CCFF"/>
                  </a:solidFill>
                  <a:ln w="12700">
                    <a:solidFill>
                      <a:srgbClr val="000000"/>
                    </a:solidFill>
                    <a:prstDash val="solid"/>
                  </a:ln>
                </c:spPr>
                <c:invertIfNegative val="0"/>
                <c:cat>
                  <c:numRef>
                    <c:extLst xmlns:c15="http://schemas.microsoft.com/office/drawing/2012/chart">
                      <c:ext xmlns:c15="http://schemas.microsoft.com/office/drawing/2012/chart" uri="{02D57815-91ED-43cb-92C2-25804820EDAC}">
                        <c15:formulaRef>
                          <c15:sqref>'Beruh. forrás'!$A$12:$A$19</c15:sqref>
                        </c15:formulaRef>
                      </c:ext>
                    </c:extLst>
                    <c:numCache>
                      <c:formatCode>General</c:formatCode>
                      <c:ptCount val="8"/>
                      <c:pt idx="0">
                        <c:v>2015</c:v>
                      </c:pt>
                      <c:pt idx="1">
                        <c:v>2016</c:v>
                      </c:pt>
                      <c:pt idx="2">
                        <c:v>2017</c:v>
                      </c:pt>
                      <c:pt idx="3">
                        <c:v>2018</c:v>
                      </c:pt>
                      <c:pt idx="4">
                        <c:v>2019</c:v>
                      </c:pt>
                      <c:pt idx="5">
                        <c:v>2020</c:v>
                      </c:pt>
                      <c:pt idx="6">
                        <c:v>2021</c:v>
                      </c:pt>
                      <c:pt idx="7">
                        <c:v>2022</c:v>
                      </c:pt>
                    </c:numCache>
                  </c:numRef>
                </c:cat>
                <c:val>
                  <c:numRef>
                    <c:extLst xmlns:c15="http://schemas.microsoft.com/office/drawing/2012/chart">
                      <c:ext xmlns:c15="http://schemas.microsoft.com/office/drawing/2012/chart" uri="{02D57815-91ED-43cb-92C2-25804820EDAC}">
                        <c15:formulaRef>
                          <c15:sqref>'Beruh. forrás'!$H$12:$H$19</c15:sqref>
                        </c15:formulaRef>
                      </c:ext>
                    </c:extLst>
                    <c:numCache>
                      <c:formatCode>#,##0</c:formatCode>
                      <c:ptCount val="8"/>
                      <c:pt idx="0">
                        <c:v>0</c:v>
                      </c:pt>
                      <c:pt idx="1">
                        <c:v>0</c:v>
                      </c:pt>
                      <c:pt idx="2">
                        <c:v>0</c:v>
                      </c:pt>
                      <c:pt idx="3">
                        <c:v>0</c:v>
                      </c:pt>
                      <c:pt idx="4">
                        <c:v>0</c:v>
                      </c:pt>
                      <c:pt idx="5">
                        <c:v>0</c:v>
                      </c:pt>
                    </c:numCache>
                  </c:numRef>
                </c:val>
              </c15:ser>
            </c15:filteredBarSeries>
          </c:ext>
        </c:extLst>
      </c:bar3DChart>
      <c:catAx>
        <c:axId val="433072160"/>
        <c:scaling>
          <c:orientation val="minMax"/>
        </c:scaling>
        <c:delete val="0"/>
        <c:axPos val="b"/>
        <c:title>
          <c:tx>
            <c:rich>
              <a:bodyPr/>
              <a:lstStyle/>
              <a:p>
                <a:pPr>
                  <a:defRPr sz="900" b="1" i="0" u="none" strike="noStrike" baseline="0">
                    <a:solidFill>
                      <a:srgbClr val="000000"/>
                    </a:solidFill>
                    <a:latin typeface="Arial CE"/>
                    <a:ea typeface="Arial CE"/>
                    <a:cs typeface="Arial CE"/>
                  </a:defRPr>
                </a:pPr>
                <a:r>
                  <a:rPr lang="hu-HU"/>
                  <a:t>évek</a:t>
                </a:r>
              </a:p>
            </c:rich>
          </c:tx>
          <c:layout>
            <c:manualLayout>
              <c:xMode val="edge"/>
              <c:yMode val="edge"/>
              <c:x val="0.70418088976779059"/>
              <c:y val="0.82544589189139328"/>
            </c:manualLayout>
          </c:layout>
          <c:overlay val="0"/>
          <c:spPr>
            <a:noFill/>
            <a:ln w="25400">
              <a:noFill/>
            </a:ln>
          </c:spPr>
        </c:title>
        <c:numFmt formatCode="General" sourceLinked="1"/>
        <c:majorTickMark val="out"/>
        <c:minorTickMark val="none"/>
        <c:tickLblPos val="low"/>
        <c:spPr>
          <a:ln w="3175">
            <a:solidFill>
              <a:srgbClr val="000000"/>
            </a:solidFill>
            <a:prstDash val="solid"/>
          </a:ln>
        </c:spPr>
        <c:txPr>
          <a:bodyPr rot="0" vert="horz"/>
          <a:lstStyle/>
          <a:p>
            <a:pPr>
              <a:defRPr sz="800" b="0" i="0" u="none" strike="noStrike" baseline="0">
                <a:solidFill>
                  <a:srgbClr val="000000"/>
                </a:solidFill>
                <a:latin typeface="Arial CE"/>
                <a:ea typeface="Arial CE"/>
                <a:cs typeface="Arial CE"/>
              </a:defRPr>
            </a:pPr>
            <a:endParaRPr lang="hu-HU"/>
          </a:p>
        </c:txPr>
        <c:crossAx val="433073336"/>
        <c:crosses val="autoZero"/>
        <c:auto val="1"/>
        <c:lblAlgn val="ctr"/>
        <c:lblOffset val="100"/>
        <c:tickLblSkip val="1"/>
        <c:tickMarkSkip val="1"/>
        <c:noMultiLvlLbl val="0"/>
      </c:catAx>
      <c:valAx>
        <c:axId val="433073336"/>
        <c:scaling>
          <c:orientation val="minMax"/>
        </c:scaling>
        <c:delete val="0"/>
        <c:axPos val="l"/>
        <c:majorGridlines>
          <c:spPr>
            <a:ln w="3175">
              <a:solidFill>
                <a:srgbClr val="000000"/>
              </a:solidFill>
              <a:prstDash val="solid"/>
            </a:ln>
          </c:spPr>
        </c:majorGridlines>
        <c:title>
          <c:tx>
            <c:rich>
              <a:bodyPr rot="0" vert="horz"/>
              <a:lstStyle/>
              <a:p>
                <a:pPr algn="ctr">
                  <a:defRPr sz="900" b="1" i="0" u="none" strike="noStrike" baseline="0">
                    <a:solidFill>
                      <a:srgbClr val="000000"/>
                    </a:solidFill>
                    <a:latin typeface="Arial CE"/>
                    <a:ea typeface="Arial CE"/>
                    <a:cs typeface="Arial CE"/>
                  </a:defRPr>
                </a:pPr>
                <a:r>
                  <a:rPr lang="hu-HU"/>
                  <a:t>eFt</a:t>
                </a:r>
              </a:p>
            </c:rich>
          </c:tx>
          <c:layout>
            <c:manualLayout>
              <c:xMode val="edge"/>
              <c:yMode val="edge"/>
              <c:x val="0.1374409241498841"/>
              <c:y val="0.13677811550151975"/>
            </c:manualLayout>
          </c:layout>
          <c:overlay val="0"/>
          <c:spPr>
            <a:noFill/>
            <a:ln w="25400">
              <a:noFill/>
            </a:ln>
          </c:spPr>
        </c:title>
        <c:numFmt formatCode="#,##0" sourceLinked="1"/>
        <c:majorTickMark val="out"/>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Arial CE"/>
                <a:ea typeface="Arial CE"/>
                <a:cs typeface="Arial CE"/>
              </a:defRPr>
            </a:pPr>
            <a:endParaRPr lang="hu-HU"/>
          </a:p>
        </c:txPr>
        <c:crossAx val="433072160"/>
        <c:crosses val="autoZero"/>
        <c:crossBetween val="between"/>
      </c:valAx>
      <c:spPr>
        <a:noFill/>
        <a:ln w="25400">
          <a:noFill/>
        </a:ln>
      </c:spPr>
    </c:plotArea>
    <c:legend>
      <c:legendPos val="r"/>
      <c:layout>
        <c:manualLayout>
          <c:xMode val="edge"/>
          <c:yMode val="edge"/>
          <c:x val="0.74881632686909394"/>
          <c:y val="0.18541033434650456"/>
          <c:w val="0.23418129047862191"/>
          <c:h val="0.58981488241122182"/>
        </c:manualLayout>
      </c:layout>
      <c:overlay val="0"/>
      <c:spPr>
        <a:noFill/>
        <a:ln w="25400">
          <a:noFill/>
        </a:ln>
      </c:spPr>
      <c:txPr>
        <a:bodyPr/>
        <a:lstStyle/>
        <a:p>
          <a:pPr>
            <a:defRPr sz="735" b="0" i="0" u="none" strike="noStrike" baseline="0">
              <a:solidFill>
                <a:srgbClr val="000000"/>
              </a:solidFill>
              <a:latin typeface="Arial CE"/>
              <a:ea typeface="Arial CE"/>
              <a:cs typeface="Arial CE"/>
            </a:defRPr>
          </a:pPr>
          <a:endParaRPr lang="hu-HU"/>
        </a:p>
      </c:txPr>
    </c:legend>
    <c:plotVisOnly val="1"/>
    <c:dispBlanksAs val="gap"/>
    <c:showDLblsOverMax val="0"/>
  </c:chart>
  <c:spPr>
    <a:noFill/>
    <a:ln w="3175">
      <a:solidFill>
        <a:srgbClr val="000000"/>
      </a:solidFill>
      <a:prstDash val="solid"/>
    </a:ln>
  </c:spPr>
  <c:txPr>
    <a:bodyPr/>
    <a:lstStyle/>
    <a:p>
      <a:pPr>
        <a:defRPr sz="1175" b="0" i="0" u="none" strike="noStrike" baseline="0">
          <a:solidFill>
            <a:srgbClr val="000000"/>
          </a:solidFill>
          <a:latin typeface="Arial CE"/>
          <a:ea typeface="Arial CE"/>
          <a:cs typeface="Arial CE"/>
        </a:defRPr>
      </a:pPr>
      <a:endParaRPr lang="hu-HU"/>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2000" b="0" i="0" u="none" strike="noStrike" kern="1200" cap="none" spc="0" normalizeH="0" baseline="0">
                <a:solidFill>
                  <a:schemeClr val="tx1">
                    <a:lumMod val="65000"/>
                    <a:lumOff val="35000"/>
                  </a:schemeClr>
                </a:solidFill>
                <a:latin typeface="+mj-lt"/>
                <a:ea typeface="+mj-ea"/>
                <a:cs typeface="+mj-cs"/>
              </a:defRPr>
            </a:pPr>
            <a:r>
              <a:rPr lang="hu-HU" sz="1100"/>
              <a:t>Teljes munkaidőben foglalkoztatottak bruttó átlagkeresete 2015-2022. év (Ft/fő/év)</a:t>
            </a:r>
          </a:p>
        </c:rich>
      </c:tx>
      <c:layout/>
      <c:overlay val="0"/>
      <c:spPr>
        <a:noFill/>
        <a:ln>
          <a:noFill/>
        </a:ln>
        <a:effectLst/>
      </c:spPr>
      <c:txPr>
        <a:bodyPr rot="0" spcFirstLastPara="1" vertOverflow="ellipsis" vert="horz" wrap="square" anchor="ctr" anchorCtr="1"/>
        <a:lstStyle/>
        <a:p>
          <a:pPr>
            <a:defRPr sz="2000" b="0" i="0" u="none" strike="noStrike" kern="1200" cap="none" spc="0" normalizeH="0" baseline="0">
              <a:solidFill>
                <a:schemeClr val="tx1">
                  <a:lumMod val="65000"/>
                  <a:lumOff val="35000"/>
                </a:schemeClr>
              </a:solidFill>
              <a:latin typeface="+mj-lt"/>
              <a:ea typeface="+mj-ea"/>
              <a:cs typeface="+mj-cs"/>
            </a:defRPr>
          </a:pPr>
          <a:endParaRPr lang="hu-HU"/>
        </a:p>
      </c:txPr>
    </c:title>
    <c:autoTitleDeleted val="0"/>
    <c:view3D>
      <c:rotX val="40"/>
      <c:rotY val="3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3699842734382128"/>
          <c:y val="0.18647923768811844"/>
          <c:w val="0.84936830748917125"/>
          <c:h val="0.56947438651857551"/>
        </c:manualLayout>
      </c:layout>
      <c:bar3DChart>
        <c:barDir val="col"/>
        <c:grouping val="clustered"/>
        <c:varyColors val="0"/>
        <c:ser>
          <c:idx val="0"/>
          <c:order val="0"/>
          <c:tx>
            <c:strRef>
              <c:f>'Létszám, bér'!$A$53</c:f>
              <c:strCache>
                <c:ptCount val="1"/>
                <c:pt idx="0">
                  <c:v>ZRt. átlagkereset</c:v>
                </c:pt>
              </c:strCache>
            </c:strRef>
          </c:tx>
          <c:spPr>
            <a:solidFill>
              <a:schemeClr val="accent1"/>
            </a:solidFill>
            <a:ln>
              <a:noFill/>
            </a:ln>
            <a:effectLst/>
            <a:sp3d/>
          </c:spPr>
          <c:invertIfNegative val="0"/>
          <c:dLbls>
            <c:dLbl>
              <c:idx val="0"/>
              <c:layout>
                <c:manualLayout>
                  <c:x val="-3.1174499259605643E-3"/>
                  <c:y val="0.15512465373961226"/>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0"/>
                  <c:y val="0.17359187442289936"/>
                </c:manualLayout>
              </c:layout>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
                  <c:y val="0.16989843028624191"/>
                </c:manualLayout>
              </c:layout>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0"/>
                  <c:y val="0.18836565096952915"/>
                </c:manualLayout>
              </c:layout>
              <c:showLegendKey val="0"/>
              <c:showVal val="1"/>
              <c:showCatName val="0"/>
              <c:showSerName val="0"/>
              <c:showPercent val="0"/>
              <c:showBubbleSize val="0"/>
              <c:extLst>
                <c:ext xmlns:c15="http://schemas.microsoft.com/office/drawing/2012/chart" uri="{CE6537A1-D6FC-4f65-9D91-7224C49458BB}">
                  <c15:layout/>
                </c:ext>
              </c:extLst>
            </c:dLbl>
            <c:dLbl>
              <c:idx val="4"/>
              <c:layout>
                <c:manualLayout>
                  <c:x val="1.5587249629802822E-3"/>
                  <c:y val="0.21052631578947367"/>
                </c:manualLayout>
              </c:layout>
              <c:showLegendKey val="0"/>
              <c:showVal val="1"/>
              <c:showCatName val="0"/>
              <c:showSerName val="0"/>
              <c:showPercent val="0"/>
              <c:showBubbleSize val="0"/>
              <c:extLst>
                <c:ext xmlns:c15="http://schemas.microsoft.com/office/drawing/2012/chart" uri="{CE6537A1-D6FC-4f65-9D91-7224C49458BB}">
                  <c15:layout/>
                </c:ext>
              </c:extLst>
            </c:dLbl>
            <c:dLbl>
              <c:idx val="5"/>
              <c:layout>
                <c:manualLayout>
                  <c:x val="0"/>
                  <c:y val="0.23268698060941823"/>
                </c:manualLayout>
              </c:layout>
              <c:showLegendKey val="0"/>
              <c:showVal val="1"/>
              <c:showCatName val="0"/>
              <c:showSerName val="0"/>
              <c:showPercent val="0"/>
              <c:showBubbleSize val="0"/>
              <c:extLst>
                <c:ext xmlns:c15="http://schemas.microsoft.com/office/drawing/2012/chart" uri="{CE6537A1-D6FC-4f65-9D91-7224C49458BB}">
                  <c15:layout/>
                </c:ext>
              </c:extLst>
            </c:dLbl>
            <c:dLbl>
              <c:idx val="6"/>
              <c:layout>
                <c:manualLayout>
                  <c:x val="0"/>
                  <c:y val="0.25854108956602029"/>
                </c:manualLayout>
              </c:layout>
              <c:showLegendKey val="0"/>
              <c:showVal val="1"/>
              <c:showCatName val="0"/>
              <c:showSerName val="0"/>
              <c:showPercent val="0"/>
              <c:showBubbleSize val="0"/>
              <c:extLst>
                <c:ext xmlns:c15="http://schemas.microsoft.com/office/drawing/2012/chart" uri="{CE6537A1-D6FC-4f65-9D91-7224C49458BB}">
                  <c15:layout/>
                </c:ext>
              </c:extLst>
            </c:dLbl>
            <c:dLbl>
              <c:idx val="7"/>
              <c:layout>
                <c:manualLayout>
                  <c:x val="-1.1430517682206399E-16"/>
                  <c:y val="0.3176361957525391"/>
                </c:manualLayout>
              </c:layout>
              <c:showLegendKey val="0"/>
              <c:showVal val="1"/>
              <c:showCatName val="0"/>
              <c:showSerName val="0"/>
              <c:showPercent val="0"/>
              <c:showBubbleSize val="0"/>
              <c:extLst>
                <c:ext xmlns:c15="http://schemas.microsoft.com/office/drawing/2012/chart" uri="{CE6537A1-D6FC-4f65-9D91-7224C49458BB}">
                  <c15:layout/>
                </c:ext>
              </c:extLst>
            </c:dLbl>
            <c:spPr>
              <a:solidFill>
                <a:sysClr val="windowText" lastClr="000000">
                  <a:lumMod val="15000"/>
                  <a:lumOff val="85000"/>
                </a:sysClr>
              </a:solidFill>
              <a:ln>
                <a:noFill/>
              </a:ln>
              <a:effectLst/>
            </c:spPr>
            <c:txPr>
              <a:bodyPr rot="-5400000" spcFirstLastPara="1" vertOverflow="clip" horzOverflow="clip" vert="horz" wrap="square" lIns="38100" tIns="19050" rIns="38100" bIns="19050" anchor="ctr" anchorCtr="0">
                <a:spAutoFit/>
              </a:bodyPr>
              <a:lstStyle/>
              <a:p>
                <a:pPr>
                  <a:defRPr sz="700" b="0" i="0" u="none" strike="noStrike" kern="1200" baseline="0">
                    <a:solidFill>
                      <a:schemeClr val="dk1">
                        <a:lumMod val="75000"/>
                        <a:lumOff val="25000"/>
                      </a:schemeClr>
                    </a:solidFill>
                    <a:latin typeface="+mn-lt"/>
                    <a:ea typeface="+mn-ea"/>
                    <a:cs typeface="+mn-cs"/>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a:noFill/>
                  <a:ln>
                    <a:noFill/>
                  </a:ln>
                </c15:spPr>
                <c15:showLeaderLines val="0"/>
              </c:ext>
            </c:extLst>
          </c:dLbls>
          <c:cat>
            <c:strRef>
              <c:f>'Létszám, bér'!$B$52:$N$52</c:f>
              <c:strCache>
                <c:ptCount val="8"/>
                <c:pt idx="0">
                  <c:v>2015.</c:v>
                </c:pt>
                <c:pt idx="1">
                  <c:v>2016.</c:v>
                </c:pt>
                <c:pt idx="2">
                  <c:v>2017.</c:v>
                </c:pt>
                <c:pt idx="3">
                  <c:v>2018.</c:v>
                </c:pt>
                <c:pt idx="4">
                  <c:v>2019.</c:v>
                </c:pt>
                <c:pt idx="5">
                  <c:v>2020.</c:v>
                </c:pt>
                <c:pt idx="6">
                  <c:v>2021.</c:v>
                </c:pt>
                <c:pt idx="7">
                  <c:v>2022.</c:v>
                </c:pt>
              </c:strCache>
            </c:strRef>
          </c:cat>
          <c:val>
            <c:numRef>
              <c:f>'Létszám, bér'!$B$53:$N$53</c:f>
              <c:numCache>
                <c:formatCode>#,##0</c:formatCode>
                <c:ptCount val="8"/>
                <c:pt idx="0">
                  <c:v>249502.59467814953</c:v>
                </c:pt>
                <c:pt idx="1">
                  <c:v>254591.63898117386</c:v>
                </c:pt>
                <c:pt idx="2">
                  <c:v>276121</c:v>
                </c:pt>
                <c:pt idx="3">
                  <c:v>298656</c:v>
                </c:pt>
                <c:pt idx="4">
                  <c:v>332349</c:v>
                </c:pt>
                <c:pt idx="5">
                  <c:v>343330</c:v>
                </c:pt>
                <c:pt idx="6">
                  <c:v>371840</c:v>
                </c:pt>
                <c:pt idx="7">
                  <c:v>417739</c:v>
                </c:pt>
              </c:numCache>
            </c:numRef>
          </c:val>
        </c:ser>
        <c:ser>
          <c:idx val="1"/>
          <c:order val="1"/>
          <c:tx>
            <c:strRef>
              <c:f>'Létszám, bér'!$A$54</c:f>
              <c:strCache>
                <c:ptCount val="1"/>
                <c:pt idx="0">
                  <c:v>nemzetgazdasági átlagkereset</c:v>
                </c:pt>
              </c:strCache>
            </c:strRef>
          </c:tx>
          <c:spPr>
            <a:solidFill>
              <a:schemeClr val="accent2"/>
            </a:solidFill>
            <a:ln>
              <a:noFill/>
            </a:ln>
            <a:effectLst/>
            <a:sp3d/>
          </c:spPr>
          <c:invertIfNegative val="0"/>
          <c:dLbls>
            <c:dLbl>
              <c:idx val="0"/>
              <c:layout>
                <c:manualLayout>
                  <c:x val="1.5587249629802822E-3"/>
                  <c:y val="0.15512465373961218"/>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1.5587249629802822E-3"/>
                  <c:y val="0.18097876269621416"/>
                </c:manualLayout>
              </c:layout>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
                  <c:y val="0.19205909510618646"/>
                </c:manualLayout>
              </c:layout>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1.5587249629802249E-3"/>
                  <c:y val="0.21791320406278855"/>
                </c:manualLayout>
              </c:layout>
              <c:showLegendKey val="0"/>
              <c:showVal val="1"/>
              <c:showCatName val="0"/>
              <c:showSerName val="0"/>
              <c:showPercent val="0"/>
              <c:showBubbleSize val="0"/>
              <c:extLst>
                <c:ext xmlns:c15="http://schemas.microsoft.com/office/drawing/2012/chart" uri="{CE6537A1-D6FC-4f65-9D91-7224C49458BB}">
                  <c15:layout/>
                </c:ext>
              </c:extLst>
            </c:dLbl>
            <c:dLbl>
              <c:idx val="4"/>
              <c:layout>
                <c:manualLayout>
                  <c:x val="1.5587249629802822E-3"/>
                  <c:y val="0.24007386888273316"/>
                </c:manualLayout>
              </c:layout>
              <c:showLegendKey val="0"/>
              <c:showVal val="1"/>
              <c:showCatName val="0"/>
              <c:showSerName val="0"/>
              <c:showPercent val="0"/>
              <c:showBubbleSize val="0"/>
              <c:extLst>
                <c:ext xmlns:c15="http://schemas.microsoft.com/office/drawing/2012/chart" uri="{CE6537A1-D6FC-4f65-9D91-7224C49458BB}">
                  <c15:layout/>
                </c:ext>
              </c:extLst>
            </c:dLbl>
            <c:dLbl>
              <c:idx val="5"/>
              <c:layout>
                <c:manualLayout>
                  <c:x val="1.5587249629801679E-3"/>
                  <c:y val="0.28808864265927986"/>
                </c:manualLayout>
              </c:layout>
              <c:showLegendKey val="0"/>
              <c:showVal val="1"/>
              <c:showCatName val="0"/>
              <c:showSerName val="0"/>
              <c:showPercent val="0"/>
              <c:showBubbleSize val="0"/>
              <c:extLst>
                <c:ext xmlns:c15="http://schemas.microsoft.com/office/drawing/2012/chart" uri="{CE6537A1-D6FC-4f65-9D91-7224C49458BB}">
                  <c15:layout/>
                </c:ext>
              </c:extLst>
            </c:dLbl>
            <c:dLbl>
              <c:idx val="6"/>
              <c:layout>
                <c:manualLayout>
                  <c:x val="1.5587249629802822E-3"/>
                  <c:y val="0.33240997229916897"/>
                </c:manualLayout>
              </c:layout>
              <c:showLegendKey val="0"/>
              <c:showVal val="1"/>
              <c:showCatName val="0"/>
              <c:showSerName val="0"/>
              <c:showPercent val="0"/>
              <c:showBubbleSize val="0"/>
              <c:extLst>
                <c:ext xmlns:c15="http://schemas.microsoft.com/office/drawing/2012/chart" uri="{CE6537A1-D6FC-4f65-9D91-7224C49458BB}">
                  <c15:layout/>
                </c:ext>
              </c:extLst>
            </c:dLbl>
            <c:dLbl>
              <c:idx val="7"/>
              <c:layout>
                <c:manualLayout>
                  <c:x val="1.5587249629802822E-3"/>
                  <c:y val="0.35087719298245612"/>
                </c:manualLayout>
              </c:layout>
              <c:showLegendKey val="0"/>
              <c:showVal val="1"/>
              <c:showCatName val="0"/>
              <c:showSerName val="0"/>
              <c:showPercent val="0"/>
              <c:showBubbleSize val="0"/>
              <c:extLst>
                <c:ext xmlns:c15="http://schemas.microsoft.com/office/drawing/2012/chart" uri="{CE6537A1-D6FC-4f65-9D91-7224C49458BB}">
                  <c15:layout/>
                </c:ext>
              </c:extLst>
            </c:dLbl>
            <c:spPr>
              <a:solidFill>
                <a:sysClr val="windowText" lastClr="000000">
                  <a:lumMod val="15000"/>
                  <a:lumOff val="85000"/>
                </a:sysClr>
              </a:solidFill>
              <a:ln>
                <a:noFill/>
              </a:ln>
              <a:effectLst/>
            </c:spPr>
            <c:txPr>
              <a:bodyPr rot="-5400000" spcFirstLastPara="1" vertOverflow="clip" horzOverflow="clip" vert="horz" wrap="square" lIns="38100" tIns="19050" rIns="38100" bIns="19050" anchor="ctr" anchorCtr="0">
                <a:spAutoFit/>
              </a:bodyPr>
              <a:lstStyle/>
              <a:p>
                <a:pPr>
                  <a:defRPr sz="700" b="0" i="0" u="none" strike="noStrike" kern="1200" baseline="0">
                    <a:solidFill>
                      <a:schemeClr val="dk1">
                        <a:lumMod val="75000"/>
                        <a:lumOff val="25000"/>
                      </a:schemeClr>
                    </a:solidFill>
                    <a:latin typeface="+mn-lt"/>
                    <a:ea typeface="+mn-ea"/>
                    <a:cs typeface="+mn-cs"/>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a:noFill/>
                  <a:ln>
                    <a:noFill/>
                  </a:ln>
                </c15:spPr>
                <c15:showLeaderLines val="0"/>
              </c:ext>
            </c:extLst>
          </c:dLbls>
          <c:cat>
            <c:strRef>
              <c:f>'Létszám, bér'!$B$52:$N$52</c:f>
              <c:strCache>
                <c:ptCount val="8"/>
                <c:pt idx="0">
                  <c:v>2015.</c:v>
                </c:pt>
                <c:pt idx="1">
                  <c:v>2016.</c:v>
                </c:pt>
                <c:pt idx="2">
                  <c:v>2017.</c:v>
                </c:pt>
                <c:pt idx="3">
                  <c:v>2018.</c:v>
                </c:pt>
                <c:pt idx="4">
                  <c:v>2019.</c:v>
                </c:pt>
                <c:pt idx="5">
                  <c:v>2020.</c:v>
                </c:pt>
                <c:pt idx="6">
                  <c:v>2021.</c:v>
                </c:pt>
                <c:pt idx="7">
                  <c:v>2022.</c:v>
                </c:pt>
              </c:strCache>
            </c:strRef>
          </c:cat>
          <c:val>
            <c:numRef>
              <c:f>'Létszám, bér'!$B$54:$N$54</c:f>
              <c:numCache>
                <c:formatCode>#,##0</c:formatCode>
                <c:ptCount val="8"/>
                <c:pt idx="0">
                  <c:v>247784</c:v>
                </c:pt>
                <c:pt idx="1">
                  <c:v>263171</c:v>
                </c:pt>
                <c:pt idx="2">
                  <c:v>297017</c:v>
                </c:pt>
                <c:pt idx="3">
                  <c:v>329943</c:v>
                </c:pt>
                <c:pt idx="4">
                  <c:v>367833</c:v>
                </c:pt>
                <c:pt idx="5">
                  <c:v>403616</c:v>
                </c:pt>
                <c:pt idx="6">
                  <c:v>438814</c:v>
                </c:pt>
                <c:pt idx="7">
                  <c:v>504300</c:v>
                </c:pt>
              </c:numCache>
            </c:numRef>
          </c:val>
        </c:ser>
        <c:dLbls>
          <c:showLegendKey val="0"/>
          <c:showVal val="0"/>
          <c:showCatName val="0"/>
          <c:showSerName val="0"/>
          <c:showPercent val="0"/>
          <c:showBubbleSize val="0"/>
        </c:dLbls>
        <c:gapWidth val="150"/>
        <c:shape val="box"/>
        <c:axId val="433075688"/>
        <c:axId val="433076472"/>
        <c:axId val="0"/>
      </c:bar3DChart>
      <c:catAx>
        <c:axId val="43307568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cap="none" spc="0" normalizeH="0" baseline="0">
                <a:solidFill>
                  <a:schemeClr val="tx1">
                    <a:lumMod val="65000"/>
                    <a:lumOff val="35000"/>
                  </a:schemeClr>
                </a:solidFill>
                <a:latin typeface="+mn-lt"/>
                <a:ea typeface="+mn-ea"/>
                <a:cs typeface="+mn-cs"/>
              </a:defRPr>
            </a:pPr>
            <a:endParaRPr lang="hu-HU"/>
          </a:p>
        </c:txPr>
        <c:crossAx val="433076472"/>
        <c:crosses val="autoZero"/>
        <c:auto val="1"/>
        <c:lblAlgn val="ctr"/>
        <c:lblOffset val="100"/>
        <c:noMultiLvlLbl val="0"/>
      </c:catAx>
      <c:valAx>
        <c:axId val="433076472"/>
        <c:scaling>
          <c:orientation val="minMax"/>
          <c:max val="4500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43307568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legend>
    <c:plotVisOnly val="1"/>
    <c:dispBlanksAs val="gap"/>
    <c:showDLblsOverMax val="0"/>
  </c:chart>
  <c:spPr>
    <a:solidFill>
      <a:schemeClr val="bg1"/>
    </a:solidFill>
    <a:ln w="9525" cap="flat" cmpd="sng" algn="ctr">
      <a:solidFill>
        <a:schemeClr val="tx1">
          <a:lumMod val="15000"/>
          <a:lumOff val="85000"/>
        </a:schemeClr>
      </a:solidFill>
      <a:round/>
    </a:ln>
    <a:effectLst/>
    <a:scene3d>
      <a:camera prst="orthographicFront"/>
      <a:lightRig rig="threePt" dir="t"/>
    </a:scene3d>
    <a:sp3d>
      <a:bevelT prst="relaxedInset"/>
    </a:sp3d>
  </c:spPr>
  <c:txPr>
    <a:bodyPr/>
    <a:lstStyle/>
    <a:p>
      <a:pPr>
        <a:defRPr/>
      </a:pPr>
      <a:endParaRPr lang="hu-HU"/>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r>
              <a:rPr lang="en-US" sz="1200" b="1"/>
              <a:t>El</a:t>
            </a:r>
            <a:r>
              <a:rPr lang="hu-HU" sz="1200" b="1"/>
              <a:t>sődleges tevékenységek</a:t>
            </a:r>
            <a:r>
              <a:rPr lang="hu-HU" sz="1200" b="1" baseline="0"/>
              <a:t> árbevétele (eFt)</a:t>
            </a:r>
          </a:p>
        </c:rich>
      </c:tx>
      <c:layout>
        <c:manualLayout>
          <c:xMode val="edge"/>
          <c:yMode val="edge"/>
          <c:x val="0.2204096675415573"/>
          <c:y val="0"/>
        </c:manualLayout>
      </c:layout>
      <c:overlay val="0"/>
      <c:spPr>
        <a:noFill/>
        <a:ln>
          <a:noFill/>
        </a:ln>
        <a:effectLst/>
      </c:spPr>
      <c:txPr>
        <a:bodyPr rot="0" spcFirstLastPara="1" vertOverflow="ellipsis" vert="horz" wrap="square" anchor="ctr" anchorCtr="1"/>
        <a:lstStyle/>
        <a:p>
          <a:pPr>
            <a:defRPr sz="1200" b="1" i="0" u="none" strike="noStrike" kern="1200" spc="0" baseline="0">
              <a:solidFill>
                <a:schemeClr val="tx1">
                  <a:lumMod val="65000"/>
                  <a:lumOff val="35000"/>
                </a:schemeClr>
              </a:solidFill>
              <a:latin typeface="+mn-lt"/>
              <a:ea typeface="+mn-ea"/>
              <a:cs typeface="+mn-cs"/>
            </a:defRPr>
          </a:pPr>
          <a:endParaRPr lang="hu-HU"/>
        </a:p>
      </c:txPr>
    </c:title>
    <c:autoTitleDeleted val="0"/>
    <c:plotArea>
      <c:layout>
        <c:manualLayout>
          <c:layoutTarget val="inner"/>
          <c:xMode val="edge"/>
          <c:yMode val="edge"/>
          <c:x val="0.17177559055118111"/>
          <c:y val="0.16662049861495848"/>
          <c:w val="0.82822440944881892"/>
          <c:h val="0.49435113893311811"/>
        </c:manualLayout>
      </c:layout>
      <c:barChart>
        <c:barDir val="col"/>
        <c:grouping val="clustered"/>
        <c:varyColors val="0"/>
        <c:ser>
          <c:idx val="0"/>
          <c:order val="0"/>
          <c:tx>
            <c:strRef>
              <c:f>Bevétel!$A$59</c:f>
              <c:strCache>
                <c:ptCount val="1"/>
                <c:pt idx="0">
                  <c:v>Ivóvíz szolgáltatás</c:v>
                </c:pt>
              </c:strCache>
            </c:strRef>
          </c:tx>
          <c:spPr>
            <a:solidFill>
              <a:schemeClr val="accent1">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mn-lt"/>
                    <a:ea typeface="+mn-ea"/>
                    <a:cs typeface="+mn-cs"/>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Bevétel!$B$58:$D$58</c:f>
              <c:strCache>
                <c:ptCount val="3"/>
                <c:pt idx="0">
                  <c:v>2021. 
tény</c:v>
                </c:pt>
                <c:pt idx="1">
                  <c:v>2022. évi
terv</c:v>
                </c:pt>
                <c:pt idx="2">
                  <c:v>2022. 
tény</c:v>
                </c:pt>
              </c:strCache>
            </c:strRef>
          </c:cat>
          <c:val>
            <c:numRef>
              <c:f>Bevétel!$B$59:$D$59</c:f>
              <c:numCache>
                <c:formatCode>#,##0</c:formatCode>
                <c:ptCount val="3"/>
                <c:pt idx="0">
                  <c:v>3020954</c:v>
                </c:pt>
                <c:pt idx="1">
                  <c:v>3018440</c:v>
                </c:pt>
                <c:pt idx="2">
                  <c:v>3005695</c:v>
                </c:pt>
              </c:numCache>
            </c:numRef>
          </c:val>
        </c:ser>
        <c:ser>
          <c:idx val="1"/>
          <c:order val="1"/>
          <c:tx>
            <c:strRef>
              <c:f>Bevétel!$A$60</c:f>
              <c:strCache>
                <c:ptCount val="1"/>
                <c:pt idx="0">
                  <c:v>Szennyvíz elvezetés, -tisztítás</c:v>
                </c:pt>
              </c:strCache>
            </c:strRef>
          </c:tx>
          <c:spPr>
            <a:solidFill>
              <a:schemeClr val="accent6">
                <a:lumMod val="40000"/>
                <a:lumOff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mn-lt"/>
                    <a:ea typeface="+mn-ea"/>
                    <a:cs typeface="+mn-cs"/>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Bevétel!$B$58:$D$58</c:f>
              <c:strCache>
                <c:ptCount val="3"/>
                <c:pt idx="0">
                  <c:v>2021. 
tény</c:v>
                </c:pt>
                <c:pt idx="1">
                  <c:v>2022. évi
terv</c:v>
                </c:pt>
                <c:pt idx="2">
                  <c:v>2022. 
tény</c:v>
                </c:pt>
              </c:strCache>
            </c:strRef>
          </c:cat>
          <c:val>
            <c:numRef>
              <c:f>Bevétel!$B$60:$D$60</c:f>
              <c:numCache>
                <c:formatCode>#,##0</c:formatCode>
                <c:ptCount val="3"/>
                <c:pt idx="0">
                  <c:v>3342231</c:v>
                </c:pt>
                <c:pt idx="1">
                  <c:v>3341256</c:v>
                </c:pt>
                <c:pt idx="2">
                  <c:v>3385157</c:v>
                </c:pt>
              </c:numCache>
            </c:numRef>
          </c:val>
        </c:ser>
        <c:ser>
          <c:idx val="2"/>
          <c:order val="2"/>
          <c:tx>
            <c:strRef>
              <c:f>Bevétel!$A$61</c:f>
              <c:strCache>
                <c:ptCount val="1"/>
                <c:pt idx="0">
                  <c:v>Elsődleges tevékenységek összesen</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mn-lt"/>
                    <a:ea typeface="+mn-ea"/>
                    <a:cs typeface="+mn-cs"/>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Bevétel!$B$58:$D$58</c:f>
              <c:strCache>
                <c:ptCount val="3"/>
                <c:pt idx="0">
                  <c:v>2021. 
tény</c:v>
                </c:pt>
                <c:pt idx="1">
                  <c:v>2022. évi
terv</c:v>
                </c:pt>
                <c:pt idx="2">
                  <c:v>2022. 
tény</c:v>
                </c:pt>
              </c:strCache>
            </c:strRef>
          </c:cat>
          <c:val>
            <c:numRef>
              <c:f>Bevétel!$B$61:$D$61</c:f>
              <c:numCache>
                <c:formatCode>#,##0</c:formatCode>
                <c:ptCount val="3"/>
                <c:pt idx="0">
                  <c:v>6363185</c:v>
                </c:pt>
                <c:pt idx="1">
                  <c:v>6359696</c:v>
                </c:pt>
                <c:pt idx="2">
                  <c:v>6390852</c:v>
                </c:pt>
              </c:numCache>
            </c:numRef>
          </c:val>
        </c:ser>
        <c:dLbls>
          <c:showLegendKey val="0"/>
          <c:showVal val="0"/>
          <c:showCatName val="0"/>
          <c:showSerName val="0"/>
          <c:showPercent val="0"/>
          <c:showBubbleSize val="0"/>
        </c:dLbls>
        <c:gapWidth val="219"/>
        <c:overlap val="-27"/>
        <c:axId val="433074512"/>
        <c:axId val="433070200"/>
      </c:barChart>
      <c:catAx>
        <c:axId val="4330745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433070200"/>
        <c:crosses val="autoZero"/>
        <c:auto val="1"/>
        <c:lblAlgn val="ctr"/>
        <c:lblOffset val="100"/>
        <c:noMultiLvlLbl val="0"/>
      </c:catAx>
      <c:valAx>
        <c:axId val="43307020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43307451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hu-H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5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96">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20.xml><?xml version="1.0" encoding="utf-8"?>
<cs:chartStyle xmlns:cs="http://schemas.microsoft.com/office/drawing/2012/chartStyle" xmlns:a="http://schemas.openxmlformats.org/drawingml/2006/main" id="348">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bodyPr rot="-5400000" spcFirstLastPara="1" vertOverflow="clip" horzOverflow="clip" vert="horz" wrap="square" lIns="38100" tIns="19050" rIns="38100" bIns="19050" anchor="ctr" anchorCtr="1">
      <a:spAutoFit/>
    </cs:bodyPr>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_rels/drawing1.xml.rels><?xml version="1.0" encoding="UTF-8" standalone="yes"?>
<Relationships xmlns="http://schemas.openxmlformats.org/package/2006/relationships"><Relationship Id="rId1" Type="http://schemas.openxmlformats.org/officeDocument/2006/relationships/image" Target="../media/image3.png"/></Relationships>
</file>

<file path=word/drawings/_rels/drawing6.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drawings/drawing1.xml><?xml version="1.0" encoding="utf-8"?>
<c:userShapes xmlns:c="http://schemas.openxmlformats.org/drawingml/2006/chart">
  <cdr:relSizeAnchor xmlns:cdr="http://schemas.openxmlformats.org/drawingml/2006/chartDrawing">
    <cdr:from>
      <cdr:x>0.08414</cdr:x>
      <cdr:y>0.83696</cdr:y>
    </cdr:from>
    <cdr:to>
      <cdr:x>0.89637</cdr:x>
      <cdr:y>0.88995</cdr:y>
    </cdr:to>
    <cdr:sp macro="" textlink="">
      <cdr:nvSpPr>
        <cdr:cNvPr id="3" name="Szövegdoboz 2"/>
        <cdr:cNvSpPr txBox="1"/>
      </cdr:nvSpPr>
      <cdr:spPr>
        <a:xfrm xmlns:a="http://schemas.openxmlformats.org/drawingml/2006/main">
          <a:off x="649606" y="4693920"/>
          <a:ext cx="6271260" cy="29718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hu-HU" sz="1100"/>
        </a:p>
      </cdr:txBody>
    </cdr:sp>
  </cdr:relSizeAnchor>
  <cdr:relSizeAnchor xmlns:cdr="http://schemas.openxmlformats.org/drawingml/2006/chartDrawing">
    <cdr:from>
      <cdr:x>0.0332</cdr:x>
      <cdr:y>0.95313</cdr:y>
    </cdr:from>
    <cdr:to>
      <cdr:x>0.98771</cdr:x>
      <cdr:y>1</cdr:y>
    </cdr:to>
    <cdr:pic>
      <cdr:nvPicPr>
        <cdr:cNvPr id="5" name="chart"/>
        <cdr:cNvPicPr>
          <a:picLocks xmlns:a="http://schemas.openxmlformats.org/drawingml/2006/main"/>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188460" y="2890615"/>
          <a:ext cx="5418658" cy="142145"/>
        </a:xfrm>
        <a:prstGeom xmlns:a="http://schemas.openxmlformats.org/drawingml/2006/main" prst="rect">
          <a:avLst/>
        </a:prstGeom>
      </cdr:spPr>
    </cdr:pic>
  </cdr:relSizeAnchor>
</c:userShapes>
</file>

<file path=word/drawings/drawing2.xml><?xml version="1.0" encoding="utf-8"?>
<c:userShapes xmlns:c="http://schemas.openxmlformats.org/drawingml/2006/chart">
  <cdr:relSizeAnchor xmlns:cdr="http://schemas.openxmlformats.org/drawingml/2006/chartDrawing">
    <cdr:from>
      <cdr:x>0.0689</cdr:x>
      <cdr:y>0.097</cdr:y>
    </cdr:from>
    <cdr:to>
      <cdr:x>0.11063</cdr:x>
      <cdr:y>0.13757</cdr:y>
    </cdr:to>
    <cdr:sp macro="" textlink="">
      <cdr:nvSpPr>
        <cdr:cNvPr id="4" name="Szövegdoboz 3"/>
        <cdr:cNvSpPr txBox="1"/>
      </cdr:nvSpPr>
      <cdr:spPr>
        <a:xfrm xmlns:a="http://schemas.openxmlformats.org/drawingml/2006/main">
          <a:off x="429394" y="336618"/>
          <a:ext cx="260084" cy="140789"/>
        </a:xfrm>
        <a:prstGeom xmlns:a="http://schemas.openxmlformats.org/drawingml/2006/main" prst="rect">
          <a:avLst/>
        </a:prstGeom>
        <a:noFill xmlns:a="http://schemas.openxmlformats.org/drawingml/2006/main"/>
      </cdr:spPr>
      <cdr:txBody>
        <a:bodyPr xmlns:a="http://schemas.openxmlformats.org/drawingml/2006/main" vertOverflow="clip" wrap="none" rtlCol="0"/>
        <a:lstStyle xmlns:a="http://schemas.openxmlformats.org/drawingml/2006/main"/>
        <a:p xmlns:a="http://schemas.openxmlformats.org/drawingml/2006/main">
          <a:r>
            <a:rPr lang="hu-HU" sz="800" b="1">
              <a:latin typeface="Arial" panose="020B0604020202020204" pitchFamily="34" charset="0"/>
              <a:cs typeface="Arial" panose="020B0604020202020204" pitchFamily="34" charset="0"/>
            </a:rPr>
            <a:t>em3</a:t>
          </a:r>
        </a:p>
      </cdr:txBody>
    </cdr:sp>
  </cdr:relSizeAnchor>
</c:userShapes>
</file>

<file path=word/drawings/drawing3.xml><?xml version="1.0" encoding="utf-8"?>
<c:userShapes xmlns:c="http://schemas.openxmlformats.org/drawingml/2006/chart">
  <cdr:relSizeAnchor xmlns:cdr="http://schemas.openxmlformats.org/drawingml/2006/chartDrawing">
    <cdr:from>
      <cdr:x>0.11728</cdr:x>
      <cdr:y>0.09624</cdr:y>
    </cdr:from>
    <cdr:to>
      <cdr:x>0.18614</cdr:x>
      <cdr:y>0.1974</cdr:y>
    </cdr:to>
    <cdr:sp macro="" textlink="">
      <cdr:nvSpPr>
        <cdr:cNvPr id="3" name="Szövegdoboz 2"/>
        <cdr:cNvSpPr txBox="1"/>
      </cdr:nvSpPr>
      <cdr:spPr>
        <a:xfrm xmlns:a="http://schemas.openxmlformats.org/drawingml/2006/main">
          <a:off x="585356" y="228254"/>
          <a:ext cx="343675" cy="239919"/>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hu-HU" sz="1100" b="1"/>
            <a:t>eFt</a:t>
          </a:r>
        </a:p>
      </cdr:txBody>
    </cdr:sp>
  </cdr:relSizeAnchor>
</c:userShapes>
</file>

<file path=word/drawings/drawing4.xml><?xml version="1.0" encoding="utf-8"?>
<c:userShapes xmlns:c="http://schemas.openxmlformats.org/drawingml/2006/chart">
  <cdr:relSizeAnchor xmlns:cdr="http://schemas.openxmlformats.org/drawingml/2006/chartDrawing">
    <cdr:from>
      <cdr:x>0.29645</cdr:x>
      <cdr:y>0.43772</cdr:y>
    </cdr:from>
    <cdr:to>
      <cdr:x>0.3198</cdr:x>
      <cdr:y>0.78829</cdr:y>
    </cdr:to>
    <cdr:sp macro="" textlink="">
      <cdr:nvSpPr>
        <cdr:cNvPr id="2" name="Jobb oldali kapcsos zárójel 1"/>
        <cdr:cNvSpPr/>
      </cdr:nvSpPr>
      <cdr:spPr>
        <a:xfrm xmlns:a="http://schemas.openxmlformats.org/drawingml/2006/main">
          <a:off x="2295658" y="1851155"/>
          <a:ext cx="180843" cy="1482595"/>
        </a:xfrm>
        <a:prstGeom xmlns:a="http://schemas.openxmlformats.org/drawingml/2006/main" prst="rightBrac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hu-HU"/>
        </a:p>
      </cdr:txBody>
    </cdr:sp>
  </cdr:relSizeAnchor>
  <cdr:relSizeAnchor xmlns:cdr="http://schemas.openxmlformats.org/drawingml/2006/chartDrawing">
    <cdr:from>
      <cdr:x>0.58697</cdr:x>
      <cdr:y>0.22522</cdr:y>
    </cdr:from>
    <cdr:to>
      <cdr:x>0.59533</cdr:x>
      <cdr:y>0.79395</cdr:y>
    </cdr:to>
    <cdr:sp macro="" textlink="">
      <cdr:nvSpPr>
        <cdr:cNvPr id="3" name="Jobb oldali kapcsos zárójel 2"/>
        <cdr:cNvSpPr/>
      </cdr:nvSpPr>
      <cdr:spPr>
        <a:xfrm xmlns:a="http://schemas.openxmlformats.org/drawingml/2006/main">
          <a:off x="4545416" y="952499"/>
          <a:ext cx="64686" cy="2405205"/>
        </a:xfrm>
        <a:prstGeom xmlns:a="http://schemas.openxmlformats.org/drawingml/2006/main" prst="rightBrac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txBody>
        <a:bodyPr xmlns:a="http://schemas.openxmlformats.org/drawingml/2006/main"/>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endParaRPr lang="hu-HU"/>
        </a:p>
      </cdr:txBody>
    </cdr:sp>
  </cdr:relSizeAnchor>
  <cdr:relSizeAnchor xmlns:cdr="http://schemas.openxmlformats.org/drawingml/2006/chartDrawing">
    <cdr:from>
      <cdr:x>0.86839</cdr:x>
      <cdr:y>0.18686</cdr:y>
    </cdr:from>
    <cdr:to>
      <cdr:x>0.89246</cdr:x>
      <cdr:y>0.79111</cdr:y>
    </cdr:to>
    <cdr:sp macro="" textlink="">
      <cdr:nvSpPr>
        <cdr:cNvPr id="4" name="Jobb oldali kapcsos zárójel 3"/>
        <cdr:cNvSpPr/>
      </cdr:nvSpPr>
      <cdr:spPr>
        <a:xfrm xmlns:a="http://schemas.openxmlformats.org/drawingml/2006/main">
          <a:off x="6724666" y="790266"/>
          <a:ext cx="186360" cy="2555399"/>
        </a:xfrm>
        <a:prstGeom xmlns:a="http://schemas.openxmlformats.org/drawingml/2006/main" prst="rightBrac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txBody>
        <a:bodyPr xmlns:a="http://schemas.openxmlformats.org/drawingml/2006/main"/>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endParaRPr lang="hu-HU"/>
        </a:p>
      </cdr:txBody>
    </cdr:sp>
  </cdr:relSizeAnchor>
  <cdr:relSizeAnchor xmlns:cdr="http://schemas.openxmlformats.org/drawingml/2006/chartDrawing">
    <cdr:from>
      <cdr:x>0.60662</cdr:x>
      <cdr:y>0.47948</cdr:y>
    </cdr:from>
    <cdr:to>
      <cdr:x>0.76177</cdr:x>
      <cdr:y>0.56352</cdr:y>
    </cdr:to>
    <cdr:sp macro="" textlink="">
      <cdr:nvSpPr>
        <cdr:cNvPr id="6" name="Szövegdoboz 3"/>
        <cdr:cNvSpPr txBox="1"/>
      </cdr:nvSpPr>
      <cdr:spPr>
        <a:xfrm xmlns:a="http://schemas.openxmlformats.org/drawingml/2006/main">
          <a:off x="4697596" y="2027785"/>
          <a:ext cx="1201423" cy="355386"/>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hu-HU" sz="1100"/>
            <a:t>1 340 230</a:t>
          </a:r>
        </a:p>
      </cdr:txBody>
    </cdr:sp>
  </cdr:relSizeAnchor>
  <cdr:relSizeAnchor xmlns:cdr="http://schemas.openxmlformats.org/drawingml/2006/chartDrawing">
    <cdr:from>
      <cdr:x>0.87746</cdr:x>
      <cdr:y>0.45921</cdr:y>
    </cdr:from>
    <cdr:to>
      <cdr:x>1</cdr:x>
      <cdr:y>0.53044</cdr:y>
    </cdr:to>
    <cdr:sp macro="" textlink="">
      <cdr:nvSpPr>
        <cdr:cNvPr id="7" name="Szövegdoboz 3"/>
        <cdr:cNvSpPr txBox="1"/>
      </cdr:nvSpPr>
      <cdr:spPr>
        <a:xfrm xmlns:a="http://schemas.openxmlformats.org/drawingml/2006/main">
          <a:off x="5468770" y="1562967"/>
          <a:ext cx="763755" cy="242439"/>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hu-HU" sz="1100"/>
            <a:t>1 415 484</a:t>
          </a:r>
        </a:p>
      </cdr:txBody>
    </cdr:sp>
  </cdr:relSizeAnchor>
  <cdr:relSizeAnchor xmlns:cdr="http://schemas.openxmlformats.org/drawingml/2006/chartDrawing">
    <cdr:from>
      <cdr:x>0.33497</cdr:x>
      <cdr:y>0.56607</cdr:y>
    </cdr:from>
    <cdr:to>
      <cdr:x>0.49012</cdr:x>
      <cdr:y>0.65011</cdr:y>
    </cdr:to>
    <cdr:sp macro="" textlink="">
      <cdr:nvSpPr>
        <cdr:cNvPr id="8" name="Szövegdoboz 3"/>
        <cdr:cNvSpPr txBox="1"/>
      </cdr:nvSpPr>
      <cdr:spPr>
        <a:xfrm xmlns:a="http://schemas.openxmlformats.org/drawingml/2006/main">
          <a:off x="2593975" y="2393950"/>
          <a:ext cx="1201454" cy="355413"/>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hu-HU" sz="1100">
              <a:solidFill>
                <a:schemeClr val="dk1"/>
              </a:solidFill>
              <a:effectLst/>
              <a:latin typeface="+mn-lt"/>
              <a:ea typeface="+mn-ea"/>
              <a:cs typeface="+mn-cs"/>
            </a:rPr>
            <a:t>850 622</a:t>
          </a:r>
          <a:endParaRPr lang="hu-HU">
            <a:effectLst/>
          </a:endParaRPr>
        </a:p>
      </cdr:txBody>
    </cdr:sp>
  </cdr:relSizeAnchor>
</c:userShapes>
</file>

<file path=word/drawings/drawing5.xml><?xml version="1.0" encoding="utf-8"?>
<c:userShapes xmlns:c="http://schemas.openxmlformats.org/drawingml/2006/chart">
  <cdr:relSizeAnchor xmlns:cdr="http://schemas.openxmlformats.org/drawingml/2006/chartDrawing">
    <cdr:from>
      <cdr:x>0.5824</cdr:x>
      <cdr:y>0.24893</cdr:y>
    </cdr:from>
    <cdr:to>
      <cdr:x>0.61384</cdr:x>
      <cdr:y>0.82314</cdr:y>
    </cdr:to>
    <cdr:sp macro="" textlink="">
      <cdr:nvSpPr>
        <cdr:cNvPr id="2" name="Jobb oldali kapcsos zárójel 1"/>
        <cdr:cNvSpPr/>
      </cdr:nvSpPr>
      <cdr:spPr>
        <a:xfrm xmlns:a="http://schemas.openxmlformats.org/drawingml/2006/main">
          <a:off x="3528148" y="878490"/>
          <a:ext cx="190432" cy="2026379"/>
        </a:xfrm>
        <a:prstGeom xmlns:a="http://schemas.openxmlformats.org/drawingml/2006/main" prst="rightBrac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pPr algn="l"/>
          <a:endParaRPr lang="hu-HU" sz="1100"/>
        </a:p>
      </cdr:txBody>
    </cdr:sp>
  </cdr:relSizeAnchor>
  <cdr:relSizeAnchor xmlns:cdr="http://schemas.openxmlformats.org/drawingml/2006/chartDrawing">
    <cdr:from>
      <cdr:x>0.86185</cdr:x>
      <cdr:y>0.26433</cdr:y>
    </cdr:from>
    <cdr:to>
      <cdr:x>0.89329</cdr:x>
      <cdr:y>0.83854</cdr:y>
    </cdr:to>
    <cdr:sp macro="" textlink="">
      <cdr:nvSpPr>
        <cdr:cNvPr id="5" name="Jobb oldali kapcsos zárójel 4"/>
        <cdr:cNvSpPr/>
      </cdr:nvSpPr>
      <cdr:spPr>
        <a:xfrm xmlns:a="http://schemas.openxmlformats.org/drawingml/2006/main">
          <a:off x="5226624" y="862823"/>
          <a:ext cx="190666" cy="1874334"/>
        </a:xfrm>
        <a:prstGeom xmlns:a="http://schemas.openxmlformats.org/drawingml/2006/main" prst="rightBrac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pPr algn="l"/>
          <a:endParaRPr lang="hu-HU" sz="1100"/>
        </a:p>
      </cdr:txBody>
    </cdr:sp>
  </cdr:relSizeAnchor>
  <cdr:relSizeAnchor xmlns:cdr="http://schemas.openxmlformats.org/drawingml/2006/chartDrawing">
    <cdr:from>
      <cdr:x>0.32757</cdr:x>
      <cdr:y>0.28745</cdr:y>
    </cdr:from>
    <cdr:to>
      <cdr:x>0.35377</cdr:x>
      <cdr:y>0.82882</cdr:y>
    </cdr:to>
    <cdr:sp macro="" textlink="">
      <cdr:nvSpPr>
        <cdr:cNvPr id="8" name="Jobb oldali kapcsos zárójel 7"/>
        <cdr:cNvSpPr/>
      </cdr:nvSpPr>
      <cdr:spPr>
        <a:xfrm xmlns:a="http://schemas.openxmlformats.org/drawingml/2006/main">
          <a:off x="1984375" y="1014414"/>
          <a:ext cx="158750" cy="1910490"/>
        </a:xfrm>
        <a:prstGeom xmlns:a="http://schemas.openxmlformats.org/drawingml/2006/main" prst="rightBrac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pPr algn="l"/>
          <a:endParaRPr lang="hu-HU" sz="1100"/>
        </a:p>
      </cdr:txBody>
    </cdr:sp>
  </cdr:relSizeAnchor>
</c:userShapes>
</file>

<file path=word/drawings/drawing6.xml><?xml version="1.0" encoding="utf-8"?>
<c:userShapes xmlns:c="http://schemas.openxmlformats.org/drawingml/2006/chart">
  <cdr:relSizeAnchor xmlns:cdr="http://schemas.openxmlformats.org/drawingml/2006/chartDrawing">
    <cdr:from>
      <cdr:x>0.1793</cdr:x>
      <cdr:y>0.85556</cdr:y>
    </cdr:from>
    <cdr:to>
      <cdr:x>0.33801</cdr:x>
      <cdr:y>0.93487</cdr:y>
    </cdr:to>
    <cdr:sp macro="" textlink="">
      <cdr:nvSpPr>
        <cdr:cNvPr id="3" name="Szövegdoboz 1"/>
        <cdr:cNvSpPr txBox="1"/>
      </cdr:nvSpPr>
      <cdr:spPr>
        <a:xfrm xmlns:a="http://schemas.openxmlformats.org/drawingml/2006/main">
          <a:off x="877158" y="2346960"/>
          <a:ext cx="776382" cy="217578"/>
        </a:xfrm>
        <a:prstGeom xmlns:a="http://schemas.openxmlformats.org/drawingml/2006/main" prst="rect">
          <a:avLst/>
        </a:prstGeom>
        <a:solidFill xmlns:a="http://schemas.openxmlformats.org/drawingml/2006/main">
          <a:srgbClr val="FFC000"/>
        </a:solidFill>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hu-HU" sz="900" b="1">
              <a:solidFill>
                <a:schemeClr val="tx1"/>
              </a:solidFill>
              <a:latin typeface="Times New Roman" panose="02020603050405020304" pitchFamily="18" charset="0"/>
              <a:cs typeface="Times New Roman" panose="02020603050405020304" pitchFamily="18" charset="0"/>
            </a:rPr>
            <a:t>2022 évi</a:t>
          </a:r>
          <a:r>
            <a:rPr lang="hu-HU" sz="1100" b="1">
              <a:solidFill>
                <a:schemeClr val="tx1"/>
              </a:solidFill>
              <a:latin typeface="Times New Roman" panose="02020603050405020304" pitchFamily="18" charset="0"/>
              <a:cs typeface="Times New Roman" panose="02020603050405020304" pitchFamily="18" charset="0"/>
            </a:rPr>
            <a:t>. terv</a:t>
          </a:r>
        </a:p>
      </cdr:txBody>
    </cdr:sp>
  </cdr:relSizeAnchor>
  <cdr:relSizeAnchor xmlns:cdr="http://schemas.openxmlformats.org/drawingml/2006/chartDrawing">
    <cdr:from>
      <cdr:x>0.44399</cdr:x>
      <cdr:y>0.85157</cdr:y>
    </cdr:from>
    <cdr:to>
      <cdr:x>0.59456</cdr:x>
      <cdr:y>0.96522</cdr:y>
    </cdr:to>
    <cdr:sp macro="" textlink="">
      <cdr:nvSpPr>
        <cdr:cNvPr id="5" name="Szövegdoboz 1"/>
        <cdr:cNvSpPr txBox="1"/>
      </cdr:nvSpPr>
      <cdr:spPr>
        <a:xfrm xmlns:a="http://schemas.openxmlformats.org/drawingml/2006/main">
          <a:off x="2951828" y="2798380"/>
          <a:ext cx="1001047" cy="373445"/>
        </a:xfrm>
        <a:prstGeom xmlns:a="http://schemas.openxmlformats.org/drawingml/2006/main" prst="rect">
          <a:avLst/>
        </a:prstGeom>
        <a:solidFill xmlns:a="http://schemas.openxmlformats.org/drawingml/2006/main">
          <a:srgbClr val="FFC000"/>
        </a:solidFill>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hu-HU" sz="900" b="1">
              <a:solidFill>
                <a:schemeClr val="tx1"/>
              </a:solidFill>
              <a:latin typeface="Times New Roman" panose="02020603050405020304" pitchFamily="18" charset="0"/>
              <a:cs typeface="Times New Roman" panose="02020603050405020304" pitchFamily="18" charset="0"/>
            </a:rPr>
            <a:t>2022. évi </a:t>
          </a:r>
        </a:p>
        <a:p xmlns:a="http://schemas.openxmlformats.org/drawingml/2006/main">
          <a:pPr algn="ctr"/>
          <a:r>
            <a:rPr lang="hu-HU" sz="900" b="1">
              <a:solidFill>
                <a:schemeClr val="tx1"/>
              </a:solidFill>
              <a:latin typeface="Times New Roman" panose="02020603050405020304" pitchFamily="18" charset="0"/>
              <a:cs typeface="Times New Roman" panose="02020603050405020304" pitchFamily="18" charset="0"/>
            </a:rPr>
            <a:t>tény</a:t>
          </a:r>
        </a:p>
      </cdr:txBody>
    </cdr:sp>
  </cdr:relSizeAnchor>
  <cdr:relSizeAnchor xmlns:cdr="http://schemas.openxmlformats.org/drawingml/2006/chartDrawing">
    <cdr:from>
      <cdr:x>0.71136</cdr:x>
      <cdr:y>0.14493</cdr:y>
    </cdr:from>
    <cdr:to>
      <cdr:x>0.94023</cdr:x>
      <cdr:y>0.49748</cdr:y>
    </cdr:to>
    <cdr:grpSp>
      <cdr:nvGrpSpPr>
        <cdr:cNvPr id="7" name="Csoportba foglalás 6"/>
        <cdr:cNvGrpSpPr/>
      </cdr:nvGrpSpPr>
      <cdr:grpSpPr>
        <a:xfrm xmlns:a="http://schemas.openxmlformats.org/drawingml/2006/main">
          <a:off x="4144189" y="448733"/>
          <a:ext cx="1333334" cy="1091566"/>
          <a:chOff x="4518423" y="482204"/>
          <a:chExt cx="1528474" cy="1158522"/>
        </a:xfrm>
      </cdr:grpSpPr>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4518423" y="1357315"/>
            <a:ext cx="1464467" cy="283411"/>
          </a:xfrm>
          <a:prstGeom xmlns:a="http://schemas.openxmlformats.org/drawingml/2006/main" prst="rect">
            <a:avLst/>
          </a:prstGeom>
        </cdr:spPr>
      </cdr:pic>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4667845" y="482204"/>
            <a:ext cx="1379052" cy="259221"/>
          </a:xfrm>
          <a:prstGeom xmlns:a="http://schemas.openxmlformats.org/drawingml/2006/main" prst="rect">
            <a:avLst/>
          </a:prstGeom>
        </cdr:spPr>
      </cdr:pic>
    </cdr:grpSp>
  </cdr:relSizeAnchor>
  <cdr:relSizeAnchor xmlns:cdr="http://schemas.openxmlformats.org/drawingml/2006/chartDrawing">
    <cdr:from>
      <cdr:x>0.31973</cdr:x>
      <cdr:y>0.07544</cdr:y>
    </cdr:from>
    <cdr:to>
      <cdr:x>0.34201</cdr:x>
      <cdr:y>0.78196</cdr:y>
    </cdr:to>
    <cdr:sp macro="" textlink="">
      <cdr:nvSpPr>
        <cdr:cNvPr id="8" name="Jobb oldali kapcsos zárójel 7"/>
        <cdr:cNvSpPr/>
      </cdr:nvSpPr>
      <cdr:spPr>
        <a:xfrm xmlns:a="http://schemas.openxmlformats.org/drawingml/2006/main">
          <a:off x="1831318" y="243346"/>
          <a:ext cx="127648" cy="2279057"/>
        </a:xfrm>
        <a:prstGeom xmlns:a="http://schemas.openxmlformats.org/drawingml/2006/main" prst="rightBrac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hu-HU"/>
        </a:p>
      </cdr:txBody>
    </cdr:sp>
  </cdr:relSizeAnchor>
  <cdr:relSizeAnchor xmlns:cdr="http://schemas.openxmlformats.org/drawingml/2006/chartDrawing">
    <cdr:from>
      <cdr:x>0.57515</cdr:x>
      <cdr:y>0.0945</cdr:y>
    </cdr:from>
    <cdr:to>
      <cdr:x>0.59744</cdr:x>
      <cdr:y>0.84353</cdr:y>
    </cdr:to>
    <cdr:sp macro="" textlink="">
      <cdr:nvSpPr>
        <cdr:cNvPr id="9" name="Jobb oldali kapcsos zárójel 8"/>
        <cdr:cNvSpPr/>
      </cdr:nvSpPr>
      <cdr:spPr>
        <a:xfrm xmlns:a="http://schemas.openxmlformats.org/drawingml/2006/main">
          <a:off x="3294319" y="304817"/>
          <a:ext cx="127647" cy="2416189"/>
        </a:xfrm>
        <a:prstGeom xmlns:a="http://schemas.openxmlformats.org/drawingml/2006/main" prst="rightBrac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txBody>
        <a:bodyPr xmlns:a="http://schemas.openxmlformats.org/drawingml/2006/main"/>
        <a:lstStyle xmlns:a="http://schemas.openxmlformats.org/drawingml/2006/main">
          <a:lvl1pPr marL="0" indent="0">
            <a:defRPr sz="1100">
              <a:solidFill>
                <a:schemeClr val="tx1"/>
              </a:solidFill>
              <a:latin typeface="+mn-lt"/>
              <a:ea typeface="+mn-ea"/>
              <a:cs typeface="+mn-cs"/>
            </a:defRPr>
          </a:lvl1pPr>
          <a:lvl2pPr marL="457200" indent="0">
            <a:defRPr sz="1100">
              <a:solidFill>
                <a:schemeClr val="tx1"/>
              </a:solidFill>
              <a:latin typeface="+mn-lt"/>
              <a:ea typeface="+mn-ea"/>
              <a:cs typeface="+mn-cs"/>
            </a:defRPr>
          </a:lvl2pPr>
          <a:lvl3pPr marL="914400" indent="0">
            <a:defRPr sz="1100">
              <a:solidFill>
                <a:schemeClr val="tx1"/>
              </a:solidFill>
              <a:latin typeface="+mn-lt"/>
              <a:ea typeface="+mn-ea"/>
              <a:cs typeface="+mn-cs"/>
            </a:defRPr>
          </a:lvl3pPr>
          <a:lvl4pPr marL="1371600" indent="0">
            <a:defRPr sz="1100">
              <a:solidFill>
                <a:schemeClr val="tx1"/>
              </a:solidFill>
              <a:latin typeface="+mn-lt"/>
              <a:ea typeface="+mn-ea"/>
              <a:cs typeface="+mn-cs"/>
            </a:defRPr>
          </a:lvl4pPr>
          <a:lvl5pPr marL="1828800" indent="0">
            <a:defRPr sz="1100">
              <a:solidFill>
                <a:schemeClr val="tx1"/>
              </a:solidFill>
              <a:latin typeface="+mn-lt"/>
              <a:ea typeface="+mn-ea"/>
              <a:cs typeface="+mn-cs"/>
            </a:defRPr>
          </a:lvl5pPr>
          <a:lvl6pPr marL="2286000" indent="0">
            <a:defRPr sz="1100">
              <a:solidFill>
                <a:schemeClr val="tx1"/>
              </a:solidFill>
              <a:latin typeface="+mn-lt"/>
              <a:ea typeface="+mn-ea"/>
              <a:cs typeface="+mn-cs"/>
            </a:defRPr>
          </a:lvl6pPr>
          <a:lvl7pPr marL="2743200" indent="0">
            <a:defRPr sz="1100">
              <a:solidFill>
                <a:schemeClr val="tx1"/>
              </a:solidFill>
              <a:latin typeface="+mn-lt"/>
              <a:ea typeface="+mn-ea"/>
              <a:cs typeface="+mn-cs"/>
            </a:defRPr>
          </a:lvl7pPr>
          <a:lvl8pPr marL="3200400" indent="0">
            <a:defRPr sz="1100">
              <a:solidFill>
                <a:schemeClr val="tx1"/>
              </a:solidFill>
              <a:latin typeface="+mn-lt"/>
              <a:ea typeface="+mn-ea"/>
              <a:cs typeface="+mn-cs"/>
            </a:defRPr>
          </a:lvl8pPr>
          <a:lvl9pPr marL="3657600" indent="0">
            <a:defRPr sz="1100">
              <a:solidFill>
                <a:schemeClr val="tx1"/>
              </a:solidFill>
              <a:latin typeface="+mn-lt"/>
              <a:ea typeface="+mn-ea"/>
              <a:cs typeface="+mn-cs"/>
            </a:defRPr>
          </a:lvl9pPr>
        </a:lstStyle>
        <a:p xmlns:a="http://schemas.openxmlformats.org/drawingml/2006/main">
          <a:endParaRPr lang="hu-HU"/>
        </a:p>
      </cdr:txBody>
    </cdr:sp>
  </cdr:relSizeAnchor>
  <cdr:relSizeAnchor xmlns:cdr="http://schemas.openxmlformats.org/drawingml/2006/chartDrawing">
    <cdr:from>
      <cdr:x>0.34855</cdr:x>
      <cdr:y>0.38949</cdr:y>
    </cdr:from>
    <cdr:to>
      <cdr:x>0.72877</cdr:x>
      <cdr:y>0.47017</cdr:y>
    </cdr:to>
    <cdr:grpSp>
      <cdr:nvGrpSpPr>
        <cdr:cNvPr id="12" name="Csoportba foglalás 11"/>
        <cdr:cNvGrpSpPr/>
      </cdr:nvGrpSpPr>
      <cdr:grpSpPr>
        <a:xfrm xmlns:a="http://schemas.openxmlformats.org/drawingml/2006/main">
          <a:off x="2030557" y="1205940"/>
          <a:ext cx="2215058" cy="249801"/>
          <a:chOff x="1996391" y="1184853"/>
          <a:chExt cx="2177820" cy="245423"/>
        </a:xfrm>
      </cdr:grpSpPr>
      <cdr:sp macro="" textlink="">
        <cdr:nvSpPr>
          <cdr:cNvPr id="10" name="Szövegdoboz 9"/>
          <cdr:cNvSpPr txBox="1"/>
        </cdr:nvSpPr>
        <cdr:spPr>
          <a:xfrm xmlns:a="http://schemas.openxmlformats.org/drawingml/2006/main">
            <a:off x="1996391" y="1184853"/>
            <a:ext cx="760773" cy="231460"/>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vertOverflow="clip" wrap="square" rtlCol="0"/>
          <a:lstStyle xmlns:a="http://schemas.openxmlformats.org/drawingml/2006/main"/>
          <a:p xmlns:a="http://schemas.openxmlformats.org/drawingml/2006/main">
            <a:r>
              <a:rPr lang="hu-HU" sz="1100" b="1">
                <a:latin typeface="Times New Roman" panose="02020603050405020304" pitchFamily="18" charset="0"/>
                <a:cs typeface="Times New Roman" panose="02020603050405020304" pitchFamily="18" charset="0"/>
              </a:rPr>
              <a:t>-789 944</a:t>
            </a:r>
          </a:p>
        </cdr:txBody>
      </cdr:sp>
      <cdr:sp macro="" textlink="">
        <cdr:nvSpPr>
          <cdr:cNvPr id="11" name="Szövegdoboz 1"/>
          <cdr:cNvSpPr txBox="1"/>
        </cdr:nvSpPr>
        <cdr:spPr>
          <a:xfrm xmlns:a="http://schemas.openxmlformats.org/drawingml/2006/main">
            <a:off x="3413438" y="1198815"/>
            <a:ext cx="760773" cy="231461"/>
          </a:xfrm>
          <a:prstGeom xmlns:a="http://schemas.openxmlformats.org/drawingml/2006/main" prst="rect">
            <a:avLst/>
          </a:prstGeom>
          <a:noFill xmlns:a="http://schemas.openxmlformats.org/drawingml/2006/main"/>
          <a:ln xmlns:a="http://schemas.openxmlformats.org/drawingml/2006/main">
            <a:noFill/>
          </a:ln>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hu-HU" sz="1100" b="1">
                <a:latin typeface="Times New Roman" panose="02020603050405020304" pitchFamily="18" charset="0"/>
                <a:cs typeface="Times New Roman" panose="02020603050405020304" pitchFamily="18" charset="0"/>
              </a:rPr>
              <a:t>-935</a:t>
            </a:r>
            <a:r>
              <a:rPr lang="hu-HU" sz="1100" b="1" baseline="0">
                <a:latin typeface="Times New Roman" panose="02020603050405020304" pitchFamily="18" charset="0"/>
                <a:cs typeface="Times New Roman" panose="02020603050405020304" pitchFamily="18" charset="0"/>
              </a:rPr>
              <a:t> 552</a:t>
            </a:r>
            <a:endParaRPr lang="hu-HU" sz="1100" b="1">
              <a:latin typeface="Times New Roman" panose="02020603050405020304" pitchFamily="18" charset="0"/>
              <a:cs typeface="Times New Roman" panose="02020603050405020304" pitchFamily="18" charset="0"/>
            </a:endParaRPr>
          </a:p>
        </cdr:txBody>
      </cdr:sp>
    </cdr:grpSp>
  </cdr:relSizeAnchor>
</c:userShapes>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009FA5-0185-4680-BCB2-3F19B44C98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46</Pages>
  <Words>12398</Words>
  <Characters>90170</Characters>
  <Application>Microsoft Office Word</Application>
  <DocSecurity>4</DocSecurity>
  <Lines>751</Lines>
  <Paragraphs>204</Paragraphs>
  <ScaleCrop>false</ScaleCrop>
  <HeadingPairs>
    <vt:vector size="2" baseType="variant">
      <vt:variant>
        <vt:lpstr>Cím</vt:lpstr>
      </vt:variant>
      <vt:variant>
        <vt:i4>1</vt:i4>
      </vt:variant>
    </vt:vector>
  </HeadingPairs>
  <TitlesOfParts>
    <vt:vector size="1" baseType="lpstr">
      <vt:lpstr>VASIVÍZ Vas megyei Víz- és Csatornamű RT</vt:lpstr>
    </vt:vector>
  </TitlesOfParts>
  <Company>VASIVÍZ RT</Company>
  <LinksUpToDate>false</LinksUpToDate>
  <CharactersWithSpaces>102364</CharactersWithSpaces>
  <SharedDoc>false</SharedDoc>
  <HLinks>
    <vt:vector size="336" baseType="variant">
      <vt:variant>
        <vt:i4>1310774</vt:i4>
      </vt:variant>
      <vt:variant>
        <vt:i4>320</vt:i4>
      </vt:variant>
      <vt:variant>
        <vt:i4>0</vt:i4>
      </vt:variant>
      <vt:variant>
        <vt:i4>5</vt:i4>
      </vt:variant>
      <vt:variant>
        <vt:lpwstr/>
      </vt:variant>
      <vt:variant>
        <vt:lpwstr>_Toc384198825</vt:lpwstr>
      </vt:variant>
      <vt:variant>
        <vt:i4>1310774</vt:i4>
      </vt:variant>
      <vt:variant>
        <vt:i4>314</vt:i4>
      </vt:variant>
      <vt:variant>
        <vt:i4>0</vt:i4>
      </vt:variant>
      <vt:variant>
        <vt:i4>5</vt:i4>
      </vt:variant>
      <vt:variant>
        <vt:lpwstr/>
      </vt:variant>
      <vt:variant>
        <vt:lpwstr>_Toc384198824</vt:lpwstr>
      </vt:variant>
      <vt:variant>
        <vt:i4>1310774</vt:i4>
      </vt:variant>
      <vt:variant>
        <vt:i4>308</vt:i4>
      </vt:variant>
      <vt:variant>
        <vt:i4>0</vt:i4>
      </vt:variant>
      <vt:variant>
        <vt:i4>5</vt:i4>
      </vt:variant>
      <vt:variant>
        <vt:lpwstr/>
      </vt:variant>
      <vt:variant>
        <vt:lpwstr>_Toc384198823</vt:lpwstr>
      </vt:variant>
      <vt:variant>
        <vt:i4>1310774</vt:i4>
      </vt:variant>
      <vt:variant>
        <vt:i4>302</vt:i4>
      </vt:variant>
      <vt:variant>
        <vt:i4>0</vt:i4>
      </vt:variant>
      <vt:variant>
        <vt:i4>5</vt:i4>
      </vt:variant>
      <vt:variant>
        <vt:lpwstr/>
      </vt:variant>
      <vt:variant>
        <vt:lpwstr>_Toc384198822</vt:lpwstr>
      </vt:variant>
      <vt:variant>
        <vt:i4>1310774</vt:i4>
      </vt:variant>
      <vt:variant>
        <vt:i4>296</vt:i4>
      </vt:variant>
      <vt:variant>
        <vt:i4>0</vt:i4>
      </vt:variant>
      <vt:variant>
        <vt:i4>5</vt:i4>
      </vt:variant>
      <vt:variant>
        <vt:lpwstr/>
      </vt:variant>
      <vt:variant>
        <vt:lpwstr>_Toc384198821</vt:lpwstr>
      </vt:variant>
      <vt:variant>
        <vt:i4>1310774</vt:i4>
      </vt:variant>
      <vt:variant>
        <vt:i4>290</vt:i4>
      </vt:variant>
      <vt:variant>
        <vt:i4>0</vt:i4>
      </vt:variant>
      <vt:variant>
        <vt:i4>5</vt:i4>
      </vt:variant>
      <vt:variant>
        <vt:lpwstr/>
      </vt:variant>
      <vt:variant>
        <vt:lpwstr>_Toc384198820</vt:lpwstr>
      </vt:variant>
      <vt:variant>
        <vt:i4>1507382</vt:i4>
      </vt:variant>
      <vt:variant>
        <vt:i4>284</vt:i4>
      </vt:variant>
      <vt:variant>
        <vt:i4>0</vt:i4>
      </vt:variant>
      <vt:variant>
        <vt:i4>5</vt:i4>
      </vt:variant>
      <vt:variant>
        <vt:lpwstr/>
      </vt:variant>
      <vt:variant>
        <vt:lpwstr>_Toc384198819</vt:lpwstr>
      </vt:variant>
      <vt:variant>
        <vt:i4>1507382</vt:i4>
      </vt:variant>
      <vt:variant>
        <vt:i4>278</vt:i4>
      </vt:variant>
      <vt:variant>
        <vt:i4>0</vt:i4>
      </vt:variant>
      <vt:variant>
        <vt:i4>5</vt:i4>
      </vt:variant>
      <vt:variant>
        <vt:lpwstr/>
      </vt:variant>
      <vt:variant>
        <vt:lpwstr>_Toc384198818</vt:lpwstr>
      </vt:variant>
      <vt:variant>
        <vt:i4>1507382</vt:i4>
      </vt:variant>
      <vt:variant>
        <vt:i4>272</vt:i4>
      </vt:variant>
      <vt:variant>
        <vt:i4>0</vt:i4>
      </vt:variant>
      <vt:variant>
        <vt:i4>5</vt:i4>
      </vt:variant>
      <vt:variant>
        <vt:lpwstr/>
      </vt:variant>
      <vt:variant>
        <vt:lpwstr>_Toc384198817</vt:lpwstr>
      </vt:variant>
      <vt:variant>
        <vt:i4>1507382</vt:i4>
      </vt:variant>
      <vt:variant>
        <vt:i4>266</vt:i4>
      </vt:variant>
      <vt:variant>
        <vt:i4>0</vt:i4>
      </vt:variant>
      <vt:variant>
        <vt:i4>5</vt:i4>
      </vt:variant>
      <vt:variant>
        <vt:lpwstr/>
      </vt:variant>
      <vt:variant>
        <vt:lpwstr>_Toc384198816</vt:lpwstr>
      </vt:variant>
      <vt:variant>
        <vt:i4>1507382</vt:i4>
      </vt:variant>
      <vt:variant>
        <vt:i4>260</vt:i4>
      </vt:variant>
      <vt:variant>
        <vt:i4>0</vt:i4>
      </vt:variant>
      <vt:variant>
        <vt:i4>5</vt:i4>
      </vt:variant>
      <vt:variant>
        <vt:lpwstr/>
      </vt:variant>
      <vt:variant>
        <vt:lpwstr>_Toc384198815</vt:lpwstr>
      </vt:variant>
      <vt:variant>
        <vt:i4>1507382</vt:i4>
      </vt:variant>
      <vt:variant>
        <vt:i4>254</vt:i4>
      </vt:variant>
      <vt:variant>
        <vt:i4>0</vt:i4>
      </vt:variant>
      <vt:variant>
        <vt:i4>5</vt:i4>
      </vt:variant>
      <vt:variant>
        <vt:lpwstr/>
      </vt:variant>
      <vt:variant>
        <vt:lpwstr>_Toc384198814</vt:lpwstr>
      </vt:variant>
      <vt:variant>
        <vt:i4>1507382</vt:i4>
      </vt:variant>
      <vt:variant>
        <vt:i4>248</vt:i4>
      </vt:variant>
      <vt:variant>
        <vt:i4>0</vt:i4>
      </vt:variant>
      <vt:variant>
        <vt:i4>5</vt:i4>
      </vt:variant>
      <vt:variant>
        <vt:lpwstr/>
      </vt:variant>
      <vt:variant>
        <vt:lpwstr>_Toc384198813</vt:lpwstr>
      </vt:variant>
      <vt:variant>
        <vt:i4>1507382</vt:i4>
      </vt:variant>
      <vt:variant>
        <vt:i4>242</vt:i4>
      </vt:variant>
      <vt:variant>
        <vt:i4>0</vt:i4>
      </vt:variant>
      <vt:variant>
        <vt:i4>5</vt:i4>
      </vt:variant>
      <vt:variant>
        <vt:lpwstr/>
      </vt:variant>
      <vt:variant>
        <vt:lpwstr>_Toc384198812</vt:lpwstr>
      </vt:variant>
      <vt:variant>
        <vt:i4>1507382</vt:i4>
      </vt:variant>
      <vt:variant>
        <vt:i4>236</vt:i4>
      </vt:variant>
      <vt:variant>
        <vt:i4>0</vt:i4>
      </vt:variant>
      <vt:variant>
        <vt:i4>5</vt:i4>
      </vt:variant>
      <vt:variant>
        <vt:lpwstr/>
      </vt:variant>
      <vt:variant>
        <vt:lpwstr>_Toc384198811</vt:lpwstr>
      </vt:variant>
      <vt:variant>
        <vt:i4>1507382</vt:i4>
      </vt:variant>
      <vt:variant>
        <vt:i4>230</vt:i4>
      </vt:variant>
      <vt:variant>
        <vt:i4>0</vt:i4>
      </vt:variant>
      <vt:variant>
        <vt:i4>5</vt:i4>
      </vt:variant>
      <vt:variant>
        <vt:lpwstr/>
      </vt:variant>
      <vt:variant>
        <vt:lpwstr>_Toc384198810</vt:lpwstr>
      </vt:variant>
      <vt:variant>
        <vt:i4>1441846</vt:i4>
      </vt:variant>
      <vt:variant>
        <vt:i4>224</vt:i4>
      </vt:variant>
      <vt:variant>
        <vt:i4>0</vt:i4>
      </vt:variant>
      <vt:variant>
        <vt:i4>5</vt:i4>
      </vt:variant>
      <vt:variant>
        <vt:lpwstr/>
      </vt:variant>
      <vt:variant>
        <vt:lpwstr>_Toc384198809</vt:lpwstr>
      </vt:variant>
      <vt:variant>
        <vt:i4>1441846</vt:i4>
      </vt:variant>
      <vt:variant>
        <vt:i4>218</vt:i4>
      </vt:variant>
      <vt:variant>
        <vt:i4>0</vt:i4>
      </vt:variant>
      <vt:variant>
        <vt:i4>5</vt:i4>
      </vt:variant>
      <vt:variant>
        <vt:lpwstr/>
      </vt:variant>
      <vt:variant>
        <vt:lpwstr>_Toc384198808</vt:lpwstr>
      </vt:variant>
      <vt:variant>
        <vt:i4>1441846</vt:i4>
      </vt:variant>
      <vt:variant>
        <vt:i4>212</vt:i4>
      </vt:variant>
      <vt:variant>
        <vt:i4>0</vt:i4>
      </vt:variant>
      <vt:variant>
        <vt:i4>5</vt:i4>
      </vt:variant>
      <vt:variant>
        <vt:lpwstr/>
      </vt:variant>
      <vt:variant>
        <vt:lpwstr>_Toc384198807</vt:lpwstr>
      </vt:variant>
      <vt:variant>
        <vt:i4>1441846</vt:i4>
      </vt:variant>
      <vt:variant>
        <vt:i4>206</vt:i4>
      </vt:variant>
      <vt:variant>
        <vt:i4>0</vt:i4>
      </vt:variant>
      <vt:variant>
        <vt:i4>5</vt:i4>
      </vt:variant>
      <vt:variant>
        <vt:lpwstr/>
      </vt:variant>
      <vt:variant>
        <vt:lpwstr>_Toc384198806</vt:lpwstr>
      </vt:variant>
      <vt:variant>
        <vt:i4>1441846</vt:i4>
      </vt:variant>
      <vt:variant>
        <vt:i4>200</vt:i4>
      </vt:variant>
      <vt:variant>
        <vt:i4>0</vt:i4>
      </vt:variant>
      <vt:variant>
        <vt:i4>5</vt:i4>
      </vt:variant>
      <vt:variant>
        <vt:lpwstr/>
      </vt:variant>
      <vt:variant>
        <vt:lpwstr>_Toc384198805</vt:lpwstr>
      </vt:variant>
      <vt:variant>
        <vt:i4>1441846</vt:i4>
      </vt:variant>
      <vt:variant>
        <vt:i4>194</vt:i4>
      </vt:variant>
      <vt:variant>
        <vt:i4>0</vt:i4>
      </vt:variant>
      <vt:variant>
        <vt:i4>5</vt:i4>
      </vt:variant>
      <vt:variant>
        <vt:lpwstr/>
      </vt:variant>
      <vt:variant>
        <vt:lpwstr>_Toc384198804</vt:lpwstr>
      </vt:variant>
      <vt:variant>
        <vt:i4>1441846</vt:i4>
      </vt:variant>
      <vt:variant>
        <vt:i4>188</vt:i4>
      </vt:variant>
      <vt:variant>
        <vt:i4>0</vt:i4>
      </vt:variant>
      <vt:variant>
        <vt:i4>5</vt:i4>
      </vt:variant>
      <vt:variant>
        <vt:lpwstr/>
      </vt:variant>
      <vt:variant>
        <vt:lpwstr>_Toc384198803</vt:lpwstr>
      </vt:variant>
      <vt:variant>
        <vt:i4>1441846</vt:i4>
      </vt:variant>
      <vt:variant>
        <vt:i4>182</vt:i4>
      </vt:variant>
      <vt:variant>
        <vt:i4>0</vt:i4>
      </vt:variant>
      <vt:variant>
        <vt:i4>5</vt:i4>
      </vt:variant>
      <vt:variant>
        <vt:lpwstr/>
      </vt:variant>
      <vt:variant>
        <vt:lpwstr>_Toc384198802</vt:lpwstr>
      </vt:variant>
      <vt:variant>
        <vt:i4>1441846</vt:i4>
      </vt:variant>
      <vt:variant>
        <vt:i4>176</vt:i4>
      </vt:variant>
      <vt:variant>
        <vt:i4>0</vt:i4>
      </vt:variant>
      <vt:variant>
        <vt:i4>5</vt:i4>
      </vt:variant>
      <vt:variant>
        <vt:lpwstr/>
      </vt:variant>
      <vt:variant>
        <vt:lpwstr>_Toc384198801</vt:lpwstr>
      </vt:variant>
      <vt:variant>
        <vt:i4>1441846</vt:i4>
      </vt:variant>
      <vt:variant>
        <vt:i4>170</vt:i4>
      </vt:variant>
      <vt:variant>
        <vt:i4>0</vt:i4>
      </vt:variant>
      <vt:variant>
        <vt:i4>5</vt:i4>
      </vt:variant>
      <vt:variant>
        <vt:lpwstr/>
      </vt:variant>
      <vt:variant>
        <vt:lpwstr>_Toc384198800</vt:lpwstr>
      </vt:variant>
      <vt:variant>
        <vt:i4>2031673</vt:i4>
      </vt:variant>
      <vt:variant>
        <vt:i4>164</vt:i4>
      </vt:variant>
      <vt:variant>
        <vt:i4>0</vt:i4>
      </vt:variant>
      <vt:variant>
        <vt:i4>5</vt:i4>
      </vt:variant>
      <vt:variant>
        <vt:lpwstr/>
      </vt:variant>
      <vt:variant>
        <vt:lpwstr>_Toc384198799</vt:lpwstr>
      </vt:variant>
      <vt:variant>
        <vt:i4>2031673</vt:i4>
      </vt:variant>
      <vt:variant>
        <vt:i4>158</vt:i4>
      </vt:variant>
      <vt:variant>
        <vt:i4>0</vt:i4>
      </vt:variant>
      <vt:variant>
        <vt:i4>5</vt:i4>
      </vt:variant>
      <vt:variant>
        <vt:lpwstr/>
      </vt:variant>
      <vt:variant>
        <vt:lpwstr>_Toc384198798</vt:lpwstr>
      </vt:variant>
      <vt:variant>
        <vt:i4>2031673</vt:i4>
      </vt:variant>
      <vt:variant>
        <vt:i4>152</vt:i4>
      </vt:variant>
      <vt:variant>
        <vt:i4>0</vt:i4>
      </vt:variant>
      <vt:variant>
        <vt:i4>5</vt:i4>
      </vt:variant>
      <vt:variant>
        <vt:lpwstr/>
      </vt:variant>
      <vt:variant>
        <vt:lpwstr>_Toc384198797</vt:lpwstr>
      </vt:variant>
      <vt:variant>
        <vt:i4>2031673</vt:i4>
      </vt:variant>
      <vt:variant>
        <vt:i4>146</vt:i4>
      </vt:variant>
      <vt:variant>
        <vt:i4>0</vt:i4>
      </vt:variant>
      <vt:variant>
        <vt:i4>5</vt:i4>
      </vt:variant>
      <vt:variant>
        <vt:lpwstr/>
      </vt:variant>
      <vt:variant>
        <vt:lpwstr>_Toc384198796</vt:lpwstr>
      </vt:variant>
      <vt:variant>
        <vt:i4>2031673</vt:i4>
      </vt:variant>
      <vt:variant>
        <vt:i4>140</vt:i4>
      </vt:variant>
      <vt:variant>
        <vt:i4>0</vt:i4>
      </vt:variant>
      <vt:variant>
        <vt:i4>5</vt:i4>
      </vt:variant>
      <vt:variant>
        <vt:lpwstr/>
      </vt:variant>
      <vt:variant>
        <vt:lpwstr>_Toc384198795</vt:lpwstr>
      </vt:variant>
      <vt:variant>
        <vt:i4>2031673</vt:i4>
      </vt:variant>
      <vt:variant>
        <vt:i4>134</vt:i4>
      </vt:variant>
      <vt:variant>
        <vt:i4>0</vt:i4>
      </vt:variant>
      <vt:variant>
        <vt:i4>5</vt:i4>
      </vt:variant>
      <vt:variant>
        <vt:lpwstr/>
      </vt:variant>
      <vt:variant>
        <vt:lpwstr>_Toc384198794</vt:lpwstr>
      </vt:variant>
      <vt:variant>
        <vt:i4>2031673</vt:i4>
      </vt:variant>
      <vt:variant>
        <vt:i4>128</vt:i4>
      </vt:variant>
      <vt:variant>
        <vt:i4>0</vt:i4>
      </vt:variant>
      <vt:variant>
        <vt:i4>5</vt:i4>
      </vt:variant>
      <vt:variant>
        <vt:lpwstr/>
      </vt:variant>
      <vt:variant>
        <vt:lpwstr>_Toc384198793</vt:lpwstr>
      </vt:variant>
      <vt:variant>
        <vt:i4>2031673</vt:i4>
      </vt:variant>
      <vt:variant>
        <vt:i4>122</vt:i4>
      </vt:variant>
      <vt:variant>
        <vt:i4>0</vt:i4>
      </vt:variant>
      <vt:variant>
        <vt:i4>5</vt:i4>
      </vt:variant>
      <vt:variant>
        <vt:lpwstr/>
      </vt:variant>
      <vt:variant>
        <vt:lpwstr>_Toc384198792</vt:lpwstr>
      </vt:variant>
      <vt:variant>
        <vt:i4>2031673</vt:i4>
      </vt:variant>
      <vt:variant>
        <vt:i4>116</vt:i4>
      </vt:variant>
      <vt:variant>
        <vt:i4>0</vt:i4>
      </vt:variant>
      <vt:variant>
        <vt:i4>5</vt:i4>
      </vt:variant>
      <vt:variant>
        <vt:lpwstr/>
      </vt:variant>
      <vt:variant>
        <vt:lpwstr>_Toc384198791</vt:lpwstr>
      </vt:variant>
      <vt:variant>
        <vt:i4>2031673</vt:i4>
      </vt:variant>
      <vt:variant>
        <vt:i4>110</vt:i4>
      </vt:variant>
      <vt:variant>
        <vt:i4>0</vt:i4>
      </vt:variant>
      <vt:variant>
        <vt:i4>5</vt:i4>
      </vt:variant>
      <vt:variant>
        <vt:lpwstr/>
      </vt:variant>
      <vt:variant>
        <vt:lpwstr>_Toc384198790</vt:lpwstr>
      </vt:variant>
      <vt:variant>
        <vt:i4>1966137</vt:i4>
      </vt:variant>
      <vt:variant>
        <vt:i4>104</vt:i4>
      </vt:variant>
      <vt:variant>
        <vt:i4>0</vt:i4>
      </vt:variant>
      <vt:variant>
        <vt:i4>5</vt:i4>
      </vt:variant>
      <vt:variant>
        <vt:lpwstr/>
      </vt:variant>
      <vt:variant>
        <vt:lpwstr>_Toc384198789</vt:lpwstr>
      </vt:variant>
      <vt:variant>
        <vt:i4>1966137</vt:i4>
      </vt:variant>
      <vt:variant>
        <vt:i4>98</vt:i4>
      </vt:variant>
      <vt:variant>
        <vt:i4>0</vt:i4>
      </vt:variant>
      <vt:variant>
        <vt:i4>5</vt:i4>
      </vt:variant>
      <vt:variant>
        <vt:lpwstr/>
      </vt:variant>
      <vt:variant>
        <vt:lpwstr>_Toc384198788</vt:lpwstr>
      </vt:variant>
      <vt:variant>
        <vt:i4>1966137</vt:i4>
      </vt:variant>
      <vt:variant>
        <vt:i4>92</vt:i4>
      </vt:variant>
      <vt:variant>
        <vt:i4>0</vt:i4>
      </vt:variant>
      <vt:variant>
        <vt:i4>5</vt:i4>
      </vt:variant>
      <vt:variant>
        <vt:lpwstr/>
      </vt:variant>
      <vt:variant>
        <vt:lpwstr>_Toc384198787</vt:lpwstr>
      </vt:variant>
      <vt:variant>
        <vt:i4>1966137</vt:i4>
      </vt:variant>
      <vt:variant>
        <vt:i4>86</vt:i4>
      </vt:variant>
      <vt:variant>
        <vt:i4>0</vt:i4>
      </vt:variant>
      <vt:variant>
        <vt:i4>5</vt:i4>
      </vt:variant>
      <vt:variant>
        <vt:lpwstr/>
      </vt:variant>
      <vt:variant>
        <vt:lpwstr>_Toc384198786</vt:lpwstr>
      </vt:variant>
      <vt:variant>
        <vt:i4>1966137</vt:i4>
      </vt:variant>
      <vt:variant>
        <vt:i4>80</vt:i4>
      </vt:variant>
      <vt:variant>
        <vt:i4>0</vt:i4>
      </vt:variant>
      <vt:variant>
        <vt:i4>5</vt:i4>
      </vt:variant>
      <vt:variant>
        <vt:lpwstr/>
      </vt:variant>
      <vt:variant>
        <vt:lpwstr>_Toc384198785</vt:lpwstr>
      </vt:variant>
      <vt:variant>
        <vt:i4>1966137</vt:i4>
      </vt:variant>
      <vt:variant>
        <vt:i4>74</vt:i4>
      </vt:variant>
      <vt:variant>
        <vt:i4>0</vt:i4>
      </vt:variant>
      <vt:variant>
        <vt:i4>5</vt:i4>
      </vt:variant>
      <vt:variant>
        <vt:lpwstr/>
      </vt:variant>
      <vt:variant>
        <vt:lpwstr>_Toc384198784</vt:lpwstr>
      </vt:variant>
      <vt:variant>
        <vt:i4>1966137</vt:i4>
      </vt:variant>
      <vt:variant>
        <vt:i4>68</vt:i4>
      </vt:variant>
      <vt:variant>
        <vt:i4>0</vt:i4>
      </vt:variant>
      <vt:variant>
        <vt:i4>5</vt:i4>
      </vt:variant>
      <vt:variant>
        <vt:lpwstr/>
      </vt:variant>
      <vt:variant>
        <vt:lpwstr>_Toc384198783</vt:lpwstr>
      </vt:variant>
      <vt:variant>
        <vt:i4>1966137</vt:i4>
      </vt:variant>
      <vt:variant>
        <vt:i4>62</vt:i4>
      </vt:variant>
      <vt:variant>
        <vt:i4>0</vt:i4>
      </vt:variant>
      <vt:variant>
        <vt:i4>5</vt:i4>
      </vt:variant>
      <vt:variant>
        <vt:lpwstr/>
      </vt:variant>
      <vt:variant>
        <vt:lpwstr>_Toc384198782</vt:lpwstr>
      </vt:variant>
      <vt:variant>
        <vt:i4>1966137</vt:i4>
      </vt:variant>
      <vt:variant>
        <vt:i4>56</vt:i4>
      </vt:variant>
      <vt:variant>
        <vt:i4>0</vt:i4>
      </vt:variant>
      <vt:variant>
        <vt:i4>5</vt:i4>
      </vt:variant>
      <vt:variant>
        <vt:lpwstr/>
      </vt:variant>
      <vt:variant>
        <vt:lpwstr>_Toc384198781</vt:lpwstr>
      </vt:variant>
      <vt:variant>
        <vt:i4>1966137</vt:i4>
      </vt:variant>
      <vt:variant>
        <vt:i4>50</vt:i4>
      </vt:variant>
      <vt:variant>
        <vt:i4>0</vt:i4>
      </vt:variant>
      <vt:variant>
        <vt:i4>5</vt:i4>
      </vt:variant>
      <vt:variant>
        <vt:lpwstr/>
      </vt:variant>
      <vt:variant>
        <vt:lpwstr>_Toc384198780</vt:lpwstr>
      </vt:variant>
      <vt:variant>
        <vt:i4>1114169</vt:i4>
      </vt:variant>
      <vt:variant>
        <vt:i4>44</vt:i4>
      </vt:variant>
      <vt:variant>
        <vt:i4>0</vt:i4>
      </vt:variant>
      <vt:variant>
        <vt:i4>5</vt:i4>
      </vt:variant>
      <vt:variant>
        <vt:lpwstr/>
      </vt:variant>
      <vt:variant>
        <vt:lpwstr>_Toc384198779</vt:lpwstr>
      </vt:variant>
      <vt:variant>
        <vt:i4>1114169</vt:i4>
      </vt:variant>
      <vt:variant>
        <vt:i4>38</vt:i4>
      </vt:variant>
      <vt:variant>
        <vt:i4>0</vt:i4>
      </vt:variant>
      <vt:variant>
        <vt:i4>5</vt:i4>
      </vt:variant>
      <vt:variant>
        <vt:lpwstr/>
      </vt:variant>
      <vt:variant>
        <vt:lpwstr>_Toc384198778</vt:lpwstr>
      </vt:variant>
      <vt:variant>
        <vt:i4>1114169</vt:i4>
      </vt:variant>
      <vt:variant>
        <vt:i4>32</vt:i4>
      </vt:variant>
      <vt:variant>
        <vt:i4>0</vt:i4>
      </vt:variant>
      <vt:variant>
        <vt:i4>5</vt:i4>
      </vt:variant>
      <vt:variant>
        <vt:lpwstr/>
      </vt:variant>
      <vt:variant>
        <vt:lpwstr>_Toc384198777</vt:lpwstr>
      </vt:variant>
      <vt:variant>
        <vt:i4>1114169</vt:i4>
      </vt:variant>
      <vt:variant>
        <vt:i4>26</vt:i4>
      </vt:variant>
      <vt:variant>
        <vt:i4>0</vt:i4>
      </vt:variant>
      <vt:variant>
        <vt:i4>5</vt:i4>
      </vt:variant>
      <vt:variant>
        <vt:lpwstr/>
      </vt:variant>
      <vt:variant>
        <vt:lpwstr>_Toc384198776</vt:lpwstr>
      </vt:variant>
      <vt:variant>
        <vt:i4>1114169</vt:i4>
      </vt:variant>
      <vt:variant>
        <vt:i4>20</vt:i4>
      </vt:variant>
      <vt:variant>
        <vt:i4>0</vt:i4>
      </vt:variant>
      <vt:variant>
        <vt:i4>5</vt:i4>
      </vt:variant>
      <vt:variant>
        <vt:lpwstr/>
      </vt:variant>
      <vt:variant>
        <vt:lpwstr>_Toc384198775</vt:lpwstr>
      </vt:variant>
      <vt:variant>
        <vt:i4>1114169</vt:i4>
      </vt:variant>
      <vt:variant>
        <vt:i4>14</vt:i4>
      </vt:variant>
      <vt:variant>
        <vt:i4>0</vt:i4>
      </vt:variant>
      <vt:variant>
        <vt:i4>5</vt:i4>
      </vt:variant>
      <vt:variant>
        <vt:lpwstr/>
      </vt:variant>
      <vt:variant>
        <vt:lpwstr>_Toc384198774</vt:lpwstr>
      </vt:variant>
      <vt:variant>
        <vt:i4>1114169</vt:i4>
      </vt:variant>
      <vt:variant>
        <vt:i4>8</vt:i4>
      </vt:variant>
      <vt:variant>
        <vt:i4>0</vt:i4>
      </vt:variant>
      <vt:variant>
        <vt:i4>5</vt:i4>
      </vt:variant>
      <vt:variant>
        <vt:lpwstr/>
      </vt:variant>
      <vt:variant>
        <vt:lpwstr>_Toc384198773</vt:lpwstr>
      </vt:variant>
      <vt:variant>
        <vt:i4>1114169</vt:i4>
      </vt:variant>
      <vt:variant>
        <vt:i4>2</vt:i4>
      </vt:variant>
      <vt:variant>
        <vt:i4>0</vt:i4>
      </vt:variant>
      <vt:variant>
        <vt:i4>5</vt:i4>
      </vt:variant>
      <vt:variant>
        <vt:lpwstr/>
      </vt:variant>
      <vt:variant>
        <vt:lpwstr>_Toc384198772</vt:lpwstr>
      </vt:variant>
      <vt:variant>
        <vt:i4>1638410</vt:i4>
      </vt:variant>
      <vt:variant>
        <vt:i4>1024</vt:i4>
      </vt:variant>
      <vt:variant>
        <vt:i4>1025</vt:i4>
      </vt:variant>
      <vt:variant>
        <vt:i4>1</vt:i4>
      </vt:variant>
      <vt:variant>
        <vt:lpwstr>VasiViz_2x1_5</vt:lpwstr>
      </vt:variant>
      <vt:variant>
        <vt:lpwstr/>
      </vt:variant>
      <vt:variant>
        <vt:i4>3080257</vt:i4>
      </vt:variant>
      <vt:variant>
        <vt:i4>39400</vt:i4>
      </vt:variant>
      <vt:variant>
        <vt:i4>1026</vt:i4>
      </vt:variant>
      <vt:variant>
        <vt:i4>1</vt:i4>
      </vt:variant>
      <vt:variant>
        <vt:lpwstr>..\..\..\..\..\FeketeM\Dokumentumok\ClipBoard.jpg</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VASIVÍZ Vas megyei Víz- és Csatornamű RT</dc:title>
  <dc:subject/>
  <dc:creator>Borbás Katalin</dc:creator>
  <cp:keywords/>
  <dc:description/>
  <cp:lastModifiedBy>Horváth Viktória</cp:lastModifiedBy>
  <cp:revision>2</cp:revision>
  <cp:lastPrinted>2023-04-17T11:46:00Z</cp:lastPrinted>
  <dcterms:created xsi:type="dcterms:W3CDTF">2023-04-17T12:16:00Z</dcterms:created>
  <dcterms:modified xsi:type="dcterms:W3CDTF">2023-04-17T12:16:00Z</dcterms:modified>
</cp:coreProperties>
</file>