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KÖRMEND VÁROS ÖNKORMÁNYZATA KÉPVISELŐ TESTÜLETE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5/2022.(V.27) önkormányzati rendelete a 2021. évi költségvetés végrehajtásáról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zvegtrzs"/>
        <w:jc w:val="both"/>
        <w:rPr/>
      </w:pPr>
      <w:r>
        <w:rPr>
          <w:szCs w:val="24"/>
        </w:rPr>
        <w:t xml:space="preserve">Körmend város Önkormányzatának Képviselő-testülete az Államháztartásról szóló 2011.évi CXCV. törvény 91.§ - ban kapott felhatalmazás alapján, Körmend Város Önkormányzata 2021. évi költségvetéséről szóló 2/2021. (II.12.) számú rendeletének végrehajtásáról az alábbi rendeletet alkotja: </w:t>
      </w:r>
    </w:p>
    <w:p>
      <w:pPr>
        <w:pStyle w:val="Szvegtrzs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1.§.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sz w:val="24"/>
          <w:szCs w:val="24"/>
        </w:rPr>
        <w:t>A Képviselő-testület az önkormányzat 2021. évi bevételeit az alábbiak szerint állapítja meg:</w:t>
      </w:r>
    </w:p>
    <w:p>
      <w:pPr>
        <w:pStyle w:val="Normal"/>
        <w:tabs>
          <w:tab w:val="clear" w:pos="708"/>
          <w:tab w:val="right" w:pos="7938" w:leader="none"/>
        </w:tabs>
        <w:ind w:left="360" w:hanging="0"/>
        <w:jc w:val="both"/>
        <w:rPr/>
      </w:pPr>
      <w:r>
        <w:rPr>
          <w:sz w:val="24"/>
          <w:szCs w:val="24"/>
        </w:rPr>
        <w:t>- eredeti bevételi előirányzat</w:t>
        <w:tab/>
        <w:t>4.792.006.204.,-Ft</w:t>
      </w:r>
    </w:p>
    <w:p>
      <w:pPr>
        <w:pStyle w:val="Normal"/>
        <w:tabs>
          <w:tab w:val="clear" w:pos="708"/>
          <w:tab w:val="right" w:pos="7938" w:leader="none"/>
        </w:tabs>
        <w:ind w:left="360" w:hanging="0"/>
        <w:jc w:val="both"/>
        <w:rPr/>
      </w:pPr>
      <w:r>
        <w:rPr>
          <w:sz w:val="24"/>
          <w:szCs w:val="24"/>
        </w:rPr>
        <w:t>- módosított bevételi előirányzat</w:t>
        <w:tab/>
        <w:t>5.915.072.831.,-Ft</w:t>
      </w:r>
    </w:p>
    <w:p>
      <w:pPr>
        <w:pStyle w:val="Normal"/>
        <w:tabs>
          <w:tab w:val="clear" w:pos="708"/>
          <w:tab w:val="right" w:pos="7938" w:leader="none"/>
        </w:tabs>
        <w:ind w:left="360" w:hanging="0"/>
        <w:jc w:val="both"/>
        <w:rPr/>
      </w:pPr>
      <w:r>
        <w:rPr>
          <w:sz w:val="24"/>
          <w:szCs w:val="24"/>
        </w:rPr>
        <w:t>- bevételi teljesítés</w:t>
        <w:tab/>
        <w:t>3.086.461.342.,-Ft</w:t>
      </w:r>
    </w:p>
    <w:p>
      <w:pPr>
        <w:pStyle w:val="Normal"/>
        <w:numPr>
          <w:ilvl w:val="0"/>
          <w:numId w:val="6"/>
        </w:numPr>
        <w:tabs>
          <w:tab w:val="clear" w:pos="708"/>
          <w:tab w:val="right" w:pos="7938" w:leader="none"/>
        </w:tabs>
        <w:rPr/>
      </w:pPr>
      <w:r>
        <w:rPr>
          <w:sz w:val="24"/>
          <w:szCs w:val="24"/>
        </w:rPr>
        <w:t>A bevételi összegeket forrásonként a rendelet 1. számú melléklet, intézményenként a rendelet 2. melléklet tartalmazza.</w:t>
      </w:r>
    </w:p>
    <w:p>
      <w:pPr>
        <w:pStyle w:val="Normal"/>
        <w:tabs>
          <w:tab w:val="clear" w:pos="708"/>
          <w:tab w:val="right" w:pos="7938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2.§.</w:t>
      </w:r>
    </w:p>
    <w:p>
      <w:pPr>
        <w:pStyle w:val="Normal"/>
        <w:tabs>
          <w:tab w:val="clear" w:pos="708"/>
          <w:tab w:val="right" w:pos="7938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right" w:pos="7938" w:leader="none"/>
        </w:tabs>
        <w:jc w:val="both"/>
        <w:rPr/>
      </w:pPr>
      <w:r>
        <w:rPr>
          <w:sz w:val="24"/>
          <w:szCs w:val="24"/>
        </w:rPr>
        <w:t>A Képviselő-testület az önkormányzat 2021. évi kiadás főösszegét az alábbiak szerint állapítja meg:</w:t>
      </w:r>
    </w:p>
    <w:p>
      <w:pPr>
        <w:pStyle w:val="Normal"/>
        <w:tabs>
          <w:tab w:val="clear" w:pos="708"/>
          <w:tab w:val="right" w:pos="7938" w:leader="none"/>
        </w:tabs>
        <w:ind w:left="360" w:hanging="0"/>
        <w:jc w:val="both"/>
        <w:rPr/>
      </w:pPr>
      <w:r>
        <w:rPr>
          <w:sz w:val="24"/>
          <w:szCs w:val="24"/>
        </w:rPr>
        <w:t>- eredeti kiadási előirányzat</w:t>
        <w:tab/>
        <w:t>4.792.006.204.,-Ft</w:t>
      </w:r>
    </w:p>
    <w:p>
      <w:pPr>
        <w:pStyle w:val="Normal"/>
        <w:tabs>
          <w:tab w:val="clear" w:pos="708"/>
          <w:tab w:val="right" w:pos="7938" w:leader="none"/>
        </w:tabs>
        <w:ind w:left="360" w:hanging="0"/>
        <w:jc w:val="both"/>
        <w:rPr>
          <w:sz w:val="24"/>
          <w:szCs w:val="24"/>
        </w:rPr>
      </w:pPr>
      <w:r>
        <w:rPr>
          <w:sz w:val="24"/>
          <w:szCs w:val="24"/>
        </w:rPr>
        <w:t>- módosított kiadási előirányzat</w:t>
        <w:tab/>
        <w:t>5.915.072.831.,-Ft</w:t>
      </w:r>
    </w:p>
    <w:p>
      <w:pPr>
        <w:pStyle w:val="Normal"/>
        <w:tabs>
          <w:tab w:val="clear" w:pos="708"/>
          <w:tab w:val="right" w:pos="7938" w:leader="none"/>
        </w:tabs>
        <w:ind w:left="360" w:hanging="0"/>
        <w:jc w:val="both"/>
        <w:rPr/>
      </w:pPr>
      <w:r>
        <w:rPr>
          <w:sz w:val="24"/>
          <w:szCs w:val="24"/>
        </w:rPr>
        <w:t>- kiadási teljesítés</w:t>
        <w:tab/>
        <w:t>5.230.828.654.,-Ft</w:t>
      </w:r>
    </w:p>
    <w:p>
      <w:pPr>
        <w:pStyle w:val="Normal"/>
        <w:numPr>
          <w:ilvl w:val="0"/>
          <w:numId w:val="4"/>
        </w:numPr>
        <w:tabs>
          <w:tab w:val="clear" w:pos="708"/>
          <w:tab w:val="right" w:pos="7938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A kiadások előirányzatai és teljesítései a kiemelt előirányzatok tekintetében az alábbiak szerint alakultak a rendelet 1. és 3. mellékletben foglaltak alapján:</w:t>
      </w:r>
    </w:p>
    <w:p>
      <w:pPr>
        <w:pStyle w:val="Normal"/>
        <w:tabs>
          <w:tab w:val="clear" w:pos="708"/>
          <w:tab w:val="right" w:pos="7938" w:leader="none"/>
        </w:tabs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right" w:pos="9072" w:leader="none"/>
        </w:tabs>
        <w:rPr/>
      </w:pPr>
      <w:r>
        <w:rPr>
          <w:b/>
          <w:i/>
          <w:sz w:val="22"/>
          <w:szCs w:val="22"/>
        </w:rPr>
        <w:tab/>
      </w:r>
      <w:r>
        <w:rPr/>
        <w:t>adatok Ft-ban</w:t>
      </w:r>
    </w:p>
    <w:tbl>
      <w:tblPr>
        <w:tblW w:w="8931" w:type="dxa"/>
        <w:jc w:val="left"/>
        <w:tblInd w:w="-142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94"/>
        <w:gridCol w:w="1416"/>
        <w:gridCol w:w="1559"/>
        <w:gridCol w:w="1"/>
        <w:gridCol w:w="1560"/>
      </w:tblGrid>
      <w:tr>
        <w:trPr>
          <w:cantSplit w:val="true"/>
        </w:trPr>
        <w:tc>
          <w:tcPr>
            <w:tcW w:w="4394" w:type="dxa"/>
            <w:vMerge w:val="restart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msor1"/>
              <w:numPr>
                <w:ilvl w:val="0"/>
                <w:numId w:val="2"/>
              </w:numPr>
              <w:tabs>
                <w:tab w:val="clear" w:pos="3969"/>
                <w:tab w:val="clear" w:pos="6237"/>
                <w:tab w:val="clear" w:pos="8505"/>
                <w:tab w:val="right" w:pos="907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Megnevezés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Eredeti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Módosított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Teljesítés</w:t>
            </w:r>
          </w:p>
        </w:tc>
      </w:tr>
      <w:tr>
        <w:trPr>
          <w:trHeight w:val="368" w:hRule="atLeast"/>
          <w:cantSplit w:val="true"/>
        </w:trPr>
        <w:tc>
          <w:tcPr>
            <w:tcW w:w="4394" w:type="dxa"/>
            <w:vMerge w:val="continue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7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előirányzat</w:t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snapToGrid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439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/>
            </w:pPr>
            <w:r>
              <w:rPr>
                <w:sz w:val="22"/>
                <w:szCs w:val="22"/>
              </w:rPr>
              <w:t>Személyi juttatás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462.623.311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507.068.058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459.417.015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Munkaadót terhelő járulék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74.001.287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81.691.158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75.000.826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Dologi kiadás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784.178.794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888.303.825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686.384.655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Elvonások és befizetések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121.476.748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202.436.321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202.436.321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Ellátottak pénzbeli juttatásai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14.000.000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15.075.000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15.073.072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működési célú támogatások Áh-belülre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705.253.752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787.949.593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766.254.467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működési célú támogatások Áh-kívülre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53.800.000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64.465.528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60.678.891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Önkorm.-i tulajdonú társaságoknak kölcsön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44.738.000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40.738.000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21.738.000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Működési célú tartalék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15.452.073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144.582.935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snapToGrid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Működési kiadások összesen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2.275.523.965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2.732.310.418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2.286.983.247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Államháztartáson belüli megelőlegezés</w:t>
            </w:r>
          </w:p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Hiteltörlesztés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36.564.607</w:t>
            </w:r>
          </w:p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36.564.607</w:t>
            </w:r>
          </w:p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500.000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36.564.607</w:t>
            </w:r>
          </w:p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Működési kiadás mindösszesen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2.312.088.572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2.769.375.025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2.323.547.854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Beruházási kiadások 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1.214.235.216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1.670.002.618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490.695.260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Felújítás kiadásai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1.077.202.792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1.131.516.300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157.671.715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felhalmozási célú támogatások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25.804.959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114.933.566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114.546.513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Felhalmozási tartalék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162.674.665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229.245.322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snapToGrid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Felhalmozási kiadások összesen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2.479.917.632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3.145.697.806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762.913.488</w:t>
            </w:r>
          </w:p>
        </w:tc>
      </w:tr>
      <w:tr>
        <w:trPr>
          <w:trHeight w:val="264" w:hRule="atLeast"/>
        </w:trPr>
        <w:tc>
          <w:tcPr>
            <w:tcW w:w="4394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Kiadás mindösszesen</w:t>
            </w:r>
          </w:p>
        </w:tc>
        <w:tc>
          <w:tcPr>
            <w:tcW w:w="141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4.792.006.204</w:t>
            </w:r>
          </w:p>
        </w:tc>
        <w:tc>
          <w:tcPr>
            <w:tcW w:w="155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5.915.072.831</w:t>
            </w:r>
          </w:p>
        </w:tc>
        <w:tc>
          <w:tcPr>
            <w:tcW w:w="156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right" w:pos="9072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3.086.461.342</w:t>
            </w:r>
          </w:p>
        </w:tc>
      </w:tr>
    </w:tbl>
    <w:p>
      <w:pPr>
        <w:pStyle w:val="Normal"/>
        <w:tabs>
          <w:tab w:val="clear" w:pos="708"/>
          <w:tab w:val="right" w:pos="9072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right" w:pos="9072" w:leader="none"/>
        </w:tabs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A 2021. évi a helyi önkormányzatok általános működéséhez és ágazati feladataihoz kapcsolódó támogatások és a mutatószámok, feladatmutatók alakulása alapján a tőke visszafizetési kötelezettség 5.328.361 Ft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right" w:pos="9072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3.§.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right" w:pos="9072" w:leader="none"/>
        </w:tabs>
        <w:jc w:val="both"/>
        <w:rPr/>
      </w:pPr>
      <w:r>
        <w:rPr>
          <w:sz w:val="24"/>
          <w:szCs w:val="24"/>
        </w:rPr>
        <w:t>A működési és felhalmozási bevételeket a rendelet 2. melléklete szerint intézményenként, a 4. melléklete szerint jogcímenként hagyja jóvá.</w:t>
      </w:r>
    </w:p>
    <w:p>
      <w:pPr>
        <w:pStyle w:val="Normal"/>
        <w:numPr>
          <w:ilvl w:val="0"/>
          <w:numId w:val="5"/>
        </w:numPr>
        <w:tabs>
          <w:tab w:val="clear" w:pos="708"/>
          <w:tab w:val="right" w:pos="9072" w:leader="none"/>
        </w:tabs>
        <w:jc w:val="both"/>
        <w:rPr/>
      </w:pPr>
      <w:r>
        <w:rPr>
          <w:sz w:val="24"/>
          <w:szCs w:val="24"/>
        </w:rPr>
        <w:t>A működési és felhalmozási kiadásokat a rendelet 3. melléklete szerint intézményenként, az 5. melléklete szerint jogcímenként fogadja el.</w:t>
      </w:r>
    </w:p>
    <w:p>
      <w:pPr>
        <w:pStyle w:val="Normal"/>
        <w:numPr>
          <w:ilvl w:val="0"/>
          <w:numId w:val="5"/>
        </w:numPr>
        <w:tabs>
          <w:tab w:val="clear" w:pos="708"/>
          <w:tab w:val="right" w:pos="9072" w:leader="none"/>
        </w:tabs>
        <w:jc w:val="both"/>
        <w:rPr/>
      </w:pPr>
      <w:r>
        <w:rPr>
          <w:sz w:val="24"/>
          <w:szCs w:val="24"/>
        </w:rPr>
        <w:t>Az Önkormányzat Képviselő-testülete az önkormányzat 2021. évi felhalmozási jellegű kiadásait a rendelet 6. mellékletben foglalt intézményenkénti és feladatonkénti részletezésben hagyja jóvá.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right" w:pos="9072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4.§.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right" w:pos="9072" w:leader="none"/>
        </w:tabs>
        <w:jc w:val="both"/>
        <w:rPr/>
      </w:pPr>
      <w:r>
        <w:rPr>
          <w:sz w:val="24"/>
          <w:szCs w:val="24"/>
        </w:rPr>
        <w:t>(1) Körmend Város Önkormányzatának létszámadatait a rendelet 7. melléklete szerint hagyja jóvá.</w:t>
      </w:r>
    </w:p>
    <w:p>
      <w:pPr>
        <w:pStyle w:val="Normal"/>
        <w:tabs>
          <w:tab w:val="clear" w:pos="708"/>
          <w:tab w:val="right" w:pos="9072" w:leader="none"/>
        </w:tabs>
        <w:ind w:left="426" w:hanging="426"/>
        <w:jc w:val="both"/>
        <w:rPr/>
      </w:pPr>
      <w:r>
        <w:rPr>
          <w:sz w:val="24"/>
          <w:szCs w:val="24"/>
        </w:rPr>
        <w:t>(2) Körmend Város Önkormányzata 2021. évi tervezett külső finanszírozási bevételeit a rendelet 8. melléklete szerint hagyja jóvá.</w:t>
      </w:r>
    </w:p>
    <w:p>
      <w:pPr>
        <w:pStyle w:val="Normal"/>
        <w:tabs>
          <w:tab w:val="clear" w:pos="708"/>
          <w:tab w:val="right" w:pos="9072" w:leader="none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Körmend Város Önkormányzatának közhatalmi bevételeit a rendelet 9. melléklete szerint hagyja jóvá. </w:t>
      </w:r>
    </w:p>
    <w:p>
      <w:pPr>
        <w:pStyle w:val="Normal"/>
        <w:ind w:left="426" w:hanging="426"/>
        <w:jc w:val="both"/>
        <w:rPr/>
      </w:pPr>
      <w:r>
        <w:rPr>
          <w:bCs/>
          <w:color w:val="000000"/>
          <w:sz w:val="24"/>
          <w:szCs w:val="24"/>
        </w:rPr>
        <w:t>(4) Körmend Város Önkormányzata 2021. évi pénzbeli ellátásait a rendelet 10. melléklete szerint hagyja jóvá.</w:t>
      </w:r>
    </w:p>
    <w:p>
      <w:pPr>
        <w:pStyle w:val="Normal"/>
        <w:ind w:left="426" w:hanging="426"/>
        <w:jc w:val="both"/>
        <w:rPr/>
      </w:pPr>
      <w:r>
        <w:rPr>
          <w:bCs/>
          <w:color w:val="000000"/>
          <w:sz w:val="24"/>
          <w:szCs w:val="24"/>
        </w:rPr>
        <w:t>(5) Körmend Város Önkormányzata intézményei 2021. évi teljesült működési és felhalmozási célú finanszírozásait a rendelet 11. melléklete szerint hagyja jóvá.</w:t>
      </w:r>
    </w:p>
    <w:p>
      <w:pPr>
        <w:pStyle w:val="Normal"/>
        <w:tabs>
          <w:tab w:val="clear" w:pos="708"/>
          <w:tab w:val="right" w:pos="9072" w:leader="none"/>
        </w:tabs>
        <w:jc w:val="both"/>
        <w:rPr/>
      </w:pPr>
      <w:r>
        <w:rPr>
          <w:sz w:val="24"/>
          <w:szCs w:val="24"/>
        </w:rPr>
        <w:t>(6) Az önkormányzat működési és felhalmozási tartalékát a rendelet 12. melléklete szerint fogadja el.</w:t>
      </w:r>
    </w:p>
    <w:p>
      <w:pPr>
        <w:pStyle w:val="Normal"/>
        <w:tabs>
          <w:tab w:val="clear" w:pos="708"/>
          <w:tab w:val="right" w:pos="9072" w:leader="none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(7) A Képviselőtestület az önkormányzat és intézményei maradványát a rendelet 13. melléklete szerint hagyja jóvá.</w:t>
      </w:r>
    </w:p>
    <w:p>
      <w:pPr>
        <w:pStyle w:val="Normal"/>
        <w:tabs>
          <w:tab w:val="clear" w:pos="708"/>
          <w:tab w:val="right" w:pos="9072" w:leader="none"/>
        </w:tabs>
        <w:jc w:val="both"/>
        <w:rPr/>
      </w:pPr>
      <w:r>
        <w:rPr>
          <w:sz w:val="24"/>
          <w:szCs w:val="24"/>
        </w:rPr>
        <w:t>(8) A közvetett támogatásokat a rendelet 14. melléklete szerint fogadja el.</w:t>
      </w:r>
    </w:p>
    <w:p>
      <w:pPr>
        <w:pStyle w:val="Normal"/>
        <w:tabs>
          <w:tab w:val="clear" w:pos="708"/>
          <w:tab w:val="right" w:pos="9072" w:leader="none"/>
        </w:tabs>
        <w:ind w:left="426" w:hanging="426"/>
        <w:jc w:val="both"/>
        <w:rPr/>
      </w:pPr>
      <w:r>
        <w:rPr>
          <w:sz w:val="24"/>
          <w:szCs w:val="24"/>
        </w:rPr>
        <w:t>(9) A Képviselőtestület az önkormányzat vagyonmérlegét a rendelet 15. melléklete szerint hagyja jóvá.</w:t>
      </w:r>
    </w:p>
    <w:p>
      <w:pPr>
        <w:pStyle w:val="Normal"/>
        <w:tabs>
          <w:tab w:val="clear" w:pos="708"/>
          <w:tab w:val="right" w:pos="9072" w:leader="none"/>
        </w:tabs>
        <w:ind w:left="426" w:hanging="426"/>
        <w:jc w:val="both"/>
        <w:rPr/>
      </w:pPr>
      <w:r>
        <w:rPr>
          <w:sz w:val="24"/>
          <w:szCs w:val="24"/>
        </w:rPr>
        <w:t>(10) Körmend Város Önkormányzatának és intézményeinek 2021. évi projektjei alakulását a rendelet 16. melléklete szerint fogadja el.</w:t>
      </w:r>
    </w:p>
    <w:p>
      <w:pPr>
        <w:pStyle w:val="Normal"/>
        <w:tabs>
          <w:tab w:val="clear" w:pos="708"/>
          <w:tab w:val="right" w:pos="9072" w:leader="none"/>
        </w:tabs>
        <w:ind w:left="426" w:hanging="426"/>
        <w:jc w:val="both"/>
        <w:rPr/>
      </w:pPr>
      <w:r>
        <w:rPr>
          <w:sz w:val="24"/>
          <w:szCs w:val="24"/>
        </w:rPr>
        <w:t>(11) Körmend Város Önkormányzata és intézményei 2021. évi pénzkészletének alakulását a rendelet 17. melléklete szerint hagyja jóvá.</w:t>
      </w:r>
    </w:p>
    <w:p>
      <w:pPr>
        <w:pStyle w:val="Normal"/>
        <w:tabs>
          <w:tab w:val="clear" w:pos="708"/>
          <w:tab w:val="right" w:pos="907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2"/>
        <w:tabs>
          <w:tab w:val="clear" w:pos="2835"/>
          <w:tab w:val="left" w:pos="426" w:leader="none"/>
          <w:tab w:val="right" w:pos="5387" w:leader="none"/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zvegtrzs2"/>
        <w:tabs>
          <w:tab w:val="clear" w:pos="2835"/>
          <w:tab w:val="left" w:pos="426" w:leader="none"/>
          <w:tab w:val="right" w:pos="5387" w:leader="none"/>
          <w:tab w:val="right" w:pos="9072" w:leader="none"/>
        </w:tabs>
        <w:jc w:val="center"/>
        <w:rPr/>
      </w:pPr>
      <w:r>
        <w:rPr>
          <w:b/>
          <w:szCs w:val="24"/>
        </w:rPr>
        <w:t>5.§.</w:t>
      </w:r>
    </w:p>
    <w:p>
      <w:pPr>
        <w:pStyle w:val="Szvegtrzs2"/>
        <w:tabs>
          <w:tab w:val="clear" w:pos="2835"/>
          <w:tab w:val="left" w:pos="426" w:leader="none"/>
          <w:tab w:val="right" w:pos="5387" w:leader="none"/>
          <w:tab w:val="right" w:pos="9072" w:leader="none"/>
        </w:tabs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Szvegtrzs2"/>
        <w:numPr>
          <w:ilvl w:val="0"/>
          <w:numId w:val="3"/>
        </w:numPr>
        <w:tabs>
          <w:tab w:val="clear" w:pos="2835"/>
          <w:tab w:val="left" w:pos="426" w:leader="none"/>
          <w:tab w:val="right" w:pos="5387" w:leader="none"/>
          <w:tab w:val="right" w:pos="9072" w:leader="none"/>
        </w:tabs>
        <w:rPr>
          <w:szCs w:val="24"/>
        </w:rPr>
      </w:pPr>
      <w:r>
        <w:rPr>
          <w:szCs w:val="24"/>
        </w:rPr>
        <w:t>Ez a rendelet kihirdetés napján lép hatályba.</w:t>
      </w:r>
    </w:p>
    <w:p>
      <w:pPr>
        <w:pStyle w:val="Szvegtrzs2"/>
        <w:tabs>
          <w:tab w:val="clear" w:pos="2835"/>
          <w:tab w:val="left" w:pos="426" w:leader="none"/>
          <w:tab w:val="right" w:pos="5387" w:leader="none"/>
          <w:tab w:val="right" w:pos="9072" w:leader="none"/>
        </w:tabs>
        <w:jc w:val="left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Szvegtrzs2"/>
        <w:tabs>
          <w:tab w:val="clear" w:pos="2835"/>
          <w:tab w:val="left" w:pos="426" w:leader="none"/>
          <w:tab w:val="right" w:pos="5387" w:leader="none"/>
          <w:tab w:val="right" w:pos="9072" w:leader="none"/>
        </w:tabs>
        <w:jc w:val="left"/>
        <w:rPr>
          <w:b/>
          <w:b/>
          <w:i/>
          <w:i/>
          <w:szCs w:val="24"/>
        </w:rPr>
      </w:pPr>
      <w:r>
        <w:rPr>
          <w:b/>
          <w:i/>
          <w:szCs w:val="24"/>
        </w:rPr>
        <w:t>Körmend, 2022. május 26.</w:t>
      </w:r>
    </w:p>
    <w:p>
      <w:pPr>
        <w:pStyle w:val="Szvegtrzs2"/>
        <w:tabs>
          <w:tab w:val="clear" w:pos="2835"/>
          <w:tab w:val="left" w:pos="426" w:leader="none"/>
          <w:tab w:val="right" w:pos="5387" w:leader="none"/>
          <w:tab w:val="right" w:pos="9072" w:leader="none"/>
        </w:tabs>
        <w:jc w:val="left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Szvegtrzs2"/>
        <w:tabs>
          <w:tab w:val="clear" w:pos="2835"/>
          <w:tab w:val="left" w:pos="426" w:leader="none"/>
          <w:tab w:val="right" w:pos="5387" w:leader="none"/>
          <w:tab w:val="right" w:pos="9072" w:leader="none"/>
        </w:tabs>
        <w:jc w:val="left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Szvegtrzs2"/>
        <w:tabs>
          <w:tab w:val="clear" w:pos="2835"/>
          <w:tab w:val="left" w:pos="426" w:leader="none"/>
          <w:tab w:val="right" w:pos="5387" w:leader="none"/>
          <w:tab w:val="right" w:pos="9072" w:leader="none"/>
        </w:tabs>
        <w:jc w:val="left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Szvegtrzs2"/>
        <w:tabs>
          <w:tab w:val="clear" w:pos="2835"/>
          <w:tab w:val="left" w:pos="426" w:leader="none"/>
          <w:tab w:val="right" w:pos="5387" w:leader="none"/>
          <w:tab w:val="right" w:pos="9072" w:leader="none"/>
        </w:tabs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Szvegtrzs2"/>
        <w:tabs>
          <w:tab w:val="clear" w:pos="426"/>
          <w:tab w:val="clear" w:pos="2835"/>
          <w:tab w:val="center" w:pos="3969" w:leader="none"/>
          <w:tab w:val="center" w:pos="7371" w:leader="none"/>
          <w:tab w:val="right" w:pos="9072" w:leader="none"/>
        </w:tabs>
        <w:jc w:val="left"/>
        <w:rPr/>
      </w:pPr>
      <w:r>
        <w:rPr>
          <w:b/>
          <w:szCs w:val="24"/>
        </w:rPr>
        <w:t xml:space="preserve">                                    </w:t>
      </w:r>
      <w:r>
        <w:rPr>
          <w:b/>
          <w:szCs w:val="24"/>
        </w:rPr>
        <w:t xml:space="preserve">Bebes István </w:t>
        <w:tab/>
        <w:tab/>
        <w:t>Dr. Stepics Anita</w:t>
        <w:tab/>
      </w:r>
    </w:p>
    <w:p>
      <w:pPr>
        <w:pStyle w:val="Szvegtrzs2"/>
        <w:tabs>
          <w:tab w:val="clear" w:pos="426"/>
          <w:tab w:val="clear" w:pos="2835"/>
          <w:tab w:val="center" w:pos="3969" w:leader="none"/>
          <w:tab w:val="center" w:pos="7371" w:leader="none"/>
          <w:tab w:val="right" w:pos="9072" w:leader="none"/>
        </w:tabs>
        <w:jc w:val="left"/>
        <w:rPr/>
      </w:pPr>
      <w:r>
        <w:rPr>
          <w:b/>
          <w:szCs w:val="24"/>
        </w:rPr>
        <w:t xml:space="preserve">                                    </w:t>
      </w:r>
      <w:r>
        <w:rPr>
          <w:b/>
          <w:szCs w:val="24"/>
        </w:rPr>
        <w:t>polgármester</w:t>
      </w:r>
      <w:r>
        <w:rPr>
          <w:szCs w:val="24"/>
        </w:rPr>
        <w:tab/>
        <w:tab/>
      </w:r>
      <w:r>
        <w:rPr>
          <w:b/>
          <w:szCs w:val="24"/>
        </w:rPr>
        <w:t>jegyző</w:t>
      </w:r>
      <w:r>
        <w:rPr>
          <w:szCs w:val="24"/>
        </w:rPr>
        <w:tab/>
      </w:r>
    </w:p>
    <w:p>
      <w:pPr>
        <w:pStyle w:val="Szvegtrzs2"/>
        <w:tabs>
          <w:tab w:val="clear" w:pos="426"/>
          <w:tab w:val="clear" w:pos="2835"/>
          <w:tab w:val="center" w:pos="3969" w:leader="none"/>
          <w:tab w:val="center" w:pos="7371" w:leader="none"/>
          <w:tab w:val="right" w:pos="9072" w:leader="none"/>
        </w:tabs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Szvegtrzs2"/>
        <w:tabs>
          <w:tab w:val="clear" w:pos="426"/>
          <w:tab w:val="clear" w:pos="2835"/>
          <w:tab w:val="center" w:pos="3969" w:leader="none"/>
          <w:tab w:val="center" w:pos="7371" w:leader="none"/>
          <w:tab w:val="right" w:pos="9072" w:leader="none"/>
        </w:tabs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INDOKLÁS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1.§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Körmend Város Önkormányzatának és intézményeinek 2021. évi bevételi előirányzatainak teljesítési főösszege került meghatározásra.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2.§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Körmend Város Önkormányzatának és intézményeinek 2021. évi kiadási előirányzatainak teljesítési főösszege került meghatározásra.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3.§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Körmend Város Önkormányzatának és intézményeinek felhalmozási bevételi és kiadásai előirányzatának teljesítési főösszege került meghatározásra.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>4.§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Körmend Város Önkormányzatának és intézményeinek: 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 xml:space="preserve">2021. évi létszámadatai; </w:t>
      </w:r>
    </w:p>
    <w:p>
      <w:pPr>
        <w:pStyle w:val="Normal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Külső finanszírozási bevételei; 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Közhatalmi bevételeinek főösszege;</w:t>
      </w:r>
    </w:p>
    <w:p>
      <w:pPr>
        <w:pStyle w:val="Normal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Pénzbeli ellátásainak teljesítése; 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Működési és felhalmozási célú finanszírozásai;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Működési és felhalmozási tartalékai;</w:t>
      </w:r>
    </w:p>
    <w:p>
      <w:pPr>
        <w:pStyle w:val="Normal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Maradványok főösszege;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Közvetett támogatásokat teljesítése;</w:t>
      </w:r>
    </w:p>
    <w:p>
      <w:pPr>
        <w:pStyle w:val="Normal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Vagyonmérleg alakulása;</w:t>
      </w:r>
    </w:p>
    <w:p>
      <w:pPr>
        <w:pStyle w:val="Normal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Projektek megvalósulása;</w:t>
      </w:r>
    </w:p>
    <w:p>
      <w:pPr>
        <w:pStyle w:val="Normal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Pénzkészlet alakulása</w:t>
      </w:r>
    </w:p>
    <w:p>
      <w:pPr>
        <w:pStyle w:val="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kerültek meghatározásra, bemutatásra.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center" w:pos="6804" w:leader="none"/>
        </w:tabs>
        <w:ind w:left="567" w:right="567" w:hanging="0"/>
        <w:jc w:val="center"/>
        <w:rPr/>
      </w:pPr>
      <w:r>
        <w:rPr>
          <w:b/>
          <w:sz w:val="24"/>
          <w:szCs w:val="24"/>
        </w:rPr>
        <w:t>5. §-hoz</w:t>
      </w:r>
    </w:p>
    <w:p>
      <w:pPr>
        <w:pStyle w:val="Normal"/>
        <w:tabs>
          <w:tab w:val="clear" w:pos="708"/>
          <w:tab w:val="center" w:pos="6804" w:leader="none"/>
        </w:tabs>
        <w:ind w:left="567" w:right="567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center" w:pos="6804" w:leader="none"/>
        </w:tabs>
        <w:ind w:right="567" w:hanging="0"/>
        <w:rPr/>
      </w:pPr>
      <w:r>
        <w:rPr>
          <w:sz w:val="24"/>
          <w:szCs w:val="24"/>
        </w:rPr>
        <w:t>Hatályba léptető rendelkezés.</w:t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1417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7320"/>
              <wp:effectExtent l="0" t="0" r="0" b="0"/>
              <wp:wrapSquare wrapText="largest"/>
              <wp:docPr id="1" name="Kere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fej"/>
                            <w:rPr/>
                          </w:pPr>
                          <w:r>
                            <w:rPr>
                              <w:rStyle w:val="Oldalszm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3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eret1" fillcolor="white" stroked="f" style="position:absolute;margin-left:224.25pt;margin-top:0.05pt;width:5pt;height:11.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Lfej"/>
                      <w:rPr/>
                    </w:pPr>
                    <w:r>
                      <w:rPr>
                        <w:rStyle w:val="Oldalszm"/>
                        <w:color w:val="auto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</w:rPr>
                      <w:t>3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z w:val="24"/>
        <w:i w:val="false"/>
        <w:b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u-HU" w:eastAsia="zh-CN" w:bidi="ar-SA"/>
    </w:rPr>
  </w:style>
  <w:style w:type="paragraph" w:styleId="Cmsor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right" w:pos="3969" w:leader="none"/>
        <w:tab w:val="right" w:pos="6237" w:leader="none"/>
        <w:tab w:val="right" w:pos="8505" w:leader="none"/>
      </w:tabs>
      <w:outlineLvl w:val="0"/>
    </w:pPr>
    <w:rPr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  <w:i w:val="false"/>
      <w:sz w:val="24"/>
      <w:szCs w:val="24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sz w:val="24"/>
      <w:szCs w:val="24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>
      <w:sz w:val="24"/>
      <w:szCs w:val="24"/>
    </w:rPr>
  </w:style>
  <w:style w:type="character" w:styleId="WW8Num15z0">
    <w:name w:val="WW8Num15z0"/>
    <w:qFormat/>
    <w:rPr>
      <w:rFonts w:ascii="Symbol" w:hAnsi="Symbol" w:cs="Symbol"/>
      <w:sz w:val="24"/>
      <w:szCs w:val="24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Bekezdsalapbettpusa">
    <w:name w:val="Bekezdés alapbetűtípusa"/>
    <w:qFormat/>
    <w:rPr/>
  </w:style>
  <w:style w:type="character" w:styleId="Oldalszm">
    <w:name w:val="Oldalszám"/>
    <w:basedOn w:val="Bekezdsalapbettpusa"/>
    <w:rPr/>
  </w:style>
  <w:style w:type="character" w:styleId="ListLabel1">
    <w:name w:val="ListLabel 1"/>
    <w:qFormat/>
    <w:rPr>
      <w:b/>
      <w:i w:val="false"/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rFonts w:cs="Symbol"/>
      <w:sz w:val="24"/>
      <w:szCs w:val="24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/>
    <w:rPr>
      <w:sz w:val="24"/>
    </w:rPr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Szvegtrzs2">
    <w:name w:val="Szövegtörzs 2"/>
    <w:basedOn w:val="Normal"/>
    <w:qFormat/>
    <w:pPr>
      <w:tabs>
        <w:tab w:val="clear" w:pos="708"/>
        <w:tab w:val="left" w:pos="426" w:leader="none"/>
        <w:tab w:val="right" w:pos="2835" w:leader="none"/>
        <w:tab w:val="right" w:pos="9072" w:leader="none"/>
      </w:tabs>
      <w:jc w:val="both"/>
    </w:pPr>
    <w:rPr>
      <w:sz w:val="24"/>
    </w:rPr>
  </w:style>
  <w:style w:type="paragraph" w:styleId="Lfej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uborkszveg">
    <w:name w:val="Buborékszöveg"/>
    <w:basedOn w:val="Normal"/>
    <w:qFormat/>
    <w:pPr/>
    <w:rPr>
      <w:rFonts w:ascii="Tahoma" w:hAnsi="Tahoma" w:cs="Tahoma"/>
      <w:sz w:val="16"/>
      <w:szCs w:val="16"/>
    </w:rPr>
  </w:style>
  <w:style w:type="paragraph" w:styleId="Llb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Kerettartalom">
    <w:name w:val="Kerettartalom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LibreOffice/6.2.3.2$Windows_X86_64 LibreOffice_project/aecc05fe267cc68dde00352a451aa867b3b546ac</Application>
  <Pages>3</Pages>
  <Words>630</Words>
  <Characters>4807</Characters>
  <CharactersWithSpaces>5362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2022-05-18T14:28:00Z</dcterms:created>
  <dc:creator>Pénzügy</dc:creator>
  <dc:description/>
  <dc:language>hu-HU</dc:language>
  <cp:lastModifiedBy/>
  <cp:lastPrinted>2017-05-18T14:17:00Z</cp:lastPrinted>
  <dcterms:modified xsi:type="dcterms:W3CDTF">2022-05-27T07:24:14Z</dcterms:modified>
  <cp:revision>4</cp:revision>
  <dc:subject/>
  <dc:title>KÖRMEND VÁROS ÖNKORMÁNYZATA</dc:title>
</cp:coreProperties>
</file>