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18" w:rsidRDefault="007E7918" w:rsidP="007E7918">
      <w:pPr>
        <w:jc w:val="center"/>
        <w:rPr>
          <w:b/>
          <w:u w:val="single"/>
        </w:rPr>
      </w:pPr>
      <w:r>
        <w:rPr>
          <w:b/>
          <w:u w:val="single"/>
        </w:rPr>
        <w:t>ELŐTERJESZTÉS</w:t>
      </w:r>
    </w:p>
    <w:p w:rsidR="007E7918" w:rsidRPr="000E2FC8" w:rsidRDefault="007E7918" w:rsidP="007E7918">
      <w:pPr>
        <w:jc w:val="center"/>
        <w:rPr>
          <w:b/>
          <w:u w:val="single"/>
        </w:rPr>
      </w:pPr>
    </w:p>
    <w:p w:rsidR="007E7918" w:rsidRPr="007E7918" w:rsidRDefault="007E7918" w:rsidP="007E7918">
      <w:pPr>
        <w:jc w:val="center"/>
        <w:rPr>
          <w:b/>
        </w:rPr>
      </w:pPr>
      <w:r w:rsidRPr="007E7918">
        <w:rPr>
          <w:b/>
        </w:rPr>
        <w:t>Körmend város Önkormányzata  Képvis</w:t>
      </w:r>
      <w:r w:rsidR="00D37EC6">
        <w:rPr>
          <w:b/>
        </w:rPr>
        <w:t>elő-testülete 2013. szeptember 26</w:t>
      </w:r>
      <w:r w:rsidRPr="007E7918">
        <w:rPr>
          <w:b/>
        </w:rPr>
        <w:t>-i ülésére</w:t>
      </w:r>
    </w:p>
    <w:p w:rsidR="007E7918" w:rsidRDefault="007E7918" w:rsidP="007E7918">
      <w:pPr>
        <w:rPr>
          <w:b/>
        </w:rPr>
      </w:pPr>
    </w:p>
    <w:p w:rsidR="007E7918" w:rsidRDefault="007E7918" w:rsidP="007E7918">
      <w:pPr>
        <w:rPr>
          <w:b/>
        </w:rPr>
      </w:pPr>
    </w:p>
    <w:p w:rsidR="007E7918" w:rsidRDefault="007E7918" w:rsidP="007E7918">
      <w:r>
        <w:rPr>
          <w:b/>
        </w:rPr>
        <w:t xml:space="preserve">Tárgy: </w:t>
      </w:r>
      <w:r>
        <w:t xml:space="preserve">vagyongazdálkodási koncepció jóváhagyása </w:t>
      </w:r>
    </w:p>
    <w:p w:rsidR="007E7918" w:rsidRDefault="007E7918" w:rsidP="007E7918"/>
    <w:p w:rsidR="007E7918" w:rsidRDefault="007E7918" w:rsidP="00C076C3">
      <w:pPr>
        <w:jc w:val="both"/>
      </w:pPr>
    </w:p>
    <w:p w:rsidR="007E7918" w:rsidRDefault="00C076C3" w:rsidP="00C076C3">
      <w:pPr>
        <w:jc w:val="both"/>
      </w:pPr>
      <w:r>
        <w:t xml:space="preserve">A nemzeti vagyonról szóló törvény értelmében a helyi önkormányzatoknak közép-és hosszútávú vagyongazdálkodási koncepciót kell készíteniük. </w:t>
      </w:r>
    </w:p>
    <w:p w:rsidR="00C076C3" w:rsidRDefault="00C076C3" w:rsidP="00C076C3">
      <w:pPr>
        <w:jc w:val="both"/>
      </w:pPr>
    </w:p>
    <w:p w:rsidR="00C076C3" w:rsidRDefault="00C076C3" w:rsidP="00C076C3">
      <w:pPr>
        <w:jc w:val="both"/>
      </w:pPr>
      <w:r>
        <w:t>A törvényi előírásoknak jelen előterjesztéssel eleget tesz az Önkormányzat</w:t>
      </w:r>
      <w:r w:rsidR="00DA1953">
        <w:t xml:space="preserve">, egyúttal reméljük, hogy lesz lehetőség a jövőben arra, hogy koncepció mentén gazdálkodjanak az Önkormányzatok. </w:t>
      </w:r>
    </w:p>
    <w:p w:rsidR="00DA1953" w:rsidRDefault="00DA1953" w:rsidP="00C076C3">
      <w:pPr>
        <w:jc w:val="both"/>
      </w:pPr>
    </w:p>
    <w:p w:rsidR="00C076C3" w:rsidRDefault="00C076C3" w:rsidP="00C076C3">
      <w:pPr>
        <w:jc w:val="both"/>
      </w:pPr>
      <w:r>
        <w:t xml:space="preserve">Az önkormányzati vagyont illetően: </w:t>
      </w:r>
    </w:p>
    <w:p w:rsidR="005113B1" w:rsidRDefault="005113B1" w:rsidP="005113B1">
      <w:pPr>
        <w:autoSpaceDE w:val="0"/>
        <w:autoSpaceDN w:val="0"/>
        <w:adjustRightInd w:val="0"/>
        <w:jc w:val="both"/>
      </w:pPr>
      <w:r w:rsidRPr="005113B1">
        <w:t>Forgalomképtelen vagyon:</w:t>
      </w:r>
    </w:p>
    <w:p w:rsidR="005113B1" w:rsidRPr="005113B1" w:rsidRDefault="005113B1" w:rsidP="005113B1">
      <w:pPr>
        <w:autoSpaceDE w:val="0"/>
        <w:autoSpaceDN w:val="0"/>
        <w:adjustRightInd w:val="0"/>
        <w:jc w:val="both"/>
      </w:pPr>
    </w:p>
    <w:p w:rsidR="005113B1" w:rsidRDefault="005113B1" w:rsidP="005113B1">
      <w:pPr>
        <w:autoSpaceDE w:val="0"/>
        <w:autoSpaceDN w:val="0"/>
        <w:adjustRightInd w:val="0"/>
        <w:ind w:firstLine="204"/>
        <w:jc w:val="both"/>
        <w:rPr>
          <w:rFonts w:eastAsiaTheme="minorHAnsi"/>
          <w:sz w:val="20"/>
          <w:szCs w:val="20"/>
          <w:lang w:eastAsia="en-US"/>
        </w:rPr>
      </w:pPr>
      <w:r w:rsidRPr="005113B1">
        <w:t xml:space="preserve"> </w:t>
      </w:r>
      <w:r>
        <w:t>„</w:t>
      </w:r>
      <w:r w:rsidRPr="005113B1">
        <w:rPr>
          <w:rFonts w:eastAsiaTheme="minorHAnsi"/>
          <w:i/>
          <w:iCs/>
          <w:lang w:eastAsia="en-US"/>
        </w:rPr>
        <w:t xml:space="preserve">a) </w:t>
      </w:r>
      <w:r w:rsidRPr="005113B1">
        <w:rPr>
          <w:rFonts w:eastAsiaTheme="minorHAnsi"/>
          <w:lang w:eastAsia="en-US"/>
        </w:rPr>
        <w:t>a helyi közutak és műtárgyaik</w:t>
      </w:r>
      <w:r>
        <w:rPr>
          <w:rFonts w:eastAsiaTheme="minorHAnsi"/>
          <w:sz w:val="20"/>
          <w:szCs w:val="20"/>
          <w:lang w:eastAsia="en-US"/>
        </w:rPr>
        <w:t>,</w:t>
      </w:r>
    </w:p>
    <w:p w:rsidR="005113B1" w:rsidRPr="005113B1" w:rsidRDefault="005113B1" w:rsidP="005113B1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5113B1">
        <w:rPr>
          <w:rFonts w:eastAsiaTheme="minorHAnsi"/>
          <w:i/>
          <w:iCs/>
          <w:lang w:eastAsia="en-US"/>
        </w:rPr>
        <w:t xml:space="preserve">b) </w:t>
      </w:r>
      <w:r w:rsidRPr="005113B1">
        <w:rPr>
          <w:rFonts w:eastAsiaTheme="minorHAnsi"/>
          <w:lang w:eastAsia="en-US"/>
        </w:rPr>
        <w:t>a helyi önkormányzat tulajdonában álló terek, parkok,</w:t>
      </w:r>
    </w:p>
    <w:p w:rsidR="005113B1" w:rsidRPr="005113B1" w:rsidRDefault="005113B1" w:rsidP="005113B1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5113B1">
        <w:rPr>
          <w:rFonts w:eastAsiaTheme="minorHAnsi"/>
          <w:i/>
          <w:iCs/>
          <w:lang w:eastAsia="en-US"/>
        </w:rPr>
        <w:t xml:space="preserve">c) </w:t>
      </w:r>
      <w:r w:rsidRPr="005113B1">
        <w:rPr>
          <w:rFonts w:eastAsiaTheme="minorHAnsi"/>
          <w:lang w:eastAsia="en-US"/>
        </w:rPr>
        <w:t>a helyi önkormányzat tulajdonában álló nemzetközi kereskedelmi repülőtér, a hozzá tartozó légiforgalmi távközlő, rádiónavigációs és fénytechnikai berendezésekkel és eszközökkel, továbbá a légiforgalmi irányító szolgálat elhelyezését szolgáló létesítményekkel együtt, valamint</w:t>
      </w:r>
    </w:p>
    <w:p w:rsidR="005113B1" w:rsidRPr="005113B1" w:rsidRDefault="005113B1" w:rsidP="005113B1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5113B1">
        <w:rPr>
          <w:rFonts w:eastAsiaTheme="minorHAnsi"/>
          <w:i/>
          <w:iCs/>
          <w:lang w:eastAsia="en-US"/>
        </w:rPr>
        <w:t xml:space="preserve">d) </w:t>
      </w:r>
      <w:r w:rsidRPr="005113B1">
        <w:rPr>
          <w:rFonts w:eastAsiaTheme="minorHAnsi"/>
          <w:lang w:eastAsia="en-US"/>
        </w:rPr>
        <w:t>a helyi önkormányzat tulajdonában álló - külön törvény rendelkezése alapján részére átadott - vizek, közcélú vízi létesítmények, ide nem értve a vízi közműveket.</w:t>
      </w:r>
      <w:r>
        <w:rPr>
          <w:rFonts w:eastAsiaTheme="minorHAnsi"/>
          <w:lang w:eastAsia="en-US"/>
        </w:rPr>
        <w:t>”</w:t>
      </w:r>
      <w:r>
        <w:rPr>
          <w:rStyle w:val="Lbjegyzet-hivatkozs"/>
          <w:rFonts w:eastAsiaTheme="minorHAnsi"/>
          <w:lang w:eastAsia="en-US"/>
        </w:rPr>
        <w:footnoteReference w:id="2"/>
      </w:r>
    </w:p>
    <w:p w:rsidR="005113B1" w:rsidRPr="005113B1" w:rsidRDefault="005113B1" w:rsidP="005113B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113B1" w:rsidRDefault="005113B1" w:rsidP="00C076C3">
      <w:pPr>
        <w:jc w:val="both"/>
      </w:pPr>
    </w:p>
    <w:p w:rsidR="005113B1" w:rsidRDefault="005113B1" w:rsidP="00C076C3">
      <w:pPr>
        <w:jc w:val="both"/>
      </w:pPr>
      <w:r>
        <w:t xml:space="preserve">Korlátozottan forgalomképes vagyon: </w:t>
      </w:r>
    </w:p>
    <w:p w:rsidR="005113B1" w:rsidRDefault="005113B1" w:rsidP="00C076C3">
      <w:pPr>
        <w:jc w:val="both"/>
      </w:pPr>
    </w:p>
    <w:p w:rsidR="005113B1" w:rsidRPr="005113B1" w:rsidRDefault="005113B1" w:rsidP="00C076C3">
      <w:pPr>
        <w:jc w:val="both"/>
      </w:pPr>
    </w:p>
    <w:p w:rsidR="005113B1" w:rsidRPr="005113B1" w:rsidRDefault="005113B1" w:rsidP="005113B1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>„</w:t>
      </w:r>
      <w:r w:rsidRPr="005113B1">
        <w:rPr>
          <w:rFonts w:eastAsiaTheme="minorHAnsi"/>
          <w:i/>
          <w:iCs/>
          <w:lang w:eastAsia="en-US"/>
        </w:rPr>
        <w:t xml:space="preserve">a) </w:t>
      </w:r>
      <w:r w:rsidRPr="005113B1">
        <w:rPr>
          <w:rFonts w:eastAsiaTheme="minorHAnsi"/>
          <w:lang w:eastAsia="en-US"/>
        </w:rPr>
        <w:t>a helyi önkormányzat tulajdonában álló közmű,</w:t>
      </w:r>
    </w:p>
    <w:p w:rsidR="005113B1" w:rsidRPr="005113B1" w:rsidRDefault="005113B1" w:rsidP="005113B1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5113B1">
        <w:rPr>
          <w:rFonts w:eastAsiaTheme="minorHAnsi"/>
          <w:i/>
          <w:iCs/>
          <w:lang w:eastAsia="en-US"/>
        </w:rPr>
        <w:t xml:space="preserve">b) </w:t>
      </w:r>
      <w:r w:rsidRPr="005113B1">
        <w:rPr>
          <w:rFonts w:eastAsiaTheme="minorHAnsi"/>
          <w:lang w:eastAsia="en-US"/>
        </w:rPr>
        <w:t>a helyi önkormányzat tulajdonában álló, a helyi önkormányzat képviselő-testülete és szervei, továbbá a helyi önkormányzat által fenntartott, közfeladatot ellátó intézmény, költségvetési szerv elhelyezését, valamint azok feladatának ellátását szolgáló épület, épületrész,</w:t>
      </w:r>
    </w:p>
    <w:p w:rsidR="005113B1" w:rsidRDefault="005113B1" w:rsidP="005113B1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5113B1">
        <w:rPr>
          <w:rFonts w:eastAsiaTheme="minorHAnsi"/>
          <w:i/>
          <w:iCs/>
          <w:lang w:eastAsia="en-US"/>
        </w:rPr>
        <w:t xml:space="preserve">c) </w:t>
      </w:r>
      <w:r w:rsidRPr="005113B1">
        <w:rPr>
          <w:rFonts w:eastAsiaTheme="minorHAnsi"/>
          <w:lang w:eastAsia="en-US"/>
        </w:rPr>
        <w:t>a helyi önkormányzat többségi tulajdonában álló, közszolgáltatási tevékenységet vagy parkolási szolgáltatást ellátó gazdasági társaságban fennálló, helyi önkormányzati tulajdonban lévő társasági részesedé</w:t>
      </w:r>
      <w:r>
        <w:rPr>
          <w:rFonts w:eastAsiaTheme="minorHAnsi"/>
          <w:lang w:eastAsia="en-US"/>
        </w:rPr>
        <w:t>s.”</w:t>
      </w:r>
      <w:r>
        <w:rPr>
          <w:rStyle w:val="Lbjegyzet-hivatkozs"/>
          <w:rFonts w:eastAsiaTheme="minorHAnsi"/>
          <w:lang w:eastAsia="en-US"/>
        </w:rPr>
        <w:footnoteReference w:id="3"/>
      </w:r>
    </w:p>
    <w:p w:rsidR="005113B1" w:rsidRDefault="005113B1" w:rsidP="005113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13B1" w:rsidRPr="005113B1" w:rsidRDefault="005113B1" w:rsidP="005113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</w:t>
      </w:r>
      <w:r w:rsidRPr="005113B1">
        <w:rPr>
          <w:rFonts w:eastAsiaTheme="minorHAnsi"/>
          <w:lang w:eastAsia="en-US"/>
        </w:rPr>
        <w:t xml:space="preserve">A korlátozottan forgalomképes törzsvagyoni minősítés az (5) bekezdés </w:t>
      </w:r>
      <w:r w:rsidRPr="005113B1">
        <w:rPr>
          <w:rFonts w:eastAsiaTheme="minorHAnsi"/>
          <w:i/>
          <w:iCs/>
          <w:lang w:eastAsia="en-US"/>
        </w:rPr>
        <w:t xml:space="preserve">a)-c) </w:t>
      </w:r>
      <w:r w:rsidRPr="005113B1">
        <w:rPr>
          <w:rFonts w:eastAsiaTheme="minorHAnsi"/>
          <w:lang w:eastAsia="en-US"/>
        </w:rPr>
        <w:t>pontja szerinti nemzeti vagyon tekintetében addig áll fenn, amíg az adott vagyontárgy közvetlenül önkormányzati feladat és hatáskör ellátását vagy a közhatalom gyakorlását szolgálja.</w:t>
      </w:r>
      <w:r>
        <w:rPr>
          <w:rFonts w:eastAsiaTheme="minorHAnsi"/>
          <w:lang w:eastAsia="en-US"/>
        </w:rPr>
        <w:t>”</w:t>
      </w:r>
      <w:r>
        <w:rPr>
          <w:rStyle w:val="Lbjegyzet-hivatkozs"/>
          <w:rFonts w:eastAsiaTheme="minorHAnsi"/>
          <w:lang w:eastAsia="en-US"/>
        </w:rPr>
        <w:footnoteReference w:id="4"/>
      </w:r>
    </w:p>
    <w:p w:rsidR="005113B1" w:rsidRPr="005113B1" w:rsidRDefault="005113B1" w:rsidP="005113B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61F28" w:rsidRDefault="00161F28" w:rsidP="00C076C3">
      <w:pPr>
        <w:jc w:val="both"/>
      </w:pPr>
      <w:r>
        <w:t>Ennek megfelelően a</w:t>
      </w:r>
      <w:r w:rsidR="00BD3E3B">
        <w:t>z ö</w:t>
      </w:r>
      <w:r>
        <w:t>nkormányzat</w:t>
      </w:r>
      <w:r w:rsidR="00BD3E3B">
        <w:t>i</w:t>
      </w:r>
      <w:r>
        <w:t xml:space="preserve"> vagyonnal való rendelkezése ténylegesen az üzleti vagyon elem</w:t>
      </w:r>
      <w:r w:rsidR="00D37EC6">
        <w:t>e</w:t>
      </w:r>
      <w:r>
        <w:t xml:space="preserve">ire terjed ki. </w:t>
      </w:r>
    </w:p>
    <w:p w:rsidR="00F351E4" w:rsidRDefault="00F351E4" w:rsidP="00C076C3">
      <w:pPr>
        <w:jc w:val="both"/>
      </w:pPr>
    </w:p>
    <w:p w:rsidR="00161F28" w:rsidRDefault="00F351E4" w:rsidP="00161F28">
      <w:pPr>
        <w:jc w:val="both"/>
      </w:pPr>
      <w:r>
        <w:lastRenderedPageBreak/>
        <w:t xml:space="preserve">Az </w:t>
      </w:r>
      <w:r w:rsidR="00161F28">
        <w:t>Önkormányzat tulajdonában ál</w:t>
      </w:r>
      <w:r>
        <w:t xml:space="preserve">ló, üzleti vagyont képező ingatlanok az alábbiak: </w:t>
      </w:r>
    </w:p>
    <w:p w:rsidR="00161F28" w:rsidRDefault="00161F28" w:rsidP="00161F28">
      <w:pPr>
        <w:pStyle w:val="Listaszerbekezds"/>
        <w:jc w:val="both"/>
      </w:pPr>
    </w:p>
    <w:p w:rsidR="00161F28" w:rsidRDefault="00161F28" w:rsidP="00161F28">
      <w:pPr>
        <w:pStyle w:val="Listaszerbekezds"/>
        <w:numPr>
          <w:ilvl w:val="0"/>
          <w:numId w:val="10"/>
        </w:numPr>
        <w:jc w:val="both"/>
      </w:pPr>
      <w:r>
        <w:t>mezőgazdasági területek</w:t>
      </w:r>
    </w:p>
    <w:p w:rsidR="00987DBC" w:rsidRDefault="00987DBC" w:rsidP="00161F28">
      <w:pPr>
        <w:pStyle w:val="Listaszerbekezds"/>
        <w:numPr>
          <w:ilvl w:val="0"/>
          <w:numId w:val="10"/>
        </w:numPr>
        <w:jc w:val="both"/>
      </w:pPr>
      <w:r>
        <w:t>erdő művelési területek</w:t>
      </w:r>
    </w:p>
    <w:p w:rsidR="00161F28" w:rsidRDefault="00161F28" w:rsidP="00161F28">
      <w:pPr>
        <w:pStyle w:val="Listaszerbekezds"/>
        <w:numPr>
          <w:ilvl w:val="0"/>
          <w:numId w:val="10"/>
        </w:numPr>
        <w:jc w:val="both"/>
      </w:pPr>
      <w:r>
        <w:t>beépítetlen területek</w:t>
      </w:r>
    </w:p>
    <w:p w:rsidR="00161F28" w:rsidRDefault="00161F28" w:rsidP="00161F28">
      <w:pPr>
        <w:pStyle w:val="Listaszerbekezds"/>
        <w:numPr>
          <w:ilvl w:val="0"/>
          <w:numId w:val="10"/>
        </w:numPr>
        <w:jc w:val="both"/>
      </w:pPr>
      <w:r>
        <w:t>lakóingatlanok</w:t>
      </w:r>
    </w:p>
    <w:p w:rsidR="00161F28" w:rsidRDefault="00161F28" w:rsidP="00161F28">
      <w:pPr>
        <w:pStyle w:val="Listaszerbekezds"/>
        <w:numPr>
          <w:ilvl w:val="0"/>
          <w:numId w:val="10"/>
        </w:numPr>
        <w:jc w:val="both"/>
      </w:pPr>
      <w:r>
        <w:t>nem lakás céljára szolgáló helyiségek</w:t>
      </w:r>
    </w:p>
    <w:p w:rsidR="00161F28" w:rsidRDefault="00161F28" w:rsidP="00161F28">
      <w:pPr>
        <w:pStyle w:val="Listaszerbekezds"/>
        <w:ind w:left="1080"/>
        <w:jc w:val="both"/>
      </w:pPr>
    </w:p>
    <w:p w:rsidR="00161F28" w:rsidRDefault="00161F28" w:rsidP="00161F28">
      <w:pPr>
        <w:jc w:val="both"/>
      </w:pPr>
      <w:r>
        <w:t xml:space="preserve">Az Önkormányzat tulajdonában álló ingóságok célhoz kötöttek, feladatellátást szolgálnak, így értékesítésük nem releváns. </w:t>
      </w:r>
    </w:p>
    <w:p w:rsidR="005B343E" w:rsidRDefault="005B343E" w:rsidP="00161F28">
      <w:pPr>
        <w:jc w:val="both"/>
      </w:pPr>
    </w:p>
    <w:p w:rsidR="005B343E" w:rsidRDefault="005B343E" w:rsidP="00161F28">
      <w:pPr>
        <w:jc w:val="both"/>
      </w:pPr>
      <w:r>
        <w:t>Az Önkormányzat továbbá gazdasági társaságokban is rendelkezik részesedéssel az alábbiak szerint:</w:t>
      </w:r>
    </w:p>
    <w:p w:rsidR="005B343E" w:rsidRDefault="005B343E" w:rsidP="00161F28">
      <w:pPr>
        <w:jc w:val="both"/>
      </w:pPr>
    </w:p>
    <w:p w:rsidR="00312721" w:rsidRDefault="00312721" w:rsidP="00161F28">
      <w:pPr>
        <w:jc w:val="both"/>
      </w:pPr>
      <w:r>
        <w:t xml:space="preserve">                                                                  Tulajdoni hányad  Üzletrész vagy részvény értéke (e Ft)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0"/>
        <w:gridCol w:w="1370"/>
        <w:gridCol w:w="2730"/>
      </w:tblGrid>
      <w:tr w:rsidR="00312721" w:rsidRPr="00312721" w:rsidTr="00312721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Nyugat-Pannon Regionális Fejlesztési Zrt</w:t>
            </w:r>
          </w:p>
        </w:tc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</w:t>
            </w:r>
            <w:r w:rsidRPr="00312721">
              <w:rPr>
                <w:color w:val="000000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                </w:t>
            </w:r>
            <w:r w:rsidRPr="00312721">
              <w:rPr>
                <w:color w:val="000000"/>
              </w:rPr>
              <w:t>800</w:t>
            </w:r>
          </w:p>
        </w:tc>
      </w:tr>
      <w:tr w:rsidR="00312721" w:rsidRPr="00312721" w:rsidTr="00312721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Körmendi Idősekért Nonprofit Kft</w:t>
            </w:r>
          </w:p>
        </w:tc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jc w:val="right"/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jc w:val="right"/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38000</w:t>
            </w:r>
          </w:p>
        </w:tc>
      </w:tr>
      <w:tr w:rsidR="00312721" w:rsidRPr="00312721" w:rsidTr="00312721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Régióhő Kft</w:t>
            </w:r>
          </w:p>
        </w:tc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jc w:val="right"/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43,60%</w:t>
            </w:r>
          </w:p>
        </w:tc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jc w:val="right"/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100380</w:t>
            </w:r>
          </w:p>
        </w:tc>
      </w:tr>
      <w:tr w:rsidR="00312721" w:rsidRPr="00312721" w:rsidTr="00312721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Müllex Kft</w:t>
            </w:r>
          </w:p>
        </w:tc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jc w:val="right"/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4,15%</w:t>
            </w:r>
          </w:p>
        </w:tc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jc w:val="right"/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4180</w:t>
            </w:r>
          </w:p>
        </w:tc>
      </w:tr>
      <w:tr w:rsidR="00312721" w:rsidRPr="00312721" w:rsidTr="00312721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Vasivíz Zrt</w:t>
            </w:r>
          </w:p>
        </w:tc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jc w:val="right"/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4,29</w:t>
            </w:r>
          </w:p>
        </w:tc>
        <w:tc>
          <w:tcPr>
            <w:tcW w:w="0" w:type="auto"/>
            <w:vAlign w:val="center"/>
            <w:hideMark/>
          </w:tcPr>
          <w:p w:rsidR="00312721" w:rsidRPr="00312721" w:rsidRDefault="00312721" w:rsidP="00312721">
            <w:pPr>
              <w:jc w:val="right"/>
              <w:rPr>
                <w:color w:val="000000"/>
                <w:sz w:val="20"/>
                <w:szCs w:val="20"/>
              </w:rPr>
            </w:pPr>
            <w:r w:rsidRPr="00312721">
              <w:rPr>
                <w:color w:val="000000"/>
              </w:rPr>
              <w:t>323300</w:t>
            </w:r>
          </w:p>
        </w:tc>
      </w:tr>
    </w:tbl>
    <w:p w:rsidR="005B343E" w:rsidRPr="00312721" w:rsidRDefault="005B343E" w:rsidP="00161F28">
      <w:pPr>
        <w:jc w:val="both"/>
      </w:pPr>
    </w:p>
    <w:p w:rsidR="005B343E" w:rsidRPr="00312721" w:rsidRDefault="005B343E" w:rsidP="00161F28">
      <w:pPr>
        <w:jc w:val="both"/>
      </w:pPr>
    </w:p>
    <w:p w:rsidR="005B343E" w:rsidRDefault="005B343E" w:rsidP="00161F28">
      <w:pPr>
        <w:jc w:val="both"/>
      </w:pPr>
    </w:p>
    <w:p w:rsidR="005B343E" w:rsidRDefault="005B343E" w:rsidP="00161F28">
      <w:pPr>
        <w:jc w:val="both"/>
      </w:pPr>
      <w:r>
        <w:t xml:space="preserve">A továbbiakban az ingatlanokra vonatkozóan adunk áttekintő képet a jelenlegi helyzetről és hasznosítási módozatról. </w:t>
      </w:r>
    </w:p>
    <w:p w:rsidR="00161F28" w:rsidRDefault="00161F28" w:rsidP="00161F28">
      <w:pPr>
        <w:jc w:val="both"/>
      </w:pPr>
    </w:p>
    <w:p w:rsidR="00312721" w:rsidRDefault="00312721" w:rsidP="00161F28">
      <w:pPr>
        <w:jc w:val="both"/>
      </w:pPr>
    </w:p>
    <w:p w:rsidR="00312721" w:rsidRDefault="00312721" w:rsidP="00161F28">
      <w:pPr>
        <w:jc w:val="both"/>
      </w:pPr>
    </w:p>
    <w:p w:rsidR="009374CA" w:rsidRDefault="009374CA" w:rsidP="009374CA">
      <w:pPr>
        <w:jc w:val="center"/>
        <w:rPr>
          <w:b/>
        </w:rPr>
      </w:pPr>
      <w:r>
        <w:rPr>
          <w:b/>
        </w:rPr>
        <w:t>KÖZÉP</w:t>
      </w:r>
      <w:r w:rsidRPr="009374CA">
        <w:rPr>
          <w:b/>
        </w:rPr>
        <w:t>TÁVÚ TERVEZÉS</w:t>
      </w:r>
    </w:p>
    <w:p w:rsidR="009374CA" w:rsidRPr="009374CA" w:rsidRDefault="009374CA" w:rsidP="009374CA">
      <w:pPr>
        <w:jc w:val="center"/>
        <w:rPr>
          <w:b/>
        </w:rPr>
      </w:pPr>
    </w:p>
    <w:p w:rsidR="00161F28" w:rsidRPr="00DA369E" w:rsidRDefault="009374CA" w:rsidP="009374CA">
      <w:pPr>
        <w:pStyle w:val="Listaszerbekezds"/>
        <w:numPr>
          <w:ilvl w:val="0"/>
          <w:numId w:val="11"/>
        </w:numPr>
        <w:jc w:val="both"/>
        <w:rPr>
          <w:b/>
        </w:rPr>
      </w:pPr>
      <w:r w:rsidRPr="00DA369E">
        <w:rPr>
          <w:b/>
        </w:rPr>
        <w:t>Mezőgazdasági területek:</w:t>
      </w:r>
    </w:p>
    <w:p w:rsidR="009374CA" w:rsidRDefault="009374CA" w:rsidP="009374CA">
      <w:pPr>
        <w:pStyle w:val="Listaszerbekezds"/>
        <w:jc w:val="both"/>
      </w:pPr>
    </w:p>
    <w:p w:rsidR="009374CA" w:rsidRDefault="009374CA" w:rsidP="009374CA">
      <w:pPr>
        <w:pStyle w:val="Listaszerbekezds"/>
        <w:jc w:val="both"/>
      </w:pPr>
      <w:r>
        <w:t xml:space="preserve">A mezőgazdasági művelés alatt álló területek közül a termőföldek esetében azt javasoljuk, hogy az Önkormányzat kizárólagos tulajdonában álló, és a 3000 m2-nél nagyobb részarányú termőföldeket az Önkormányzat egyelőre ne értékesítse, hanem tartsa azokat önkormányzati tulajdonban. A termőföld értéke folyamatosan nő. A termőföldeket bérbeadással kell hasznosítani piaci haszonbérek mellett. </w:t>
      </w:r>
    </w:p>
    <w:p w:rsidR="009374CA" w:rsidRDefault="009374CA" w:rsidP="009374CA">
      <w:pPr>
        <w:pStyle w:val="Listaszerbekezds"/>
        <w:jc w:val="both"/>
      </w:pPr>
    </w:p>
    <w:p w:rsidR="00847823" w:rsidRDefault="009374CA" w:rsidP="009374CA">
      <w:pPr>
        <w:pStyle w:val="Listaszerbekezds"/>
        <w:jc w:val="both"/>
      </w:pPr>
      <w:r>
        <w:t xml:space="preserve">Termőföldnek csak a külterületi mezőgazdasági művelési ágú ingatlanok minősülnek. </w:t>
      </w:r>
      <w:r w:rsidR="00501EE8">
        <w:t>A termőföldeket a Városgondnokság hasznosítja bérbeadás útján a Képviselő-testület döntésének megfelelően.</w:t>
      </w:r>
    </w:p>
    <w:p w:rsidR="00847823" w:rsidRDefault="00847823" w:rsidP="009374CA">
      <w:pPr>
        <w:pStyle w:val="Listaszerbekezds"/>
        <w:jc w:val="both"/>
      </w:pPr>
    </w:p>
    <w:p w:rsidR="009374CA" w:rsidRDefault="00847823" w:rsidP="009374CA">
      <w:pPr>
        <w:pStyle w:val="Listaszerbekezds"/>
        <w:jc w:val="both"/>
      </w:pPr>
      <w:r>
        <w:t>Sajnos a mezőgazdasági művelés alatt álló ingatlanok közül nagyon kevés az egybefüggő és nagy kiterjedésű ingatlan. Nagyon sok olyan ingatlan van az Önkormányzat tulajdonában, amely mindössze pár m2-t tesz ki, főleg a Rábán alul találhatóak ilyen területek. Ezek esetében megfontolandó, hogy ne külön-külön, hanem összevontan értékesítsen ingatlanokat az Önkor</w:t>
      </w:r>
      <w:r w:rsidR="00D0457C">
        <w:t>mányzat, hogy az így nagyobb ér</w:t>
      </w:r>
      <w:r>
        <w:t>t</w:t>
      </w:r>
      <w:r w:rsidR="00D0457C">
        <w:t>é</w:t>
      </w:r>
      <w:r>
        <w:t xml:space="preserve">ket képezzen, bár nem tudni, hogy jelenleg így lenne-e piaci érdeklődés a területekre. Különösen ezen sok pár m2 nagyságú ingatlanoknál időszerű megvizsgálni azt, hogy ténylegesen használja-e </w:t>
      </w:r>
      <w:r>
        <w:lastRenderedPageBreak/>
        <w:t xml:space="preserve">azokat valaki (ezen ingatlanok többségére ui. nincs bérleti szerződés kötve), s ha igen, a használóval megállapodást kell kötni, az elbirtoklást meg kell akadályozni. Mindez hatalmas munka, azt csak ütemezetten lehet elvégezni. </w:t>
      </w:r>
    </w:p>
    <w:p w:rsidR="00501EE8" w:rsidRDefault="00501EE8" w:rsidP="009374CA">
      <w:pPr>
        <w:pStyle w:val="Listaszerbekezds"/>
        <w:jc w:val="both"/>
      </w:pPr>
    </w:p>
    <w:p w:rsidR="009374CA" w:rsidRDefault="009374CA" w:rsidP="009374CA">
      <w:pPr>
        <w:pStyle w:val="Listaszerbekezds"/>
        <w:jc w:val="both"/>
      </w:pPr>
      <w:r>
        <w:t>A belterületi mezőgazdasági művelés alatt álló ingatlanok esetében nem javasoljuk azt, hogy ezek esetében se kerülhessen sor értékesítésre azzal, hogy a nagyobb kiterjedésű, összefüggő földrészlete</w:t>
      </w:r>
      <w:r w:rsidR="00501EE8">
        <w:t>ket illetően megfontolandó esete</w:t>
      </w:r>
      <w:r>
        <w:t>nként az é</w:t>
      </w:r>
      <w:r w:rsidR="00D0457C">
        <w:t xml:space="preserve">rtékesítéstől való tartózkodás, egy későbbi jobb ajánlat kivárása. </w:t>
      </w:r>
    </w:p>
    <w:p w:rsidR="00C71B43" w:rsidRDefault="00C71B43" w:rsidP="009374CA">
      <w:pPr>
        <w:pStyle w:val="Listaszerbekezds"/>
        <w:jc w:val="both"/>
      </w:pPr>
    </w:p>
    <w:p w:rsidR="00C71B43" w:rsidRDefault="00C71B43" w:rsidP="009374CA">
      <w:pPr>
        <w:pStyle w:val="Listaszerbekezds"/>
        <w:jc w:val="both"/>
      </w:pPr>
      <w:r>
        <w:t>Az Önkormányzat jele</w:t>
      </w:r>
      <w:r w:rsidR="00501EE8">
        <w:t xml:space="preserve">nleg közel 70 ha termőföldet ad bérbe. </w:t>
      </w:r>
    </w:p>
    <w:p w:rsidR="009374CA" w:rsidRDefault="009374CA" w:rsidP="009374CA">
      <w:pPr>
        <w:jc w:val="both"/>
      </w:pPr>
    </w:p>
    <w:p w:rsidR="00987DBC" w:rsidRDefault="00987DBC" w:rsidP="00DA369E">
      <w:pPr>
        <w:pStyle w:val="Listaszerbekezds"/>
        <w:numPr>
          <w:ilvl w:val="0"/>
          <w:numId w:val="11"/>
        </w:numPr>
        <w:jc w:val="both"/>
        <w:rPr>
          <w:b/>
        </w:rPr>
      </w:pPr>
      <w:r w:rsidRPr="00133D9F">
        <w:rPr>
          <w:b/>
        </w:rPr>
        <w:t xml:space="preserve">Erdő művelési területek: </w:t>
      </w:r>
    </w:p>
    <w:p w:rsidR="005B2DB1" w:rsidRDefault="005B2DB1" w:rsidP="005B2DB1">
      <w:pPr>
        <w:pStyle w:val="Listaszerbekezds"/>
        <w:jc w:val="both"/>
        <w:rPr>
          <w:b/>
        </w:rPr>
      </w:pPr>
    </w:p>
    <w:p w:rsidR="005B2DB1" w:rsidRDefault="005B2DB1" w:rsidP="005B2DB1">
      <w:pPr>
        <w:pStyle w:val="Listaszerbekezds"/>
        <w:jc w:val="both"/>
      </w:pPr>
      <w:r w:rsidRPr="005B2DB1">
        <w:t xml:space="preserve">Az Önkormányzat </w:t>
      </w:r>
      <w:r w:rsidR="00D37EC6">
        <w:t>kicsivel több, mint 5</w:t>
      </w:r>
      <w:r>
        <w:t xml:space="preserve"> ha kiterjedésű erdőterülettel rendelkezik. Ezen erdőket bejártuk. A tapasztalatok az alábbiak:</w:t>
      </w:r>
    </w:p>
    <w:p w:rsidR="005B2DB1" w:rsidRDefault="005B2DB1" w:rsidP="005B2DB1">
      <w:pPr>
        <w:pStyle w:val="Listaszerbekezds"/>
        <w:jc w:val="both"/>
      </w:pPr>
    </w:p>
    <w:p w:rsidR="005B2DB1" w:rsidRDefault="005B2DB1" w:rsidP="005B2DB1">
      <w:pPr>
        <w:pStyle w:val="Listaszerbekezds"/>
        <w:numPr>
          <w:ilvl w:val="0"/>
          <w:numId w:val="10"/>
        </w:numPr>
        <w:jc w:val="both"/>
      </w:pPr>
      <w:r>
        <w:t>a Rábán alul 2 erdőrészlet van önkormányzati tulajdonban. Az egyiken</w:t>
      </w:r>
      <w:r w:rsidR="00ED17DF">
        <w:t xml:space="preserve"> (0,95ha)</w:t>
      </w:r>
      <w:r>
        <w:t xml:space="preserve"> az Erdőhatóság előírásai szerint tölgytelepítés történt,</w:t>
      </w:r>
      <w:r w:rsidR="00ED17DF">
        <w:t xml:space="preserve"> itt figyelni kell arra, hogy az elkövetkezendő min. 5 évben ez ápolást igényel.  A </w:t>
      </w:r>
      <w:r>
        <w:t xml:space="preserve">másik Rábán aluli erdőrészlet </w:t>
      </w:r>
      <w:r w:rsidR="00ED17DF">
        <w:t xml:space="preserve">(2,43 ha) </w:t>
      </w:r>
      <w:r>
        <w:t xml:space="preserve">meglehetősen értéktelen, a tarvágás nem lehetséges, illetve utána a telepítés nagy költségekkel jár. </w:t>
      </w:r>
    </w:p>
    <w:p w:rsidR="0076032F" w:rsidRDefault="0076032F" w:rsidP="005B2DB1">
      <w:pPr>
        <w:pStyle w:val="Listaszerbekezds"/>
        <w:numPr>
          <w:ilvl w:val="0"/>
          <w:numId w:val="10"/>
        </w:numPr>
        <w:jc w:val="both"/>
      </w:pPr>
      <w:r>
        <w:t>A Tesco mögött is található egy erdős terület</w:t>
      </w:r>
      <w:r w:rsidR="00ED17DF">
        <w:t xml:space="preserve"> (0,8ha)</w:t>
      </w:r>
      <w:r>
        <w:t>. Ezen a területen van vágásra lehetőség, kb.</w:t>
      </w:r>
      <w:r w:rsidR="00ED17DF">
        <w:t xml:space="preserve"> 40</w:t>
      </w:r>
      <w:r w:rsidR="00D37EC6">
        <w:t xml:space="preserve"> </w:t>
      </w:r>
      <w:r>
        <w:t>m3 fa</w:t>
      </w:r>
      <w:r w:rsidR="00ED17DF">
        <w:t xml:space="preserve"> (nyárfa) </w:t>
      </w:r>
      <w:r>
        <w:t xml:space="preserve"> lenne belőle kitermelhető az erdész becslése szerint. Viszont az értékesítésből nagy bevétel nem várható, mert az itt található faállomány nagy része puha fa. </w:t>
      </w:r>
      <w:r w:rsidR="00D37EC6">
        <w:t xml:space="preserve">Viszont értékesítés esetén a képződő bevételt (pár 100 e Ft.) ha visszaforgatja az Önkormányzat az erdeinek kezelésébe, akkor jó pár évig megoldja az erdőgazdálkodás terén jelentkező feladatokat. </w:t>
      </w:r>
    </w:p>
    <w:p w:rsidR="0076032F" w:rsidRDefault="0076032F" w:rsidP="005B2DB1">
      <w:pPr>
        <w:pStyle w:val="Listaszerbekezds"/>
        <w:numPr>
          <w:ilvl w:val="0"/>
          <w:numId w:val="10"/>
        </w:numPr>
        <w:jc w:val="both"/>
      </w:pPr>
      <w:r>
        <w:t xml:space="preserve">A műfüves pálya mellett is található egy önkormányzati tulajdonú erdőrészlet, ebből sem vehető ki nagy mennyiségű fa, nem nagy területről van szó. </w:t>
      </w:r>
    </w:p>
    <w:p w:rsidR="0076032F" w:rsidRDefault="0076032F" w:rsidP="0076032F">
      <w:pPr>
        <w:jc w:val="both"/>
      </w:pPr>
    </w:p>
    <w:p w:rsidR="0076032F" w:rsidRPr="005B2DB1" w:rsidRDefault="0076032F" w:rsidP="0076032F">
      <w:pPr>
        <w:pStyle w:val="Listaszerbekezds"/>
        <w:ind w:left="1080"/>
        <w:jc w:val="both"/>
      </w:pPr>
      <w:r>
        <w:t>Az erdész véleményét is kikérve megállapítható, hogy az önkormányzati erdők kitermelése kis, nem összefüggő kiterjedésük és elhelyezkedésük, valamint faállományuk miatt  gazdaságosan nem lehetséges, a munkának az élő munka igénye</w:t>
      </w:r>
      <w:r w:rsidR="00D37EC6">
        <w:t xml:space="preserve"> nagy</w:t>
      </w:r>
      <w:r>
        <w:t xml:space="preserve">, ezért költségei is magasak. Az erdők értékesítése eddig sem volt Körmenden napirenden, ezután sem javasoljuk, mivel pénzben kifejezhető értékük nem nagy, viszont elhelyezkedésük nagyon kedvező, mivel bel-és külterület határán találhatóak. A jövőre nézve megfontolandó lehet az erdőgazdálkodási tevékenység kiszervezése, amikor is bizonyos összegért cserébe az Önkormányzat jogot enged az erdő kitisztítására, egyes fák kivágására. </w:t>
      </w:r>
    </w:p>
    <w:p w:rsidR="00987DBC" w:rsidRDefault="00987DBC" w:rsidP="00987DBC">
      <w:pPr>
        <w:pStyle w:val="Listaszerbekezds"/>
        <w:jc w:val="both"/>
      </w:pPr>
    </w:p>
    <w:p w:rsidR="00DA369E" w:rsidRDefault="00DA369E" w:rsidP="00DA369E">
      <w:pPr>
        <w:pStyle w:val="Listaszerbekezds"/>
        <w:numPr>
          <w:ilvl w:val="0"/>
          <w:numId w:val="11"/>
        </w:numPr>
        <w:jc w:val="both"/>
        <w:rPr>
          <w:b/>
        </w:rPr>
      </w:pPr>
      <w:r w:rsidRPr="0076032F">
        <w:rPr>
          <w:b/>
        </w:rPr>
        <w:t>Beépítetlen területek:</w:t>
      </w:r>
    </w:p>
    <w:p w:rsidR="00D37EC6" w:rsidRDefault="00D37EC6" w:rsidP="00D37EC6">
      <w:pPr>
        <w:pStyle w:val="Listaszerbekezds"/>
        <w:jc w:val="both"/>
        <w:rPr>
          <w:b/>
        </w:rPr>
      </w:pPr>
    </w:p>
    <w:p w:rsidR="00D37EC6" w:rsidRDefault="00D37EC6" w:rsidP="00D37EC6">
      <w:pPr>
        <w:pStyle w:val="Listaszerbekezds"/>
        <w:jc w:val="both"/>
      </w:pPr>
      <w:r w:rsidRPr="00D37EC6">
        <w:t xml:space="preserve">Az önkormányzati tulajdonú beépítetlen területek </w:t>
      </w:r>
      <w:r>
        <w:t xml:space="preserve">szétszórtan találhatóak meg a városban. </w:t>
      </w:r>
    </w:p>
    <w:p w:rsidR="00D37EC6" w:rsidRDefault="00D37EC6" w:rsidP="00D37EC6">
      <w:pPr>
        <w:pStyle w:val="Listaszerbekezds"/>
        <w:jc w:val="both"/>
      </w:pPr>
    </w:p>
    <w:p w:rsidR="00D37EC6" w:rsidRDefault="00D37EC6" w:rsidP="00D37EC6">
      <w:pPr>
        <w:pStyle w:val="Listaszerbekezds"/>
        <w:jc w:val="both"/>
      </w:pPr>
      <w:r>
        <w:t xml:space="preserve">Több –bár számszerűen nem sok - építési telek is található Felsőberkiben, Horvátnádalján. A városközpontban vagy annak közelében is vannak nagy területű, összefüggő beépítésre szánt területek, ilyen a Képúti liget, Hunyadi utca, ahol közel 100 építési telek alakítható ki közművesítés után. Szintén a Hunyadi utcába van tervezve 12 lakásos szociális bérlakás, de a tervek elkészülte óta nem volt olyan pályázat, ahol a terv megvalósítható lett volna. Az ADA mögött </w:t>
      </w:r>
      <w:r w:rsidR="001F3403">
        <w:t xml:space="preserve">iparterülete is van a városnak még. </w:t>
      </w:r>
    </w:p>
    <w:p w:rsidR="001F3403" w:rsidRDefault="001F3403" w:rsidP="00D37EC6">
      <w:pPr>
        <w:pStyle w:val="Listaszerbekezds"/>
        <w:jc w:val="both"/>
      </w:pPr>
    </w:p>
    <w:p w:rsidR="001F3403" w:rsidRDefault="001F3403" w:rsidP="00D37EC6">
      <w:pPr>
        <w:pStyle w:val="Listaszerbekezds"/>
        <w:jc w:val="both"/>
      </w:pPr>
      <w:r>
        <w:t xml:space="preserve">A beépítetlen területek esetében azt javasoljuk, hogy az építési telkek értékesítésre történő felkínálása folyamatosan legyen hirdetve. A 100 építési telket magában rejtő földterület (Hunyadi u.) közművesítése az Önkormányzat hosszútávú terveiben szerepel, mivel költségei hatalmasak. A 12 lakásos szociális bérlakás terveit lassan aktualizálni kell felkészülve esetleges pályázati lehetőségekre. </w:t>
      </w:r>
    </w:p>
    <w:p w:rsidR="00CD0B8A" w:rsidRDefault="00CD0B8A" w:rsidP="00D37EC6">
      <w:pPr>
        <w:pStyle w:val="Listaszerbekezds"/>
        <w:jc w:val="both"/>
      </w:pPr>
    </w:p>
    <w:p w:rsidR="00CD0B8A" w:rsidRPr="00D37EC6" w:rsidRDefault="00CD0B8A" w:rsidP="00D37EC6">
      <w:pPr>
        <w:pStyle w:val="Listaszerbekezds"/>
        <w:jc w:val="both"/>
      </w:pPr>
      <w:r>
        <w:t xml:space="preserve">A beépítetlen területeket is be kell járni, fel kell mérni a tényleges állapotukat, és az esetleges jogcím nélküli használatot, elbirtoklást meg kell szakítani. Mindezen munkákat ütemezetten végzi el a Városgondnokság és a közterület-felügyelet. </w:t>
      </w:r>
    </w:p>
    <w:p w:rsidR="00DA369E" w:rsidRDefault="00DA369E" w:rsidP="00DA369E">
      <w:pPr>
        <w:pStyle w:val="Listaszerbekezds"/>
        <w:jc w:val="both"/>
      </w:pPr>
    </w:p>
    <w:p w:rsidR="00DA369E" w:rsidRDefault="00DA369E" w:rsidP="00DA369E">
      <w:pPr>
        <w:pStyle w:val="Listaszerbekezds"/>
        <w:numPr>
          <w:ilvl w:val="0"/>
          <w:numId w:val="11"/>
        </w:numPr>
        <w:jc w:val="both"/>
        <w:rPr>
          <w:b/>
        </w:rPr>
      </w:pPr>
      <w:r w:rsidRPr="0015136A">
        <w:rPr>
          <w:b/>
        </w:rPr>
        <w:t>Lakóingatlanok:</w:t>
      </w:r>
    </w:p>
    <w:p w:rsidR="0015136A" w:rsidRPr="0015136A" w:rsidRDefault="0015136A" w:rsidP="0015136A">
      <w:pPr>
        <w:pStyle w:val="Listaszerbekezds"/>
        <w:rPr>
          <w:b/>
        </w:rPr>
      </w:pPr>
    </w:p>
    <w:p w:rsidR="0015136A" w:rsidRDefault="0015136A" w:rsidP="0015136A">
      <w:pPr>
        <w:pStyle w:val="Listaszerbekezds"/>
        <w:jc w:val="both"/>
      </w:pPr>
      <w:r>
        <w:t xml:space="preserve">A Városgondnokság 341 lakást kezel jelenleg. Ebből összkomfortos 175 db lakás, komfortos 131, félkomfortos 2, komfort nélküli 33. </w:t>
      </w:r>
    </w:p>
    <w:p w:rsidR="00FB5436" w:rsidRDefault="00FB5436" w:rsidP="0015136A">
      <w:pPr>
        <w:pStyle w:val="Listaszerbekezds"/>
        <w:jc w:val="both"/>
      </w:pPr>
    </w:p>
    <w:p w:rsidR="00FB5436" w:rsidRDefault="00FB5436" w:rsidP="0015136A">
      <w:pPr>
        <w:pStyle w:val="Listaszerbekezds"/>
        <w:jc w:val="both"/>
      </w:pPr>
      <w:r>
        <w:t xml:space="preserve">A lakások esetében az értékesítés esetlegesen ott támogatható, ahol a vegyes tulajdonú társasházakban elenyésző az önkormányzati lakástulajdon aránya. </w:t>
      </w:r>
      <w:r w:rsidR="00D0457C">
        <w:t>Eddig az Önkormányzat meg tudta tartani a többlakásos, önkormányzat</w:t>
      </w:r>
      <w:r w:rsidR="00CD0B8A">
        <w:t xml:space="preserve">i tulajdonú társasházakat saját kizárólagos, vagy saját többségi </w:t>
      </w:r>
      <w:r w:rsidR="00D0457C">
        <w:t>tulajdonában (Munkácsy Mihály u., FHO, Ady u., Bartók Béla Ltp, Bajcsy-Zs. u., Dienes Lajos u., Kossuth Lajos u., Széchenyi u., Mikes Kelemen u.), mindez önmagában nagy érték. Egyelőre ezen ingatlanok önkormányzati tulajdonba tartása indokoltnak tűnik,</w:t>
      </w:r>
      <w:r w:rsidR="00ED17DF">
        <w:t xml:space="preserve">  illetve, ha forrás kínálkozna rá, a lakástulajdon bővítése kívánatos lenne. Ugyanakkor</w:t>
      </w:r>
      <w:r w:rsidR="00D0457C">
        <w:t xml:space="preserve"> nem lehet tudni, hogy mikor kerül az Önkormányzat olyan helyzetbe, hogy az értékesítésről kelljen</w:t>
      </w:r>
      <w:r w:rsidR="00ED17DF">
        <w:t xml:space="preserve"> döntenie.</w:t>
      </w:r>
    </w:p>
    <w:p w:rsidR="00501EE8" w:rsidRDefault="00501EE8" w:rsidP="0015136A">
      <w:pPr>
        <w:pStyle w:val="Listaszerbekezds"/>
        <w:jc w:val="both"/>
      </w:pPr>
    </w:p>
    <w:p w:rsidR="00501EE8" w:rsidRDefault="00501EE8" w:rsidP="0015136A">
      <w:pPr>
        <w:pStyle w:val="Listaszerbekezds"/>
        <w:jc w:val="both"/>
      </w:pPr>
      <w:r>
        <w:t>Sajnos állami célzott felújítási program nélkül az Önkormányzatok nem tudják a lakásállományukat korszerűsíteni, még a napi szinten tartás is gondot okoz nem beszélve azon esetekről, amikor olyan bérlő okoz kárt a lakásban, akivel szemben a behajtás gyakorlatilag lehetetlen. Az elmúlt években az Önkormányzat a nagyon ros</w:t>
      </w:r>
      <w:r w:rsidR="00D0457C">
        <w:t>sz állapotú épületeket lebonttat</w:t>
      </w:r>
      <w:r>
        <w:t>ta vagy eladta, így legalább a balesetveszély elhárítása megtörténhetett. Sajnos mivel a lakások szociális alapon kerülnek bérbeadásra, nincs lehetőség a bérlővel sem a lakásfelújításban történő megállapodásra, örü</w:t>
      </w:r>
      <w:r w:rsidR="00CD0B8A">
        <w:t xml:space="preserve">lünk, ha a bérlő nem tesz </w:t>
      </w:r>
      <w:r>
        <w:t xml:space="preserve"> kárt a bérleményben. </w:t>
      </w:r>
    </w:p>
    <w:p w:rsidR="00DB3BA8" w:rsidRDefault="00DB3BA8" w:rsidP="0015136A">
      <w:pPr>
        <w:pStyle w:val="Listaszerbekezds"/>
        <w:jc w:val="both"/>
      </w:pPr>
    </w:p>
    <w:p w:rsidR="00DB3BA8" w:rsidRPr="0015136A" w:rsidRDefault="00DB3BA8" w:rsidP="0015136A">
      <w:pPr>
        <w:pStyle w:val="Listaszerbekezds"/>
        <w:jc w:val="both"/>
      </w:pPr>
      <w:r>
        <w:t xml:space="preserve">Az FHO-t illetően elkerülhetetlen látszik a bírósági útra terelés, holott ésszerűen a feleknek kellene maguk között a társasházzá nyilvánítást, és ennek megfelelően a tulajdoni arányok szerinti felosztást elvégezni. Az erre vezetett tárgyalások azonban nem hoztak éveken át eredményt. </w:t>
      </w:r>
    </w:p>
    <w:p w:rsidR="00DA369E" w:rsidRDefault="00DA369E" w:rsidP="00DA369E">
      <w:pPr>
        <w:pStyle w:val="Listaszerbekezds"/>
      </w:pPr>
    </w:p>
    <w:p w:rsidR="00DA369E" w:rsidRDefault="00DA369E" w:rsidP="00DA369E">
      <w:pPr>
        <w:pStyle w:val="Listaszerbekezds"/>
        <w:numPr>
          <w:ilvl w:val="0"/>
          <w:numId w:val="11"/>
        </w:numPr>
        <w:jc w:val="both"/>
        <w:rPr>
          <w:b/>
        </w:rPr>
      </w:pPr>
      <w:r w:rsidRPr="00133D9F">
        <w:rPr>
          <w:b/>
        </w:rPr>
        <w:t>Nem lakás céljára szolgáló helyiségek:</w:t>
      </w:r>
    </w:p>
    <w:p w:rsidR="00133D9F" w:rsidRPr="00133D9F" w:rsidRDefault="00133D9F" w:rsidP="00133D9F">
      <w:pPr>
        <w:pStyle w:val="Listaszerbekezds"/>
        <w:rPr>
          <w:b/>
        </w:rPr>
      </w:pPr>
    </w:p>
    <w:p w:rsidR="00133D9F" w:rsidRDefault="00133D9F" w:rsidP="00133D9F">
      <w:pPr>
        <w:pStyle w:val="Listaszerbekezds"/>
        <w:jc w:val="both"/>
      </w:pPr>
      <w:r>
        <w:t>Kör</w:t>
      </w:r>
      <w:r w:rsidRPr="00133D9F">
        <w:t xml:space="preserve">mend </w:t>
      </w:r>
      <w:r>
        <w:t xml:space="preserve">város Gondnoksága 31 üzletet ad bérbe jelenleg, az üres bérlemények száma 10. 12 garázs bérbeadása is a Városgondnokság keretében történik. </w:t>
      </w:r>
    </w:p>
    <w:p w:rsidR="00133D9F" w:rsidRDefault="00133D9F" w:rsidP="002627A5">
      <w:pPr>
        <w:jc w:val="both"/>
      </w:pPr>
    </w:p>
    <w:p w:rsidR="00CD0B8A" w:rsidRDefault="00133D9F" w:rsidP="00133D9F">
      <w:pPr>
        <w:pStyle w:val="Listaszerbekezds"/>
        <w:jc w:val="both"/>
      </w:pPr>
      <w:r>
        <w:t>Az üzleteket érintően azt javasolju</w:t>
      </w:r>
      <w:r w:rsidR="00ED17DF">
        <w:t>k, hogy tekintettel arra a tendenciára, hogy a nagy alapterületű üzletekre a bérlet iránti igény tulajdonképpen megszűnt (lásd K&amp;H épülete, Fő téri élelmiszerbolt stb.), mivel a bérlethez képest a vállalkozó jobban jár, ha hitelből megvásárolja az épületet, mintha a hiteldíj helyett bérleti díjat fizetne, ráadásul az állam is a vásárlást támogatja a mi</w:t>
      </w:r>
      <w:r w:rsidR="00295A1A">
        <w:t>kro-és kisvállalkozások számára,</w:t>
      </w:r>
      <w:r w:rsidR="00ED17DF">
        <w:t xml:space="preserve"> </w:t>
      </w:r>
      <w:r>
        <w:t xml:space="preserve"> </w:t>
      </w:r>
      <w:r w:rsidR="00ED17DF">
        <w:t xml:space="preserve">ezekre tekintettel javasoljuk </w:t>
      </w:r>
      <w:r w:rsidR="00ED17DF">
        <w:lastRenderedPageBreak/>
        <w:t xml:space="preserve">azt, hogy amennyiben a fejlesztések bevételi forrásoldalon ezt megkívánják, ne zárkózzon el az Önkormányzat az értékesítéstől. A Szabadság téren jelenleg is több üzlettulajdonos jelezte már vételi szándékát. </w:t>
      </w:r>
    </w:p>
    <w:p w:rsidR="002627A5" w:rsidRDefault="002627A5" w:rsidP="00ED17DF">
      <w:pPr>
        <w:jc w:val="both"/>
      </w:pPr>
    </w:p>
    <w:p w:rsidR="002627A5" w:rsidRDefault="002627A5" w:rsidP="00133D9F">
      <w:pPr>
        <w:pStyle w:val="Listaszerbekezds"/>
        <w:jc w:val="both"/>
      </w:pPr>
      <w:r>
        <w:t>Az elmúlt években az Önkormányzat a Rákóczi utcában tervszerűen ingatlanokat vásárolt, így a Fényes-Korona tömbbelsőként ismert ingatlanegyüttesben nagy értékű és összefüggő ingatlanok vannak önkormányzati tul</w:t>
      </w:r>
      <w:r w:rsidR="00DB3BA8">
        <w:t>ajdonban. Összefüggő ér</w:t>
      </w:r>
      <w:r>
        <w:t>t</w:t>
      </w:r>
      <w:r w:rsidR="00DB3BA8">
        <w:t>é</w:t>
      </w:r>
      <w:r>
        <w:t xml:space="preserve">kesítésüket az Önkormányzat megkísérelte, de a 2009-es válság bekövetkezése óta nincs komoly érdeklődő a területre. </w:t>
      </w:r>
    </w:p>
    <w:p w:rsidR="002627A5" w:rsidRDefault="002627A5" w:rsidP="00133D9F">
      <w:pPr>
        <w:pStyle w:val="Listaszerbekezds"/>
        <w:jc w:val="both"/>
      </w:pPr>
    </w:p>
    <w:p w:rsidR="0015136A" w:rsidRPr="00133D9F" w:rsidRDefault="0015136A" w:rsidP="00133D9F">
      <w:pPr>
        <w:pStyle w:val="Listaszerbekezds"/>
        <w:jc w:val="both"/>
      </w:pPr>
    </w:p>
    <w:p w:rsidR="00CD0B8A" w:rsidRDefault="006E3C5C" w:rsidP="006E3C5C">
      <w:pPr>
        <w:jc w:val="both"/>
      </w:pPr>
      <w:r>
        <w:t>Tisztelt Képviselő-testület!</w:t>
      </w:r>
    </w:p>
    <w:p w:rsidR="006E3C5C" w:rsidRDefault="006E3C5C" w:rsidP="006E3C5C">
      <w:pPr>
        <w:jc w:val="both"/>
      </w:pPr>
    </w:p>
    <w:p w:rsidR="006E3C5C" w:rsidRDefault="006E3C5C" w:rsidP="006E3C5C">
      <w:pPr>
        <w:jc w:val="both"/>
      </w:pPr>
      <w:r>
        <w:t xml:space="preserve">Összegezve a fentieket az alábbi módon tudunk áttekintő képet adni a jelenlegi helyzetről. </w:t>
      </w:r>
    </w:p>
    <w:p w:rsidR="00A809D3" w:rsidRDefault="00A809D3" w:rsidP="006E3C5C">
      <w:pPr>
        <w:jc w:val="both"/>
      </w:pPr>
    </w:p>
    <w:tbl>
      <w:tblPr>
        <w:tblStyle w:val="Rcsostblzat"/>
        <w:tblW w:w="0" w:type="auto"/>
        <w:tblLook w:val="04A0"/>
      </w:tblPr>
      <w:tblGrid>
        <w:gridCol w:w="2889"/>
        <w:gridCol w:w="3296"/>
        <w:gridCol w:w="3414"/>
      </w:tblGrid>
      <w:tr w:rsidR="00583035" w:rsidTr="00583035">
        <w:tc>
          <w:tcPr>
            <w:tcW w:w="3174" w:type="dxa"/>
          </w:tcPr>
          <w:p w:rsidR="00583035" w:rsidRPr="00583035" w:rsidRDefault="00583035" w:rsidP="00583035">
            <w:pPr>
              <w:jc w:val="center"/>
              <w:rPr>
                <w:b/>
              </w:rPr>
            </w:pPr>
            <w:r w:rsidRPr="00583035">
              <w:rPr>
                <w:b/>
              </w:rPr>
              <w:t>Ingatlanok</w:t>
            </w:r>
          </w:p>
        </w:tc>
        <w:tc>
          <w:tcPr>
            <w:tcW w:w="3174" w:type="dxa"/>
          </w:tcPr>
          <w:p w:rsidR="00583035" w:rsidRPr="00583035" w:rsidRDefault="00583035" w:rsidP="00583035">
            <w:pPr>
              <w:jc w:val="center"/>
              <w:rPr>
                <w:b/>
              </w:rPr>
            </w:pPr>
            <w:r w:rsidRPr="00583035">
              <w:rPr>
                <w:b/>
              </w:rPr>
              <w:t>Középtávú célok</w:t>
            </w:r>
          </w:p>
        </w:tc>
        <w:tc>
          <w:tcPr>
            <w:tcW w:w="3175" w:type="dxa"/>
          </w:tcPr>
          <w:p w:rsidR="00583035" w:rsidRPr="00583035" w:rsidRDefault="00583035" w:rsidP="00583035">
            <w:pPr>
              <w:jc w:val="center"/>
              <w:rPr>
                <w:b/>
              </w:rPr>
            </w:pPr>
            <w:r w:rsidRPr="00583035">
              <w:rPr>
                <w:b/>
              </w:rPr>
              <w:t>Hosszútávú célok</w:t>
            </w:r>
          </w:p>
        </w:tc>
      </w:tr>
      <w:tr w:rsidR="00583035" w:rsidTr="00583035">
        <w:tc>
          <w:tcPr>
            <w:tcW w:w="3174" w:type="dxa"/>
          </w:tcPr>
          <w:p w:rsidR="00583035" w:rsidRDefault="00583035" w:rsidP="006E3C5C"/>
        </w:tc>
        <w:tc>
          <w:tcPr>
            <w:tcW w:w="3174" w:type="dxa"/>
          </w:tcPr>
          <w:p w:rsidR="00583035" w:rsidRDefault="00583035" w:rsidP="006E3C5C"/>
        </w:tc>
        <w:tc>
          <w:tcPr>
            <w:tcW w:w="3175" w:type="dxa"/>
          </w:tcPr>
          <w:p w:rsidR="00583035" w:rsidRDefault="00583035" w:rsidP="006E3C5C"/>
        </w:tc>
      </w:tr>
      <w:tr w:rsidR="00583035" w:rsidTr="00583035">
        <w:tc>
          <w:tcPr>
            <w:tcW w:w="3174" w:type="dxa"/>
          </w:tcPr>
          <w:p w:rsidR="00583035" w:rsidRPr="00583035" w:rsidRDefault="00583035" w:rsidP="00583035">
            <w:pPr>
              <w:pStyle w:val="Listaszerbekezds"/>
              <w:numPr>
                <w:ilvl w:val="0"/>
                <w:numId w:val="12"/>
              </w:numPr>
              <w:rPr>
                <w:b/>
              </w:rPr>
            </w:pPr>
            <w:r w:rsidRPr="00583035">
              <w:rPr>
                <w:b/>
              </w:rPr>
              <w:t>Szántók és más, mezőgazdasági művelés alatt álló ingatlanok</w:t>
            </w:r>
          </w:p>
        </w:tc>
        <w:tc>
          <w:tcPr>
            <w:tcW w:w="3174" w:type="dxa"/>
          </w:tcPr>
          <w:p w:rsidR="00583035" w:rsidRDefault="00583035" w:rsidP="00583035">
            <w:pPr>
              <w:pStyle w:val="Listaszerbekezds"/>
              <w:numPr>
                <w:ilvl w:val="0"/>
                <w:numId w:val="10"/>
              </w:numPr>
            </w:pPr>
            <w:r>
              <w:t>3000 m2-nél nagyobb kiterjedésű term</w:t>
            </w:r>
            <w:r w:rsidR="00CD0B8A">
              <w:t>őföldek (külterületi földek) ér</w:t>
            </w:r>
            <w:r>
              <w:t>t</w:t>
            </w:r>
            <w:r w:rsidR="00CD0B8A">
              <w:t>é</w:t>
            </w:r>
            <w:r>
              <w:t>kesítése nem javasolt egyelőre, bérbeadással célszerű az ingatlanokat hasznosítani</w:t>
            </w:r>
          </w:p>
          <w:p w:rsidR="00583035" w:rsidRDefault="00583035" w:rsidP="00583035">
            <w:pPr>
              <w:pStyle w:val="Listaszerbekezds"/>
              <w:numPr>
                <w:ilvl w:val="0"/>
                <w:numId w:val="10"/>
              </w:numPr>
            </w:pPr>
            <w:r>
              <w:t xml:space="preserve">Rábán aluli területek esetében megfontolandó a nagyobb egységekben történő ingatlanértékesítés, amennyiben erre piaci igény mutatkozik </w:t>
            </w:r>
          </w:p>
          <w:p w:rsidR="00583035" w:rsidRDefault="00583035" w:rsidP="00583035">
            <w:pPr>
              <w:pStyle w:val="Listaszerbekezds"/>
              <w:numPr>
                <w:ilvl w:val="0"/>
                <w:numId w:val="10"/>
              </w:numPr>
            </w:pPr>
            <w:r>
              <w:t xml:space="preserve">elbirtoklások megakadályozandók </w:t>
            </w:r>
          </w:p>
          <w:p w:rsidR="00583035" w:rsidRDefault="00583035" w:rsidP="006E3C5C"/>
        </w:tc>
        <w:tc>
          <w:tcPr>
            <w:tcW w:w="3175" w:type="dxa"/>
          </w:tcPr>
          <w:p w:rsidR="00583035" w:rsidRDefault="00583035" w:rsidP="00583035">
            <w:pPr>
              <w:pStyle w:val="Listaszerbekezds"/>
              <w:numPr>
                <w:ilvl w:val="0"/>
                <w:numId w:val="10"/>
              </w:numPr>
            </w:pPr>
            <w:r>
              <w:t xml:space="preserve">termőföldek esetében az összefüggő, nagyobb kiterjedésű ingatlanok kialakítása célszerű a kedvezőbb bérbeadási lehetőségekre tekintettel </w:t>
            </w:r>
          </w:p>
          <w:p w:rsidR="00583035" w:rsidRDefault="00583035" w:rsidP="00583035">
            <w:pPr>
              <w:pStyle w:val="Listaszerbekezds"/>
              <w:numPr>
                <w:ilvl w:val="0"/>
                <w:numId w:val="10"/>
              </w:numPr>
            </w:pPr>
            <w:r>
              <w:t xml:space="preserve">részarányok megszüntetése során az önkormányzati érdekek megfelelő képviselete </w:t>
            </w:r>
          </w:p>
          <w:p w:rsidR="00583035" w:rsidRDefault="00583035" w:rsidP="006E3C5C"/>
          <w:p w:rsidR="00583035" w:rsidRDefault="00583035" w:rsidP="006E3C5C"/>
        </w:tc>
      </w:tr>
      <w:tr w:rsidR="00583035" w:rsidTr="00583035">
        <w:tc>
          <w:tcPr>
            <w:tcW w:w="3174" w:type="dxa"/>
          </w:tcPr>
          <w:p w:rsidR="00583035" w:rsidRPr="00583035" w:rsidRDefault="00583035" w:rsidP="00583035">
            <w:pPr>
              <w:pStyle w:val="Listaszerbekezds"/>
              <w:numPr>
                <w:ilvl w:val="0"/>
                <w:numId w:val="12"/>
              </w:numPr>
              <w:rPr>
                <w:b/>
              </w:rPr>
            </w:pPr>
            <w:r w:rsidRPr="00583035">
              <w:rPr>
                <w:b/>
              </w:rPr>
              <w:t xml:space="preserve">Erdők </w:t>
            </w:r>
          </w:p>
        </w:tc>
        <w:tc>
          <w:tcPr>
            <w:tcW w:w="3174" w:type="dxa"/>
          </w:tcPr>
          <w:p w:rsidR="00583035" w:rsidRDefault="00F351E4" w:rsidP="0076032F">
            <w:pPr>
              <w:pStyle w:val="Listaszerbekezds"/>
              <w:numPr>
                <w:ilvl w:val="0"/>
                <w:numId w:val="10"/>
              </w:numPr>
            </w:pPr>
            <w:r>
              <w:t>megállapodás mentén az erdőgazdálkodási tevékenység kiszervezése annak érdekében, hogy az aljzat tisztítás, kidőlt fák elszállítása megtörténhessen</w:t>
            </w:r>
          </w:p>
        </w:tc>
        <w:tc>
          <w:tcPr>
            <w:tcW w:w="3175" w:type="dxa"/>
          </w:tcPr>
          <w:p w:rsidR="00583035" w:rsidRDefault="00F351E4" w:rsidP="00F351E4">
            <w:pPr>
              <w:pStyle w:val="Listaszerbekezds"/>
              <w:numPr>
                <w:ilvl w:val="0"/>
                <w:numId w:val="10"/>
              </w:numPr>
            </w:pPr>
            <w:r>
              <w:t xml:space="preserve">A Tesco mögötti erdőterületen fakitermelés lehetőséget adna arra, hogy az ebből származó bevételt visszaforgassa az Önkormányzat a többi erdőre, és így pár évre az erdőgazdálkodási </w:t>
            </w:r>
            <w:r>
              <w:lastRenderedPageBreak/>
              <w:t>feladatok megoldottá válnának</w:t>
            </w:r>
          </w:p>
          <w:p w:rsidR="00F351E4" w:rsidRDefault="00F351E4" w:rsidP="00F351E4">
            <w:pPr>
              <w:pStyle w:val="Listaszerbekezds"/>
              <w:numPr>
                <w:ilvl w:val="0"/>
                <w:numId w:val="10"/>
              </w:numPr>
            </w:pPr>
            <w:r>
              <w:t xml:space="preserve">önkormányzati tulajdonban tartásuk kedvező elhelyezkedésük miatt indokolt hosszú távon is. </w:t>
            </w:r>
          </w:p>
        </w:tc>
      </w:tr>
      <w:tr w:rsidR="00583035" w:rsidTr="00583035">
        <w:tc>
          <w:tcPr>
            <w:tcW w:w="3174" w:type="dxa"/>
          </w:tcPr>
          <w:p w:rsidR="00583035" w:rsidRPr="00327FAD" w:rsidRDefault="00583035" w:rsidP="00583035">
            <w:pPr>
              <w:pStyle w:val="Listaszerbekezds"/>
              <w:numPr>
                <w:ilvl w:val="0"/>
                <w:numId w:val="12"/>
              </w:numPr>
              <w:rPr>
                <w:b/>
              </w:rPr>
            </w:pPr>
            <w:r w:rsidRPr="00327FAD">
              <w:rPr>
                <w:b/>
              </w:rPr>
              <w:lastRenderedPageBreak/>
              <w:t xml:space="preserve">Beépítetlen területek </w:t>
            </w:r>
          </w:p>
        </w:tc>
        <w:tc>
          <w:tcPr>
            <w:tcW w:w="3174" w:type="dxa"/>
          </w:tcPr>
          <w:p w:rsidR="00583035" w:rsidRDefault="00CD0B8A" w:rsidP="00CD0B8A">
            <w:pPr>
              <w:pStyle w:val="Listaszerbekezds"/>
              <w:numPr>
                <w:ilvl w:val="0"/>
                <w:numId w:val="10"/>
              </w:numPr>
            </w:pPr>
            <w:r>
              <w:t>az építési telkeket folyamatosan hirdetni kell eladásra</w:t>
            </w:r>
          </w:p>
          <w:p w:rsidR="00CD0B8A" w:rsidRDefault="00CD0B8A" w:rsidP="00CD0B8A">
            <w:pPr>
              <w:pStyle w:val="Listaszerbekezds"/>
              <w:numPr>
                <w:ilvl w:val="0"/>
                <w:numId w:val="10"/>
              </w:numPr>
            </w:pPr>
            <w:r>
              <w:t>a beépítetlen területeket fel kell mérni, a jogcím nélküli használatot meg kell szüntetni</w:t>
            </w:r>
          </w:p>
          <w:p w:rsidR="00CD0B8A" w:rsidRDefault="00CD0B8A" w:rsidP="00CD0B8A">
            <w:pPr>
              <w:pStyle w:val="Listaszerbekezds"/>
              <w:numPr>
                <w:ilvl w:val="0"/>
                <w:numId w:val="10"/>
              </w:numPr>
            </w:pPr>
            <w:r>
              <w:t>12 lakásos szociális bérlakás terveit aktualizálni kell</w:t>
            </w:r>
          </w:p>
        </w:tc>
        <w:tc>
          <w:tcPr>
            <w:tcW w:w="3175" w:type="dxa"/>
          </w:tcPr>
          <w:p w:rsidR="00583035" w:rsidRDefault="00CD0B8A" w:rsidP="00CD0B8A">
            <w:pPr>
              <w:pStyle w:val="Listaszerbekezds"/>
              <w:numPr>
                <w:ilvl w:val="0"/>
                <w:numId w:val="10"/>
              </w:numPr>
            </w:pPr>
            <w:r>
              <w:t>100 építési telket magában rejtő földterület (Hunyadi u.) közművesítése pályázati forrásból</w:t>
            </w:r>
          </w:p>
        </w:tc>
      </w:tr>
      <w:tr w:rsidR="00583035" w:rsidTr="00583035">
        <w:tc>
          <w:tcPr>
            <w:tcW w:w="3174" w:type="dxa"/>
          </w:tcPr>
          <w:p w:rsidR="00583035" w:rsidRPr="00327FAD" w:rsidRDefault="00583035" w:rsidP="00583035">
            <w:pPr>
              <w:pStyle w:val="Listaszerbekezds"/>
              <w:numPr>
                <w:ilvl w:val="0"/>
                <w:numId w:val="12"/>
              </w:numPr>
              <w:rPr>
                <w:b/>
              </w:rPr>
            </w:pPr>
            <w:r w:rsidRPr="00327FAD">
              <w:rPr>
                <w:b/>
              </w:rPr>
              <w:t>Lakóingatlanok</w:t>
            </w:r>
          </w:p>
        </w:tc>
        <w:tc>
          <w:tcPr>
            <w:tcW w:w="3174" w:type="dxa"/>
          </w:tcPr>
          <w:p w:rsidR="00583035" w:rsidRDefault="00583035" w:rsidP="00583035">
            <w:pPr>
              <w:pStyle w:val="Listaszerbekezds"/>
              <w:numPr>
                <w:ilvl w:val="0"/>
                <w:numId w:val="10"/>
              </w:numPr>
            </w:pPr>
            <w:r>
              <w:t>azon társasházi ingatlanok, amelyekben többségi vagy kizárólagos az önkormányzati tulajdon, egyelőre önkormányzati tulajdonban tartandóak</w:t>
            </w:r>
            <w:r w:rsidR="00295A1A">
              <w:t>, lehetőség esetén a tulajdoni arányok akár növelendőek is</w:t>
            </w:r>
          </w:p>
          <w:p w:rsidR="00583035" w:rsidRDefault="00583035" w:rsidP="00583035">
            <w:pPr>
              <w:pStyle w:val="Listaszerbekezds"/>
              <w:numPr>
                <w:ilvl w:val="0"/>
                <w:numId w:val="10"/>
              </w:numPr>
            </w:pPr>
            <w:r>
              <w:t>amely társasházakban elenyésző az önkormányzati tulajdon, az értékesítéssel történő hasznosítás célravezető</w:t>
            </w:r>
          </w:p>
          <w:p w:rsidR="00583035" w:rsidRDefault="00583035" w:rsidP="00583035">
            <w:pPr>
              <w:pStyle w:val="Listaszerbekezds"/>
              <w:numPr>
                <w:ilvl w:val="0"/>
                <w:numId w:val="10"/>
              </w:numPr>
            </w:pPr>
            <w:r>
              <w:t>ha állami forrás kínálkozik, a szociális lakások ütemezett felújítása megkezdődhet</w:t>
            </w:r>
          </w:p>
        </w:tc>
        <w:tc>
          <w:tcPr>
            <w:tcW w:w="3175" w:type="dxa"/>
          </w:tcPr>
          <w:p w:rsidR="00327FAD" w:rsidRDefault="00583035" w:rsidP="00327FAD">
            <w:pPr>
              <w:pStyle w:val="Listaszerbekezds"/>
              <w:numPr>
                <w:ilvl w:val="0"/>
                <w:numId w:val="10"/>
              </w:numPr>
            </w:pPr>
            <w:r>
              <w:t xml:space="preserve">letisztult </w:t>
            </w:r>
            <w:r w:rsidR="00327FAD">
              <w:t>tulajdonú társasházi viszonyok kialakítása</w:t>
            </w:r>
          </w:p>
          <w:p w:rsidR="00327FAD" w:rsidRDefault="00327FAD" w:rsidP="00327FAD">
            <w:pPr>
              <w:pStyle w:val="Listaszerbekezds"/>
              <w:numPr>
                <w:ilvl w:val="0"/>
                <w:numId w:val="10"/>
              </w:numPr>
            </w:pPr>
            <w:r>
              <w:t xml:space="preserve">jelenleg nem hasznosított ingatlanok (FHO) felújítása, piaci alapon történő bérbeadása vagy értékesítése a kedvező fekvésre  is tekintettel </w:t>
            </w:r>
          </w:p>
          <w:p w:rsidR="00583035" w:rsidRDefault="00583035" w:rsidP="00327FAD">
            <w:pPr>
              <w:pStyle w:val="Listaszerbekezds"/>
              <w:ind w:left="1080"/>
            </w:pPr>
          </w:p>
        </w:tc>
      </w:tr>
      <w:tr w:rsidR="00583035" w:rsidTr="00583035">
        <w:tc>
          <w:tcPr>
            <w:tcW w:w="3174" w:type="dxa"/>
          </w:tcPr>
          <w:p w:rsidR="00583035" w:rsidRPr="00327FAD" w:rsidRDefault="00327FAD" w:rsidP="00327FAD">
            <w:pPr>
              <w:pStyle w:val="Listaszerbekezds"/>
              <w:numPr>
                <w:ilvl w:val="0"/>
                <w:numId w:val="12"/>
              </w:numPr>
              <w:rPr>
                <w:b/>
              </w:rPr>
            </w:pPr>
            <w:r w:rsidRPr="00327FAD">
              <w:rPr>
                <w:b/>
              </w:rPr>
              <w:t xml:space="preserve">Nem lakás céljára szolgáló helyiségek </w:t>
            </w:r>
          </w:p>
        </w:tc>
        <w:tc>
          <w:tcPr>
            <w:tcW w:w="3174" w:type="dxa"/>
          </w:tcPr>
          <w:p w:rsidR="00327FAD" w:rsidRDefault="00295A1A" w:rsidP="00295A1A">
            <w:pPr>
              <w:pStyle w:val="Listaszerbekezds"/>
              <w:numPr>
                <w:ilvl w:val="0"/>
                <w:numId w:val="10"/>
              </w:numPr>
            </w:pPr>
            <w:r>
              <w:t xml:space="preserve">az üzletek esetében, különösen a nagy alapterületű ingatlanok esetében, </w:t>
            </w:r>
            <w:r>
              <w:lastRenderedPageBreak/>
              <w:t>amelyekre a</w:t>
            </w:r>
            <w:r w:rsidR="00BD3E3B">
              <w:t xml:space="preserve"> bérleti</w:t>
            </w:r>
            <w:r>
              <w:t xml:space="preserve"> piac nem mutat érdeklődést (mivel azoknak a bérbevétellel való hasznosításuk nem rentábilis) javasoljuk az értékesítés lehetőségének megteremtését, különösen ha </w:t>
            </w:r>
            <w:r w:rsidR="00327FAD">
              <w:t xml:space="preserve">a fejlesztési oldalon a források </w:t>
            </w:r>
            <w:r>
              <w:t xml:space="preserve">is ezt megkívánják. </w:t>
            </w:r>
          </w:p>
        </w:tc>
        <w:tc>
          <w:tcPr>
            <w:tcW w:w="3175" w:type="dxa"/>
          </w:tcPr>
          <w:p w:rsidR="00583035" w:rsidRDefault="00327FAD" w:rsidP="00291C4D">
            <w:pPr>
              <w:pStyle w:val="Listaszerbekezds"/>
              <w:numPr>
                <w:ilvl w:val="0"/>
                <w:numId w:val="10"/>
              </w:numPr>
            </w:pPr>
            <w:r>
              <w:lastRenderedPageBreak/>
              <w:t xml:space="preserve">jelenleg üresen álló ingatlanok bérbeadással </w:t>
            </w:r>
            <w:r w:rsidR="00295A1A">
              <w:t xml:space="preserve">vagy értékesítéssel </w:t>
            </w:r>
            <w:r>
              <w:t xml:space="preserve">történő </w:t>
            </w:r>
            <w:r>
              <w:lastRenderedPageBreak/>
              <w:t>hasznosítása, amel</w:t>
            </w:r>
            <w:r w:rsidR="00291C4D">
              <w:t>y feltételezi a vállalkozások megerősödését, terheik csö</w:t>
            </w:r>
            <w:r>
              <w:t>kkentését</w:t>
            </w:r>
            <w:r w:rsidR="00291C4D">
              <w:t xml:space="preserve">, a válságból történő kilábalást </w:t>
            </w:r>
          </w:p>
          <w:p w:rsidR="00291C4D" w:rsidRDefault="00291C4D" w:rsidP="006E3C5C"/>
          <w:p w:rsidR="00291C4D" w:rsidRDefault="00291C4D" w:rsidP="00291C4D">
            <w:pPr>
              <w:pStyle w:val="Listaszerbekezds"/>
              <w:numPr>
                <w:ilvl w:val="0"/>
                <w:numId w:val="10"/>
              </w:numPr>
            </w:pPr>
            <w:r>
              <w:t xml:space="preserve">Fényes-Korona tömbbelsőként ismert ingatlanegyüttes elsősorban komplex értékesítésére való felkínálása </w:t>
            </w:r>
          </w:p>
        </w:tc>
      </w:tr>
      <w:tr w:rsidR="005B343E" w:rsidTr="00583035">
        <w:tc>
          <w:tcPr>
            <w:tcW w:w="3174" w:type="dxa"/>
          </w:tcPr>
          <w:p w:rsidR="005B343E" w:rsidRPr="00327FAD" w:rsidRDefault="005B343E" w:rsidP="00327FAD">
            <w:pPr>
              <w:pStyle w:val="Listaszerbekezds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lastRenderedPageBreak/>
              <w:t>Gazdasági társaságokban fennálló tulajdoni részesedések</w:t>
            </w:r>
          </w:p>
        </w:tc>
        <w:tc>
          <w:tcPr>
            <w:tcW w:w="3174" w:type="dxa"/>
          </w:tcPr>
          <w:p w:rsidR="005B343E" w:rsidRDefault="005B343E" w:rsidP="00327FAD">
            <w:pPr>
              <w:pStyle w:val="Listaszerbekezds"/>
              <w:numPr>
                <w:ilvl w:val="0"/>
                <w:numId w:val="10"/>
              </w:numPr>
            </w:pPr>
            <w:r>
              <w:t xml:space="preserve">a </w:t>
            </w:r>
            <w:r w:rsidR="00312721">
              <w:t xml:space="preserve">Nyugat-Pannon Fejlesztési Zrt-ben meglévő részvény értékesítése elfogadható </w:t>
            </w:r>
          </w:p>
          <w:p w:rsidR="00312721" w:rsidRDefault="00312721" w:rsidP="00327FAD">
            <w:pPr>
              <w:pStyle w:val="Listaszerbekezds"/>
              <w:numPr>
                <w:ilvl w:val="0"/>
                <w:numId w:val="10"/>
              </w:numPr>
            </w:pPr>
            <w:r>
              <w:t xml:space="preserve">más gazdasági társaságokban a részesedés fenntartandó az ellátott közszolgáltatási feladatra is tekintettel </w:t>
            </w:r>
          </w:p>
          <w:p w:rsidR="00312721" w:rsidRDefault="00312721" w:rsidP="00312721">
            <w:pPr>
              <w:pStyle w:val="Listaszerbekezds"/>
              <w:ind w:left="1080"/>
            </w:pPr>
          </w:p>
        </w:tc>
        <w:tc>
          <w:tcPr>
            <w:tcW w:w="3175" w:type="dxa"/>
          </w:tcPr>
          <w:p w:rsidR="005B343E" w:rsidRDefault="00312721" w:rsidP="00291C4D">
            <w:pPr>
              <w:pStyle w:val="Listaszerbekezds"/>
              <w:numPr>
                <w:ilvl w:val="0"/>
                <w:numId w:val="10"/>
              </w:numPr>
            </w:pPr>
            <w:r>
              <w:t>a jogi szabályozási viszonyokat és  a piaci folyamatokat figyelve meggondolandó további gazdasági társaságokban való részesedés megszerzése</w:t>
            </w:r>
          </w:p>
        </w:tc>
      </w:tr>
    </w:tbl>
    <w:p w:rsidR="00A809D3" w:rsidRDefault="00A809D3" w:rsidP="006E3C5C">
      <w:pPr>
        <w:jc w:val="both"/>
      </w:pPr>
    </w:p>
    <w:p w:rsidR="00CE7F94" w:rsidRPr="00CD0B8A" w:rsidRDefault="00CE7F94" w:rsidP="00295A1A">
      <w:pPr>
        <w:rPr>
          <w:b/>
        </w:rPr>
      </w:pPr>
    </w:p>
    <w:p w:rsidR="00CD0B8A" w:rsidRDefault="00CD0B8A" w:rsidP="00CD0B8A">
      <w:pPr>
        <w:jc w:val="center"/>
        <w:rPr>
          <w:b/>
        </w:rPr>
      </w:pPr>
      <w:r w:rsidRPr="00CD0B8A">
        <w:rPr>
          <w:b/>
        </w:rPr>
        <w:t>HATÁROZATI JAVASLAT</w:t>
      </w:r>
    </w:p>
    <w:p w:rsidR="00CD0B8A" w:rsidRDefault="00CD0B8A" w:rsidP="00CD0B8A">
      <w:pPr>
        <w:rPr>
          <w:b/>
        </w:rPr>
      </w:pPr>
    </w:p>
    <w:p w:rsidR="00CD0B8A" w:rsidRDefault="00CD0B8A" w:rsidP="00CE7F94">
      <w:pPr>
        <w:jc w:val="both"/>
      </w:pPr>
      <w:r w:rsidRPr="00CE7F94">
        <w:t xml:space="preserve">Körmend város Önkormányzata Képviselő-testülete </w:t>
      </w:r>
      <w:r w:rsidR="005B343E" w:rsidRPr="00CE7F94">
        <w:t xml:space="preserve">az Önkormányzat közép-és hosszútávú vagyongazdálkodási koncepcióját </w:t>
      </w:r>
      <w:r w:rsidR="00CE7F94">
        <w:t xml:space="preserve">az előterjesztésben– az ott feltüntetett táblázatban – foglaltak szerint jóváhagyja. A Képviselő-testület felhatalmazza a jegyzőt arra, hogy az önkormányzati tulajdonú, elsődlegesen termőföld és beépítetlen terület megjelölésű ingatlanokat bejárja, az ingatlanokat használatát ellenőrizze és az esetleges jogcím nélküli használatot megszüntesse. </w:t>
      </w:r>
    </w:p>
    <w:p w:rsidR="00CE7F94" w:rsidRDefault="00CE7F94" w:rsidP="00CE7F94">
      <w:pPr>
        <w:jc w:val="both"/>
      </w:pPr>
    </w:p>
    <w:p w:rsidR="00CE7F94" w:rsidRDefault="00CE7F94" w:rsidP="00CE7F94">
      <w:pPr>
        <w:jc w:val="both"/>
      </w:pPr>
    </w:p>
    <w:p w:rsidR="00CE7F94" w:rsidRDefault="00CE7F94" w:rsidP="00CE7F94">
      <w:pPr>
        <w:jc w:val="both"/>
      </w:pPr>
      <w:r>
        <w:t>Körmend, 2013. szeptember 18.</w:t>
      </w:r>
    </w:p>
    <w:p w:rsidR="00CE7F94" w:rsidRDefault="00CE7F94" w:rsidP="00CE7F94">
      <w:pPr>
        <w:jc w:val="both"/>
      </w:pPr>
    </w:p>
    <w:p w:rsidR="00CE7F94" w:rsidRDefault="00CE7F94" w:rsidP="00CE7F94">
      <w:pPr>
        <w:jc w:val="both"/>
      </w:pPr>
      <w:r>
        <w:t>Felelős: jegyző</w:t>
      </w:r>
    </w:p>
    <w:p w:rsidR="00CE7F94" w:rsidRDefault="00CE7F94" w:rsidP="00CE7F94">
      <w:pPr>
        <w:jc w:val="both"/>
      </w:pPr>
      <w:r>
        <w:t>Határidő: bejárására és intézkedések megtételére 2014. december 31.</w:t>
      </w:r>
    </w:p>
    <w:p w:rsidR="00CE7F94" w:rsidRDefault="00CE7F94" w:rsidP="00CE7F94">
      <w:pPr>
        <w:jc w:val="both"/>
      </w:pPr>
    </w:p>
    <w:p w:rsidR="00CE7F94" w:rsidRDefault="00CE7F94" w:rsidP="00CE7F94">
      <w:pPr>
        <w:jc w:val="both"/>
      </w:pPr>
    </w:p>
    <w:p w:rsidR="00CE7F94" w:rsidRDefault="00CE7F94" w:rsidP="00CE7F94">
      <w:pPr>
        <w:jc w:val="both"/>
      </w:pPr>
    </w:p>
    <w:p w:rsidR="00CE7F94" w:rsidRPr="00CE7F94" w:rsidRDefault="00CE7F94" w:rsidP="00CE7F94">
      <w:pPr>
        <w:jc w:val="center"/>
        <w:rPr>
          <w:b/>
        </w:rPr>
      </w:pPr>
      <w:r w:rsidRPr="00CE7F94">
        <w:rPr>
          <w:b/>
        </w:rPr>
        <w:t>Bebes István</w:t>
      </w:r>
    </w:p>
    <w:p w:rsidR="00CE7F94" w:rsidRPr="00CE7F94" w:rsidRDefault="00CE7F94" w:rsidP="00CE7F94">
      <w:pPr>
        <w:jc w:val="center"/>
        <w:rPr>
          <w:b/>
        </w:rPr>
      </w:pPr>
      <w:r w:rsidRPr="00CE7F94">
        <w:rPr>
          <w:b/>
        </w:rPr>
        <w:t>polgármester</w:t>
      </w:r>
    </w:p>
    <w:p w:rsidR="00CE7F94" w:rsidRPr="00CE7F94" w:rsidRDefault="00CE7F94" w:rsidP="00CE7F94">
      <w:pPr>
        <w:jc w:val="center"/>
        <w:rPr>
          <w:b/>
        </w:rPr>
      </w:pPr>
    </w:p>
    <w:p w:rsidR="00CE7F94" w:rsidRDefault="00CE7F94" w:rsidP="00CE7F94">
      <w:pPr>
        <w:jc w:val="both"/>
      </w:pPr>
    </w:p>
    <w:p w:rsidR="00CE7F94" w:rsidRDefault="00CE7F94" w:rsidP="00CE7F94">
      <w:pPr>
        <w:jc w:val="both"/>
      </w:pPr>
    </w:p>
    <w:p w:rsidR="00CE7F94" w:rsidRDefault="00CE7F94" w:rsidP="00CD0B8A"/>
    <w:p w:rsidR="00CE7F94" w:rsidRPr="00CE7F94" w:rsidRDefault="00CE7F94" w:rsidP="00CD0B8A"/>
    <w:sectPr w:rsidR="00CE7F94" w:rsidRPr="00CE7F94" w:rsidSect="004178EE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71" w:rsidRDefault="006A5C71" w:rsidP="005113B1">
      <w:r>
        <w:separator/>
      </w:r>
    </w:p>
  </w:endnote>
  <w:endnote w:type="continuationSeparator" w:id="1">
    <w:p w:rsidR="006A5C71" w:rsidRDefault="006A5C71" w:rsidP="00511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71" w:rsidRDefault="006A5C71" w:rsidP="005113B1">
      <w:r>
        <w:separator/>
      </w:r>
    </w:p>
  </w:footnote>
  <w:footnote w:type="continuationSeparator" w:id="1">
    <w:p w:rsidR="006A5C71" w:rsidRDefault="006A5C71" w:rsidP="005113B1">
      <w:r>
        <w:continuationSeparator/>
      </w:r>
    </w:p>
  </w:footnote>
  <w:footnote w:id="2">
    <w:p w:rsidR="005113B1" w:rsidRPr="005113B1" w:rsidRDefault="005113B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Nemzeti vagyonról szóló 2011. CXCVI. törvény 5.§ (3) bekezdés </w:t>
      </w:r>
    </w:p>
  </w:footnote>
  <w:footnote w:id="3">
    <w:p w:rsidR="005113B1" w:rsidRPr="005113B1" w:rsidRDefault="005113B1" w:rsidP="005113B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Nemzeti vagyonról szóló 2011. CXCVI. törvény 5.§ (5) bekezdés </w:t>
      </w:r>
    </w:p>
    <w:p w:rsidR="005113B1" w:rsidRPr="005113B1" w:rsidRDefault="005113B1">
      <w:pPr>
        <w:pStyle w:val="Lbjegyzetszveg"/>
        <w:rPr>
          <w:lang w:val="hu-HU"/>
        </w:rPr>
      </w:pPr>
    </w:p>
  </w:footnote>
  <w:footnote w:id="4">
    <w:p w:rsidR="005113B1" w:rsidRPr="005113B1" w:rsidRDefault="005113B1" w:rsidP="005113B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Nemzeti vagyonról szóló 2011. CXCVI. törvény 5.§ (6) bekezdés </w:t>
      </w:r>
    </w:p>
    <w:p w:rsidR="005113B1" w:rsidRPr="005113B1" w:rsidRDefault="005113B1" w:rsidP="005113B1">
      <w:pPr>
        <w:pStyle w:val="Lbjegyzetszveg"/>
        <w:rPr>
          <w:lang w:val="hu-HU"/>
        </w:rPr>
      </w:pPr>
    </w:p>
    <w:p w:rsidR="005113B1" w:rsidRPr="005113B1" w:rsidRDefault="005113B1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748"/>
    <w:multiLevelType w:val="hybridMultilevel"/>
    <w:tmpl w:val="AAECB8A0"/>
    <w:lvl w:ilvl="0" w:tplc="01E860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6C2F25"/>
    <w:multiLevelType w:val="hybridMultilevel"/>
    <w:tmpl w:val="E8D263E0"/>
    <w:lvl w:ilvl="0" w:tplc="234C6E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D62AA"/>
    <w:multiLevelType w:val="hybridMultilevel"/>
    <w:tmpl w:val="9800B84A"/>
    <w:lvl w:ilvl="0" w:tplc="10F84D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B09C6"/>
    <w:multiLevelType w:val="hybridMultilevel"/>
    <w:tmpl w:val="0040F5CC"/>
    <w:lvl w:ilvl="0" w:tplc="5FA600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7A3A"/>
    <w:multiLevelType w:val="hybridMultilevel"/>
    <w:tmpl w:val="C7C2DB94"/>
    <w:lvl w:ilvl="0" w:tplc="F4121E96">
      <w:start w:val="3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369E9"/>
    <w:multiLevelType w:val="hybridMultilevel"/>
    <w:tmpl w:val="0DF48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A2154"/>
    <w:multiLevelType w:val="hybridMultilevel"/>
    <w:tmpl w:val="18F86B06"/>
    <w:lvl w:ilvl="0" w:tplc="3EA8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A5F298B"/>
    <w:multiLevelType w:val="hybridMultilevel"/>
    <w:tmpl w:val="672A1860"/>
    <w:lvl w:ilvl="0" w:tplc="FF00704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67A69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6265B2"/>
    <w:multiLevelType w:val="hybridMultilevel"/>
    <w:tmpl w:val="776A8AB0"/>
    <w:lvl w:ilvl="0" w:tplc="110C40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7E91463"/>
    <w:multiLevelType w:val="hybridMultilevel"/>
    <w:tmpl w:val="38BE33D8"/>
    <w:lvl w:ilvl="0" w:tplc="8C1A3D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4625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BE08D3"/>
    <w:multiLevelType w:val="hybridMultilevel"/>
    <w:tmpl w:val="3A5E8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B3D51"/>
    <w:multiLevelType w:val="hybridMultilevel"/>
    <w:tmpl w:val="218E8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918"/>
    <w:rsid w:val="00034B22"/>
    <w:rsid w:val="0003606E"/>
    <w:rsid w:val="00063AC7"/>
    <w:rsid w:val="00133D9F"/>
    <w:rsid w:val="0015136A"/>
    <w:rsid w:val="00157D8B"/>
    <w:rsid w:val="00161F28"/>
    <w:rsid w:val="001C4F11"/>
    <w:rsid w:val="001F3403"/>
    <w:rsid w:val="001F62E0"/>
    <w:rsid w:val="00202C14"/>
    <w:rsid w:val="00215CCC"/>
    <w:rsid w:val="002627A5"/>
    <w:rsid w:val="00291C4D"/>
    <w:rsid w:val="00295A1A"/>
    <w:rsid w:val="00312721"/>
    <w:rsid w:val="00327FAD"/>
    <w:rsid w:val="003D68CF"/>
    <w:rsid w:val="00501EE8"/>
    <w:rsid w:val="005113B1"/>
    <w:rsid w:val="00583035"/>
    <w:rsid w:val="005B2DB1"/>
    <w:rsid w:val="005B343E"/>
    <w:rsid w:val="005F7E6A"/>
    <w:rsid w:val="006A5C71"/>
    <w:rsid w:val="006E3C5C"/>
    <w:rsid w:val="007072F5"/>
    <w:rsid w:val="007133B5"/>
    <w:rsid w:val="007321A1"/>
    <w:rsid w:val="0076032F"/>
    <w:rsid w:val="007E7918"/>
    <w:rsid w:val="00847823"/>
    <w:rsid w:val="008B298A"/>
    <w:rsid w:val="009374CA"/>
    <w:rsid w:val="00965DA0"/>
    <w:rsid w:val="00987DBC"/>
    <w:rsid w:val="009C3620"/>
    <w:rsid w:val="00A02A6E"/>
    <w:rsid w:val="00A2481E"/>
    <w:rsid w:val="00A36FEC"/>
    <w:rsid w:val="00A71694"/>
    <w:rsid w:val="00A809D3"/>
    <w:rsid w:val="00BD3E3B"/>
    <w:rsid w:val="00C076C3"/>
    <w:rsid w:val="00C10A79"/>
    <w:rsid w:val="00C71B43"/>
    <w:rsid w:val="00CD0B8A"/>
    <w:rsid w:val="00CE7F94"/>
    <w:rsid w:val="00D0457C"/>
    <w:rsid w:val="00D37EC6"/>
    <w:rsid w:val="00DA1953"/>
    <w:rsid w:val="00DA369E"/>
    <w:rsid w:val="00DB3BA8"/>
    <w:rsid w:val="00DC52CF"/>
    <w:rsid w:val="00E7073E"/>
    <w:rsid w:val="00ED05BB"/>
    <w:rsid w:val="00ED17DF"/>
    <w:rsid w:val="00EE5CA8"/>
    <w:rsid w:val="00F351E4"/>
    <w:rsid w:val="00F7251F"/>
    <w:rsid w:val="00FB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7918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link w:val="Cmsor2Char"/>
    <w:qFormat/>
    <w:rsid w:val="007E7918"/>
    <w:pPr>
      <w:spacing w:before="100" w:beforeAutospacing="1" w:after="100" w:afterAutospacing="1"/>
      <w:outlineLvl w:val="1"/>
    </w:pPr>
    <w:rPr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E791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7E7918"/>
    <w:pPr>
      <w:jc w:val="both"/>
    </w:pPr>
    <w:rPr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rsid w:val="007E7918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TESTLET">
    <w:name w:val="TESTÜLET"/>
    <w:basedOn w:val="Norml"/>
    <w:rsid w:val="007E7918"/>
    <w:pPr>
      <w:widowControl w:val="0"/>
      <w:overflowPunct w:val="0"/>
      <w:autoSpaceDE w:val="0"/>
      <w:autoSpaceDN w:val="0"/>
      <w:adjustRightInd w:val="0"/>
      <w:ind w:left="567" w:right="567"/>
      <w:jc w:val="both"/>
    </w:pPr>
    <w:rPr>
      <w:rFonts w:ascii="Arial" w:hAnsi="Arial"/>
      <w:szCs w:val="20"/>
    </w:rPr>
  </w:style>
  <w:style w:type="paragraph" w:customStyle="1" w:styleId="CharCharChar">
    <w:name w:val="Char Char Char"/>
    <w:basedOn w:val="Norml"/>
    <w:rsid w:val="007E79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ase">
    <w:name w:val="base"/>
    <w:basedOn w:val="Norml"/>
    <w:rsid w:val="007E7918"/>
  </w:style>
  <w:style w:type="paragraph" w:styleId="Szvegtrzsbehzssal">
    <w:name w:val="Body Text Indent"/>
    <w:basedOn w:val="Norml"/>
    <w:link w:val="SzvegtrzsbehzssalChar"/>
    <w:rsid w:val="007E791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7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">
    <w:name w:val="Char Char"/>
    <w:basedOn w:val="Norml"/>
    <w:rsid w:val="007E79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semiHidden/>
    <w:rsid w:val="007E7918"/>
    <w:pPr>
      <w:keepLines/>
      <w:jc w:val="both"/>
    </w:pPr>
    <w:rPr>
      <w:noProof/>
      <w:sz w:val="20"/>
      <w:szCs w:val="20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E7918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Lbjegyzet-hivatkozs">
    <w:name w:val="footnote reference"/>
    <w:basedOn w:val="Bekezdsalapbettpusa"/>
    <w:semiHidden/>
    <w:rsid w:val="007E7918"/>
    <w:rPr>
      <w:vertAlign w:val="superscript"/>
    </w:rPr>
  </w:style>
  <w:style w:type="table" w:styleId="Rcsostblzat">
    <w:name w:val="Table Grid"/>
    <w:basedOn w:val="Normltblzat"/>
    <w:rsid w:val="007E7918"/>
    <w:pPr>
      <w:keepLines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l"/>
    <w:rsid w:val="007E79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bjegyzet-karakterek">
    <w:name w:val="Lábjegyzet-karakterek"/>
    <w:basedOn w:val="Bekezdsalapbettpusa"/>
    <w:rsid w:val="007E791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11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BE0A-45D6-4019-90CF-9885818F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1851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2013-09-20T05:50:00Z</cp:lastPrinted>
  <dcterms:created xsi:type="dcterms:W3CDTF">2013-09-20T05:50:00Z</dcterms:created>
  <dcterms:modified xsi:type="dcterms:W3CDTF">2013-09-20T05:50:00Z</dcterms:modified>
</cp:coreProperties>
</file>